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88</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5</w:t>
      </w:r>
      <w:r>
        <w:rPr>
          <w:rFonts w:hint="default" w:ascii="Times New Roman" w:hAnsi="Times New Roman" w:cs="Times New Roman"/>
          <w:bCs/>
          <w:sz w:val="30"/>
        </w:rPr>
        <w:t>月</w:t>
      </w:r>
      <w:r>
        <w:rPr>
          <w:rFonts w:hint="eastAsia" w:cs="Times New Roman"/>
          <w:bCs/>
          <w:sz w:val="30"/>
          <w:lang w:val="en-US" w:eastAsia="zh-CN"/>
        </w:rPr>
        <w:t>27</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通州区组织召开企安安系统推广使用调度会暨中央安全生产考核巡查组一季度明查暗访反馈问题隐患整改工作部署会  </w:t>
      </w:r>
      <w:r>
        <w:rPr>
          <w:rFonts w:hint="eastAsia" w:ascii="仿宋_GB2312" w:hAnsi="仿宋_GB2312" w:eastAsia="仿宋_GB2312" w:cs="仿宋_GB2312"/>
          <w:color w:val="auto"/>
          <w:spacing w:val="15"/>
          <w:kern w:val="2"/>
          <w:sz w:val="32"/>
          <w:szCs w:val="32"/>
          <w:lang w:val="en-US" w:eastAsia="zh-CN" w:bidi="ar-SA"/>
        </w:rPr>
        <w:t>会上，区安委会办公室通报了近期企安安系统使用情况及三年行动信息系统填报情况，并对中央安全生产考核巡查组一季度明查暗访反馈问题隐患整改工作进行了提示部署，区住建委、区交通委分别对先期整改及举一反三落实情况进行了汇报，海涛副区长就下一步工作提出了明确要求：</w:t>
      </w:r>
      <w:r>
        <w:rPr>
          <w:rFonts w:hint="eastAsia" w:ascii="仿宋_GB2312" w:hAnsi="仿宋_GB2312" w:eastAsia="仿宋_GB2312" w:cs="仿宋_GB2312"/>
          <w:b/>
          <w:bCs/>
          <w:color w:val="auto"/>
          <w:spacing w:val="15"/>
          <w:kern w:val="2"/>
          <w:sz w:val="32"/>
          <w:szCs w:val="32"/>
          <w:lang w:val="en-US" w:eastAsia="zh-CN" w:bidi="ar-SA"/>
        </w:rPr>
        <w:t>一是</w:t>
      </w:r>
      <w:r>
        <w:rPr>
          <w:rFonts w:hint="eastAsia" w:ascii="仿宋_GB2312" w:hAnsi="仿宋_GB2312" w:eastAsia="仿宋_GB2312" w:cs="仿宋_GB2312"/>
          <w:color w:val="auto"/>
          <w:spacing w:val="15"/>
          <w:kern w:val="2"/>
          <w:sz w:val="32"/>
          <w:szCs w:val="32"/>
          <w:lang w:val="en-US" w:eastAsia="zh-CN" w:bidi="ar-SA"/>
        </w:rPr>
        <w:t>坚持问题导向，各属地、各部门要紧紧围绕“降概率、控损失”目标，提高工作标准，确保副中心持续安全稳定。</w:t>
      </w:r>
      <w:r>
        <w:rPr>
          <w:rFonts w:hint="eastAsia" w:ascii="仿宋_GB2312" w:hAnsi="仿宋_GB2312" w:eastAsia="仿宋_GB2312" w:cs="仿宋_GB2312"/>
          <w:b/>
          <w:bCs/>
          <w:color w:val="auto"/>
          <w:spacing w:val="15"/>
          <w:kern w:val="2"/>
          <w:sz w:val="32"/>
          <w:szCs w:val="32"/>
          <w:lang w:val="en-US" w:eastAsia="zh-CN" w:bidi="ar-SA"/>
        </w:rPr>
        <w:t>二是</w:t>
      </w:r>
      <w:r>
        <w:rPr>
          <w:rFonts w:hint="eastAsia" w:ascii="仿宋_GB2312" w:hAnsi="仿宋_GB2312" w:eastAsia="仿宋_GB2312" w:cs="仿宋_GB2312"/>
          <w:color w:val="auto"/>
          <w:spacing w:val="15"/>
          <w:kern w:val="2"/>
          <w:sz w:val="32"/>
          <w:szCs w:val="32"/>
          <w:lang w:val="en-US" w:eastAsia="zh-CN" w:bidi="ar-SA"/>
        </w:rPr>
        <w:t>坚持举一反三，全面深入做好反馈问题整改，形成“一隐患一方案”，明确责任人和整改时限，逐项对账销号，确保闭环整改。要查找本部门薄弱环节和工作缺失，举一反三制定实施改进措施和长效机制。对此次反馈的重大事故隐患及典型问题隐患进行立案处罚，对相关企业及主要负责人，严格执行“一案双罚”。</w:t>
      </w:r>
      <w:r>
        <w:rPr>
          <w:rFonts w:hint="eastAsia" w:ascii="仿宋_GB2312" w:hAnsi="仿宋_GB2312" w:eastAsia="仿宋_GB2312" w:cs="仿宋_GB2312"/>
          <w:b/>
          <w:bCs/>
          <w:color w:val="auto"/>
          <w:spacing w:val="15"/>
          <w:kern w:val="2"/>
          <w:sz w:val="32"/>
          <w:szCs w:val="32"/>
          <w:lang w:val="en-US" w:eastAsia="zh-CN" w:bidi="ar-SA"/>
        </w:rPr>
        <w:t>三是</w:t>
      </w:r>
      <w:r>
        <w:rPr>
          <w:rFonts w:hint="eastAsia" w:ascii="仿宋_GB2312" w:hAnsi="仿宋_GB2312" w:eastAsia="仿宋_GB2312" w:cs="仿宋_GB2312"/>
          <w:color w:val="auto"/>
          <w:spacing w:val="15"/>
          <w:kern w:val="2"/>
          <w:sz w:val="32"/>
          <w:szCs w:val="32"/>
          <w:lang w:val="en-US" w:eastAsia="zh-CN" w:bidi="ar-SA"/>
        </w:rPr>
        <w:t>紧盯重点指标，有力推动各项任务落到实处。要加大企安安系统推广力度，紧盯13项治本攻坚重点指标，及时填报治本攻坚三年行动系统；要围绕治本攻坚年度重点工作任务措施和“小切口”“一件事”全链条治理，认真梳理更新问题、措施、成效“三个清单”。</w:t>
      </w:r>
      <w:r>
        <w:rPr>
          <w:rFonts w:hint="eastAsia" w:ascii="仿宋_GB2312" w:hAnsi="仿宋_GB2312" w:eastAsia="仿宋_GB2312" w:cs="仿宋_GB2312"/>
          <w:b/>
          <w:bCs/>
          <w:color w:val="auto"/>
          <w:spacing w:val="15"/>
          <w:kern w:val="2"/>
          <w:sz w:val="32"/>
          <w:szCs w:val="32"/>
          <w:lang w:val="en-US" w:eastAsia="zh-CN" w:bidi="ar-SA"/>
        </w:rPr>
        <w:t>四是</w:t>
      </w:r>
      <w:r>
        <w:rPr>
          <w:rFonts w:hint="eastAsia" w:ascii="仿宋_GB2312" w:hAnsi="仿宋_GB2312" w:eastAsia="仿宋_GB2312" w:cs="仿宋_GB2312"/>
          <w:color w:val="auto"/>
          <w:spacing w:val="15"/>
          <w:kern w:val="2"/>
          <w:sz w:val="32"/>
          <w:szCs w:val="32"/>
          <w:lang w:val="en-US" w:eastAsia="zh-CN" w:bidi="ar-SA"/>
        </w:rPr>
        <w:t>提前研判风险，做好端午假期安全防范工作。要求各单位精准研判安全形势，强化建筑施工、有限空间作业、危化品、道路交通、消防、燃气、涉旅安全等方面风险管控和隐患排查治理，加强应急值守，妥善应对处置各类突发情况，确保端午假期安全稳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通州区“企安安”系统推广使用专项工作取得成效  </w:t>
      </w:r>
      <w:r>
        <w:rPr>
          <w:rFonts w:hint="eastAsia" w:ascii="仿宋_GB2312" w:hAnsi="仿宋_GB2312" w:eastAsia="仿宋_GB2312" w:cs="仿宋_GB2312"/>
          <w:color w:val="auto"/>
          <w:spacing w:val="15"/>
          <w:kern w:val="2"/>
          <w:sz w:val="32"/>
          <w:szCs w:val="32"/>
          <w:lang w:val="en-US" w:eastAsia="zh-CN" w:bidi="ar-SA"/>
        </w:rPr>
        <w:t>二季度以来，全区共16802家企业已开展主要负责人带队检查34735次，覆盖率达90.31%，全市排名第4，相较一季度同期提升66.83%。</w:t>
      </w:r>
      <w:r>
        <w:rPr>
          <w:rFonts w:hint="eastAsia" w:ascii="仿宋_GB2312" w:hAnsi="仿宋_GB2312" w:eastAsia="仿宋_GB2312" w:cs="仿宋_GB2312"/>
          <w:b w:val="0"/>
          <w:bCs/>
          <w:color w:val="auto"/>
          <w:kern w:val="2"/>
          <w:sz w:val="32"/>
          <w:szCs w:val="32"/>
          <w:highlight w:val="none"/>
          <w:u w:val="none"/>
          <w:lang w:val="en-US" w:eastAsia="zh-CN"/>
        </w:rPr>
        <w:t>全区共20009家场所已开展企业自查56017次，覆盖率达92.59%，全市排名第4，较一季度同期提升51.70%。</w:t>
      </w:r>
      <w:r>
        <w:rPr>
          <w:rFonts w:hint="eastAsia" w:ascii="仿宋_GB2312" w:hAnsi="仿宋_GB2312" w:eastAsia="仿宋_GB2312" w:cs="仿宋_GB2312"/>
          <w:color w:val="auto"/>
          <w:kern w:val="2"/>
          <w:sz w:val="32"/>
          <w:szCs w:val="32"/>
          <w:lang w:val="en-US" w:eastAsia="zh-CN" w:bidi="ar-SA"/>
        </w:rPr>
        <w:t>今年以来，共17464家企业已开展培训考核，覆盖率达94.03%，全市排名第8，较去年同期提升78.1%。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梨园镇开展基层应急响应人专项培训  </w:t>
      </w:r>
      <w:r>
        <w:rPr>
          <w:rFonts w:hint="eastAsia"/>
          <w:lang w:val="en-US" w:eastAsia="zh-CN"/>
        </w:rPr>
        <w:t>理论教学环节，老师结合《北京市突发事件应对条例》，系统讲解了应急响应分级标准、灾害预警发布流程、突发事件信息报送规范等内容，帮助学员明晰职责边界和处置原则。针对辖区常见的火灾、防汛、燃气泄漏等风险场景，通过典型事故案例深入剖析事故成因、处置短板及经验教训。组织参训者进行灭火器“提、拔、握、压”实战操作，针对电动车充电起火、厨房油锅起火等场景开展模拟灭火，切实掌握“灭早灭小”的初期处置技巧。梨园镇10个村、17个社区的54名应急响应人参加此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西集镇开展多领域联合检查行动  </w:t>
      </w:r>
      <w:r>
        <w:rPr>
          <w:rFonts w:hint="eastAsia"/>
          <w:lang w:val="en-US" w:eastAsia="zh-CN"/>
        </w:rPr>
        <w:t>近日，西集镇党委副书记、镇长带队，协同区、镇消防救援、安全、农业、市场、城管等多部门开展联合检查行动，深入阳光会议中心、沙古堆村，对阳光彩虹湾水世界项目、樱桃园、樱桃种植园及“百千工程”工地进行全面督导检查。重点围绕游乐设施安全、应急出口、消防设施配备、疏散通道畅通性、施工安全等进行逐一检查，检查组要求各单位强化安全责任意识，针对发现的问题立行立改。下一步，西集镇将持续加大监督检查力度，建立常态化监管机制，及时消除各类安全隐患，推动特色产业提质增效，为全镇高质量发展奠定坚实基础。</w:t>
      </w: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马驹桥镇扎实开展村民经营性自建房整治“回头看”工作  </w:t>
      </w:r>
      <w:r>
        <w:rPr>
          <w:rFonts w:hint="eastAsia" w:ascii="Times New Roman" w:hAnsi="Times New Roman" w:eastAsia="仿宋_GB2312" w:cs="Times New Roman"/>
          <w:color w:val="auto"/>
          <w:kern w:val="2"/>
          <w:sz w:val="32"/>
          <w:szCs w:val="32"/>
          <w:lang w:val="en-US" w:eastAsia="zh-CN" w:bidi="ar-SA"/>
        </w:rPr>
        <w:t>近日，</w:t>
      </w:r>
      <w:r>
        <w:rPr>
          <w:rFonts w:hint="eastAsia" w:eastAsia="仿宋_GB2312" w:cs="Times New Roman"/>
          <w:color w:val="auto"/>
          <w:kern w:val="2"/>
          <w:sz w:val="32"/>
          <w:szCs w:val="32"/>
          <w:lang w:val="en-US" w:eastAsia="zh-CN" w:bidi="ar-SA"/>
        </w:rPr>
        <w:t>马驹桥</w:t>
      </w:r>
      <w:r>
        <w:rPr>
          <w:rFonts w:hint="eastAsia" w:ascii="Times New Roman" w:hAnsi="Times New Roman" w:eastAsia="仿宋_GB2312" w:cs="Times New Roman"/>
          <w:color w:val="auto"/>
          <w:kern w:val="2"/>
          <w:sz w:val="32"/>
          <w:szCs w:val="32"/>
          <w:lang w:val="en-US" w:eastAsia="zh-CN" w:bidi="ar-SA"/>
        </w:rPr>
        <w:t>镇党委副书记、镇长</w:t>
      </w:r>
      <w:r>
        <w:rPr>
          <w:rFonts w:hint="eastAsia" w:eastAsia="仿宋_GB2312" w:cs="Times New Roman"/>
          <w:color w:val="auto"/>
          <w:kern w:val="2"/>
          <w:sz w:val="32"/>
          <w:szCs w:val="32"/>
          <w:lang w:val="en-US" w:eastAsia="zh-CN" w:bidi="ar-SA"/>
        </w:rPr>
        <w:t>带领相关科室，</w:t>
      </w:r>
      <w:r>
        <w:rPr>
          <w:rFonts w:hint="eastAsia" w:ascii="Times New Roman" w:hAnsi="Times New Roman" w:eastAsia="仿宋_GB2312" w:cs="Times New Roman"/>
          <w:color w:val="auto"/>
          <w:kern w:val="2"/>
          <w:sz w:val="32"/>
          <w:szCs w:val="32"/>
          <w:lang w:val="en-US" w:eastAsia="zh-CN" w:bidi="ar-SA"/>
        </w:rPr>
        <w:t>深入东店村、大葛庄村、北门口村、二街村，重点针对“双通道”是否规范建设、有无堆放杂物、电动自行车违规停放充电、私拉乱接线路等问题进行检查。针对检查发现的安全隐患，现场责令相关责任人立即整改。截至5月21日，此次行动已整改1277栋村民经营性自建房双通道，彩钢板建筑违规住人已整改115处，电动自行车违规停放充电等其他6类问题隐患已整改1615处。</w:t>
      </w:r>
    </w:p>
    <w:p>
      <w:pPr>
        <w:rPr>
          <w:rFonts w:hint="eastAsia"/>
          <w:sz w:val="11"/>
          <w:szCs w:val="11"/>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5</w:t>
      </w:r>
      <w:r>
        <w:rPr>
          <w:rFonts w:hint="default" w:ascii="Times New Roman" w:hAnsi="Times New Roman" w:cs="Times New Roman"/>
          <w:sz w:val="30"/>
        </w:rPr>
        <w:t>月</w:t>
      </w:r>
      <w:r>
        <w:rPr>
          <w:rFonts w:hint="eastAsia" w:cs="Times New Roman"/>
          <w:sz w:val="30"/>
          <w:lang w:val="en-US" w:eastAsia="zh-CN"/>
        </w:rPr>
        <w:t>27</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871427"/>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7E73B61"/>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9F74D9"/>
    <w:rsid w:val="3CA0114D"/>
    <w:rsid w:val="3CA1391A"/>
    <w:rsid w:val="3CA46373"/>
    <w:rsid w:val="3CA67704"/>
    <w:rsid w:val="3CB87188"/>
    <w:rsid w:val="3CC45A77"/>
    <w:rsid w:val="3CCC0373"/>
    <w:rsid w:val="3CCE03CE"/>
    <w:rsid w:val="3CCF472B"/>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6CB54"/>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3014F1"/>
    <w:rsid w:val="5E327631"/>
    <w:rsid w:val="5E341BFA"/>
    <w:rsid w:val="5E343B9B"/>
    <w:rsid w:val="5E492FB5"/>
    <w:rsid w:val="5E4A7DA5"/>
    <w:rsid w:val="5E4B5EF1"/>
    <w:rsid w:val="5E4E4826"/>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472A0"/>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30E48"/>
    <w:rsid w:val="7C77308C"/>
    <w:rsid w:val="7C777D2A"/>
    <w:rsid w:val="7C8569D6"/>
    <w:rsid w:val="7C8C1247"/>
    <w:rsid w:val="7C8D5FF2"/>
    <w:rsid w:val="7C906D5A"/>
    <w:rsid w:val="7C9F3F02"/>
    <w:rsid w:val="7CAC7C15"/>
    <w:rsid w:val="7CAF46CA"/>
    <w:rsid w:val="7CB77654"/>
    <w:rsid w:val="7CB868FB"/>
    <w:rsid w:val="7CB95A00"/>
    <w:rsid w:val="7CBB280C"/>
    <w:rsid w:val="7CBC733D"/>
    <w:rsid w:val="7CBFB74A"/>
    <w:rsid w:val="7CC458A0"/>
    <w:rsid w:val="7CC7575C"/>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F11B6"/>
    <w:rsid w:val="7D7D6ACC"/>
    <w:rsid w:val="7D882C80"/>
    <w:rsid w:val="7D9948A4"/>
    <w:rsid w:val="7D9A2A9E"/>
    <w:rsid w:val="7D9BCCEB"/>
    <w:rsid w:val="7D9D6C80"/>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456F"/>
    <w:rsid w:val="7E5826A6"/>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C6E1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743A04"/>
    <w:rsid w:val="7F7722A5"/>
    <w:rsid w:val="7F7B6A0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C24794"/>
    <w:rsid w:val="7FC6E119"/>
    <w:rsid w:val="7FD04DFF"/>
    <w:rsid w:val="7FD3B8C8"/>
    <w:rsid w:val="7FD45B56"/>
    <w:rsid w:val="7FDF6415"/>
    <w:rsid w:val="7FE10BB0"/>
    <w:rsid w:val="7FE175B1"/>
    <w:rsid w:val="7FE1D360"/>
    <w:rsid w:val="7FE3116F"/>
    <w:rsid w:val="7FE534B1"/>
    <w:rsid w:val="7FE605E1"/>
    <w:rsid w:val="7FEC675E"/>
    <w:rsid w:val="7FF3588D"/>
    <w:rsid w:val="7FFB490C"/>
    <w:rsid w:val="8EB773D3"/>
    <w:rsid w:val="8FCBF183"/>
    <w:rsid w:val="8FFF90BB"/>
    <w:rsid w:val="98FF7CD2"/>
    <w:rsid w:val="9D9EE5CC"/>
    <w:rsid w:val="9F5DCCA6"/>
    <w:rsid w:val="9FBB93B2"/>
    <w:rsid w:val="9FE26DFE"/>
    <w:rsid w:val="9FED3A40"/>
    <w:rsid w:val="A5637228"/>
    <w:rsid w:val="A6F369AD"/>
    <w:rsid w:val="A7F5D83E"/>
    <w:rsid w:val="ABE95CF8"/>
    <w:rsid w:val="ACFF54D2"/>
    <w:rsid w:val="AE3D6758"/>
    <w:rsid w:val="AF0A45F3"/>
    <w:rsid w:val="AF3EDBA8"/>
    <w:rsid w:val="AF7F2B60"/>
    <w:rsid w:val="AFD589FA"/>
    <w:rsid w:val="AFEF5183"/>
    <w:rsid w:val="B6BFDE9A"/>
    <w:rsid w:val="B6FD0094"/>
    <w:rsid w:val="B756A0C7"/>
    <w:rsid w:val="B9AEC2CC"/>
    <w:rsid w:val="BAFD8555"/>
    <w:rsid w:val="BAFDB35C"/>
    <w:rsid w:val="BB76542E"/>
    <w:rsid w:val="BBDF9ECD"/>
    <w:rsid w:val="BBDFA697"/>
    <w:rsid w:val="BCEA2584"/>
    <w:rsid w:val="BCFB2545"/>
    <w:rsid w:val="BF3F7322"/>
    <w:rsid w:val="BFBFD9DA"/>
    <w:rsid w:val="BFCE5DBB"/>
    <w:rsid w:val="BFCFB3E7"/>
    <w:rsid w:val="BFEA8DE4"/>
    <w:rsid w:val="BFFBB8FC"/>
    <w:rsid w:val="CABE525C"/>
    <w:rsid w:val="CDBF3525"/>
    <w:rsid w:val="CDDF8589"/>
    <w:rsid w:val="CFFF9B77"/>
    <w:rsid w:val="D1FE0103"/>
    <w:rsid w:val="D3FD5B41"/>
    <w:rsid w:val="D5BD6B07"/>
    <w:rsid w:val="DBBB437F"/>
    <w:rsid w:val="DD565C3C"/>
    <w:rsid w:val="DDDF5184"/>
    <w:rsid w:val="DDF7075A"/>
    <w:rsid w:val="DF6DDFD3"/>
    <w:rsid w:val="DF7DA898"/>
    <w:rsid w:val="DF7F9402"/>
    <w:rsid w:val="DFF1499D"/>
    <w:rsid w:val="DFFB0BEC"/>
    <w:rsid w:val="DFFEAF62"/>
    <w:rsid w:val="DFFF4637"/>
    <w:rsid w:val="E1BF9403"/>
    <w:rsid w:val="E7DD6F22"/>
    <w:rsid w:val="E8A97A7F"/>
    <w:rsid w:val="E8FB31A9"/>
    <w:rsid w:val="E97D96EB"/>
    <w:rsid w:val="EDB30A69"/>
    <w:rsid w:val="EDEC94ED"/>
    <w:rsid w:val="EE8F6BB6"/>
    <w:rsid w:val="EF5AD3CA"/>
    <w:rsid w:val="EF745729"/>
    <w:rsid w:val="EFA7C5A6"/>
    <w:rsid w:val="EFBB3788"/>
    <w:rsid w:val="EFBEBCF3"/>
    <w:rsid w:val="EFBF99F9"/>
    <w:rsid w:val="F0575463"/>
    <w:rsid w:val="F07FB7AE"/>
    <w:rsid w:val="F1FAE7F6"/>
    <w:rsid w:val="F37E9328"/>
    <w:rsid w:val="F3BF032C"/>
    <w:rsid w:val="F4FF2E5F"/>
    <w:rsid w:val="F5AD86C8"/>
    <w:rsid w:val="F73E6835"/>
    <w:rsid w:val="F76BFEF0"/>
    <w:rsid w:val="F79FE7CF"/>
    <w:rsid w:val="F7BF85BC"/>
    <w:rsid w:val="F7FDF728"/>
    <w:rsid w:val="F997332F"/>
    <w:rsid w:val="F9BBC69C"/>
    <w:rsid w:val="F9CF8DF5"/>
    <w:rsid w:val="F9DFD1AD"/>
    <w:rsid w:val="F9FDC5E2"/>
    <w:rsid w:val="FA3EBCFE"/>
    <w:rsid w:val="FADC6ACA"/>
    <w:rsid w:val="FBBD8219"/>
    <w:rsid w:val="FBCEB95D"/>
    <w:rsid w:val="FBEB550D"/>
    <w:rsid w:val="FBF609AC"/>
    <w:rsid w:val="FBFF42FB"/>
    <w:rsid w:val="FCCCBE1B"/>
    <w:rsid w:val="FCFF2A2A"/>
    <w:rsid w:val="FD2B19D4"/>
    <w:rsid w:val="FD479371"/>
    <w:rsid w:val="FD5CCF85"/>
    <w:rsid w:val="FD777991"/>
    <w:rsid w:val="FD8FFCF1"/>
    <w:rsid w:val="FD9FE3A4"/>
    <w:rsid w:val="FDAFD65B"/>
    <w:rsid w:val="FDF189B2"/>
    <w:rsid w:val="FDF91A56"/>
    <w:rsid w:val="FDFB286A"/>
    <w:rsid w:val="FDFF3754"/>
    <w:rsid w:val="FE6B4EC2"/>
    <w:rsid w:val="FEB7938F"/>
    <w:rsid w:val="FEDE2893"/>
    <w:rsid w:val="FEFAA28F"/>
    <w:rsid w:val="FEFD5AB2"/>
    <w:rsid w:val="FF3747D7"/>
    <w:rsid w:val="FF37510F"/>
    <w:rsid w:val="FF6B1FE0"/>
    <w:rsid w:val="FF6DF660"/>
    <w:rsid w:val="FF7537EE"/>
    <w:rsid w:val="FFA62AAA"/>
    <w:rsid w:val="FFB64460"/>
    <w:rsid w:val="FFB71461"/>
    <w:rsid w:val="FFD5D8C9"/>
    <w:rsid w:val="FFD6568D"/>
    <w:rsid w:val="FFE92E8F"/>
    <w:rsid w:val="FFF0ED10"/>
    <w:rsid w:val="FFF53548"/>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2021-02-08T03:29:00Z</dcterms:created>
  <dc:creator>ac</dc:creator>
  <cp:lastModifiedBy>LH002</cp:lastModifiedBy>
  <cp:lastPrinted>2024-11-16T18:53:00Z</cp:lastPrinted>
  <dcterms:modified xsi:type="dcterms:W3CDTF">2025-06-11T03:07:33Z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