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bookmarkStart w:id="15" w:name="_GoBack"/>
      <w:r>
        <w:rPr>
          <w:rFonts w:hint="eastAsia" w:ascii="方正小标宋简体" w:hAnsi="方正小标宋简体" w:eastAsia="方正小标宋简体" w:cs="方正小标宋简体"/>
          <w:sz w:val="44"/>
          <w:szCs w:val="44"/>
          <w:lang w:eastAsia="zh-CN"/>
        </w:rPr>
        <w:t>生态环境、水务、农业农村、卫生健康、住建领域</w:t>
      </w:r>
      <w:r>
        <w:rPr>
          <w:rFonts w:hint="eastAsia" w:ascii="方正小标宋简体" w:hAnsi="方正小标宋简体" w:eastAsia="方正小标宋简体" w:cs="方正小标宋简体"/>
          <w:sz w:val="44"/>
          <w:szCs w:val="44"/>
        </w:rPr>
        <w:t>行政处罚裁量基准表</w:t>
      </w:r>
    </w:p>
    <w:bookmarkEnd w:id="15"/>
    <w:p>
      <w:pPr>
        <w:pStyle w:val="21"/>
        <w:rPr>
          <w:rFonts w:hint="eastAsia"/>
        </w:rPr>
      </w:pPr>
    </w:p>
    <w:sdt>
      <w:sdtPr>
        <w:rPr>
          <w:rFonts w:hint="default" w:ascii="宋体" w:hAnsi="宋体" w:eastAsia="宋体" w:cs="Times New Roman"/>
          <w:kern w:val="2"/>
          <w:sz w:val="21"/>
          <w:szCs w:val="24"/>
          <w:lang w:val="en-US" w:eastAsia="zh-CN" w:bidi="ar-SA"/>
        </w:rPr>
        <w:id w:val="227737608"/>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r>
            <w:fldChar w:fldCharType="begin"/>
          </w:r>
          <w:r>
            <w:instrText xml:space="preserve">TOC \o "1-3" \h \u </w:instrText>
          </w:r>
          <w:r>
            <w:fldChar w:fldCharType="separate"/>
          </w:r>
        </w:p>
        <w:p>
          <w:pPr>
            <w:pStyle w:val="16"/>
            <w:tabs>
              <w:tab w:val="right" w:leader="dot" w:pos="9582"/>
            </w:tabs>
            <w:rPr>
              <w:rFonts w:hint="eastAsia" w:eastAsia="宋体"/>
              <w:lang w:val="en-US" w:eastAsia="zh-CN"/>
            </w:rPr>
          </w:pPr>
          <w:r>
            <w:fldChar w:fldCharType="begin"/>
          </w:r>
          <w:r>
            <w:instrText xml:space="preserve"> HYPERLINK \l _Toc1953583257 </w:instrText>
          </w:r>
          <w:r>
            <w:fldChar w:fldCharType="separate"/>
          </w:r>
          <w:r>
            <w:rPr>
              <w:rFonts w:hint="eastAsia" w:asciiTheme="minorEastAsia" w:hAnsiTheme="minorEastAsia" w:eastAsiaTheme="minorEastAsia"/>
              <w:szCs w:val="15"/>
            </w:rPr>
            <w:t>生态环境管理方面4项</w:t>
          </w:r>
          <w:r>
            <w:tab/>
          </w:r>
          <w:r>
            <w:rPr>
              <w:rFonts w:hint="eastAsia"/>
              <w:lang w:val="en-US" w:eastAsia="zh-CN"/>
            </w:rPr>
            <w:t>1</w:t>
          </w:r>
          <w:r>
            <w:fldChar w:fldCharType="end"/>
          </w:r>
        </w:p>
        <w:p>
          <w:pPr>
            <w:pStyle w:val="16"/>
            <w:tabs>
              <w:tab w:val="right" w:leader="dot" w:pos="9582"/>
            </w:tabs>
          </w:pPr>
          <w:r>
            <w:fldChar w:fldCharType="begin"/>
          </w:r>
          <w:r>
            <w:instrText xml:space="preserve"> HYPERLINK \l _Toc1642327804 </w:instrText>
          </w:r>
          <w:r>
            <w:fldChar w:fldCharType="separate"/>
          </w:r>
          <w:r>
            <w:rPr>
              <w:rFonts w:hint="eastAsia" w:asciiTheme="minorEastAsia" w:hAnsiTheme="minorEastAsia" w:eastAsiaTheme="minorEastAsia"/>
              <w:szCs w:val="15"/>
            </w:rPr>
            <w:t>水务管理方面20项</w:t>
          </w:r>
          <w:r>
            <w:tab/>
          </w:r>
          <w:r>
            <w:rPr>
              <w:rFonts w:hint="eastAsia"/>
              <w:lang w:val="en-US" w:eastAsia="zh-CN"/>
            </w:rPr>
            <w:t>2</w:t>
          </w:r>
          <w:r>
            <w:fldChar w:fldCharType="end"/>
          </w:r>
        </w:p>
        <w:p>
          <w:pPr>
            <w:pStyle w:val="16"/>
            <w:tabs>
              <w:tab w:val="right" w:leader="dot" w:pos="9582"/>
            </w:tabs>
          </w:pPr>
          <w:r>
            <w:fldChar w:fldCharType="begin"/>
          </w:r>
          <w:r>
            <w:instrText xml:space="preserve"> HYPERLINK \l _Toc473764242 </w:instrText>
          </w:r>
          <w:r>
            <w:fldChar w:fldCharType="separate"/>
          </w:r>
          <w:r>
            <w:rPr>
              <w:rFonts w:hint="eastAsia" w:asciiTheme="minorEastAsia" w:hAnsiTheme="minorEastAsia" w:eastAsiaTheme="minorEastAsia"/>
              <w:szCs w:val="15"/>
            </w:rPr>
            <w:t>农业农村管理方面1项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_Toc589852508 </w:instrText>
          </w:r>
          <w:r>
            <w:fldChar w:fldCharType="separate"/>
          </w:r>
          <w:r>
            <w:rPr>
              <w:rFonts w:hint="eastAsia" w:asciiTheme="minorEastAsia" w:hAnsiTheme="minorEastAsia" w:eastAsiaTheme="minorEastAsia"/>
              <w:szCs w:val="15"/>
            </w:rPr>
            <w:t>卫生健康管理方面12项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_Toc979026322 </w:instrText>
          </w:r>
          <w:r>
            <w:fldChar w:fldCharType="separate"/>
          </w:r>
          <w:r>
            <w:rPr>
              <w:rFonts w:hint="eastAsia"/>
              <w:szCs w:val="21"/>
              <w:lang w:eastAsia="zh-CN"/>
            </w:rPr>
            <w:t>住建部门</w:t>
          </w:r>
          <w:r>
            <w:tab/>
          </w:r>
          <w:r>
            <w:rPr>
              <w:rFonts w:hint="eastAsia"/>
              <w:lang w:val="en-US" w:eastAsia="zh-CN"/>
            </w:rPr>
            <w:t>8</w:t>
          </w:r>
          <w:r>
            <w:fldChar w:fldCharType="end"/>
          </w:r>
        </w:p>
        <w:p>
          <w:pPr>
            <w:pStyle w:val="18"/>
            <w:tabs>
              <w:tab w:val="right" w:leader="dot" w:pos="9582"/>
            </w:tabs>
          </w:pPr>
          <w:r>
            <w:fldChar w:fldCharType="begin"/>
          </w:r>
          <w:r>
            <w:instrText xml:space="preserve"> HYPERLINK \l _Toc1056450575 </w:instrText>
          </w:r>
          <w:r>
            <w:fldChar w:fldCharType="separate"/>
          </w:r>
          <w:r>
            <w:rPr>
              <w:rFonts w:hint="eastAsia"/>
              <w:szCs w:val="15"/>
              <w:lang w:eastAsia="zh-CN"/>
            </w:rPr>
            <w:t>《北京市住房租赁条例》案由</w:t>
          </w:r>
          <w:r>
            <w:rPr>
              <w:rFonts w:hint="eastAsia"/>
              <w:szCs w:val="15"/>
              <w:lang w:val="en-US" w:eastAsia="zh-CN"/>
            </w:rPr>
            <w:t>1项</w:t>
          </w:r>
          <w:r>
            <w:tab/>
          </w:r>
          <w:r>
            <w:rPr>
              <w:rFonts w:hint="eastAsia"/>
              <w:lang w:val="en-US" w:eastAsia="zh-CN"/>
            </w:rPr>
            <w:t>8</w:t>
          </w:r>
          <w:r>
            <w:fldChar w:fldCharType="end"/>
          </w:r>
        </w:p>
        <w:p>
          <w:pPr>
            <w:pStyle w:val="21"/>
          </w:pPr>
          <w:r>
            <w:fldChar w:fldCharType="end"/>
          </w:r>
        </w:p>
      </w:sdtContent>
    </w:sdt>
    <w:p>
      <w:pPr>
        <w:pStyle w:val="21"/>
        <w:rPr>
          <w:rFonts w:hint="eastAsia"/>
          <w:highlight w:val="none"/>
        </w:rPr>
      </w:pPr>
    </w:p>
    <w:p>
      <w:pPr>
        <w:pStyle w:val="21"/>
        <w:rPr>
          <w:rFonts w:hint="eastAsia"/>
          <w:highlight w:val="none"/>
        </w:rPr>
      </w:pPr>
    </w:p>
    <w:p>
      <w:pPr>
        <w:pStyle w:val="21"/>
        <w:rPr>
          <w:rFonts w:hint="eastAsia"/>
          <w:highlight w:val="none"/>
        </w:rPr>
      </w:pPr>
    </w:p>
    <w:p>
      <w:pPr>
        <w:pStyle w:val="21"/>
        <w:ind w:left="0" w:leftChars="0" w:firstLine="0" w:firstLineChars="0"/>
        <w:rPr>
          <w:rFonts w:hint="eastAsia"/>
          <w:highlight w:val="none"/>
        </w:rPr>
        <w:sectPr>
          <w:pgSz w:w="11850" w:h="16840"/>
          <w:pgMar w:top="907" w:right="1134" w:bottom="907" w:left="1134" w:header="851" w:footer="624" w:gutter="0"/>
          <w:pgNumType w:start="1"/>
          <w:cols w:space="0" w:num="1"/>
          <w:rtlGutter w:val="0"/>
          <w:docGrid w:linePitch="634" w:charSpace="0"/>
        </w:sectPr>
      </w:pPr>
    </w:p>
    <w:tbl>
      <w:tblPr>
        <w:tblStyle w:val="22"/>
        <w:tblW w:w="15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
        <w:gridCol w:w="677"/>
        <w:gridCol w:w="223"/>
        <w:gridCol w:w="857"/>
        <w:gridCol w:w="643"/>
        <w:gridCol w:w="857"/>
        <w:gridCol w:w="1290"/>
        <w:gridCol w:w="642"/>
        <w:gridCol w:w="751"/>
        <w:gridCol w:w="1425"/>
        <w:gridCol w:w="2447"/>
        <w:gridCol w:w="884"/>
        <w:gridCol w:w="2369"/>
        <w:gridCol w:w="16"/>
        <w:gridCol w:w="869"/>
        <w:gridCol w:w="339"/>
        <w:gridCol w:w="53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20" w:lineRule="exact"/>
              <w:rPr>
                <w:rFonts w:asciiTheme="minorEastAsia" w:hAnsiTheme="minorEastAsia" w:eastAsiaTheme="minorEastAsia"/>
                <w:sz w:val="15"/>
                <w:szCs w:val="15"/>
              </w:rPr>
            </w:pPr>
            <w:bookmarkStart w:id="0" w:name="_Toc1437339030"/>
            <w:bookmarkStart w:id="1" w:name="_Toc110851502"/>
            <w:bookmarkStart w:id="2" w:name="_Toc341845612"/>
            <w:bookmarkStart w:id="3" w:name="_Toc1953583257"/>
            <w:r>
              <w:rPr>
                <w:rFonts w:hint="eastAsia" w:asciiTheme="minorEastAsia" w:hAnsiTheme="minorEastAsia" w:eastAsiaTheme="minorEastAsia"/>
                <w:sz w:val="15"/>
                <w:szCs w:val="15"/>
              </w:rPr>
              <w:t>生态环境管理方面</w:t>
            </w:r>
            <w:bookmarkEnd w:id="0"/>
            <w:r>
              <w:rPr>
                <w:rFonts w:hint="eastAsia" w:asciiTheme="minorEastAsia" w:hAnsiTheme="minorEastAsia" w:eastAsiaTheme="minorEastAsia"/>
                <w:sz w:val="15"/>
                <w:szCs w:val="15"/>
              </w:rPr>
              <w:t>4项</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20"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服装干洗和机动车维修等</w:t>
            </w:r>
            <w:r>
              <w:rPr>
                <w:rFonts w:hint="eastAsia" w:cs="仿宋_GB2312" w:asciiTheme="minorEastAsia" w:hAnsiTheme="minorEastAsia" w:eastAsiaTheme="minorEastAsia"/>
                <w:kern w:val="0"/>
                <w:sz w:val="15"/>
                <w:szCs w:val="15"/>
              </w:rPr>
              <w:t>项目</w:t>
            </w:r>
            <w:r>
              <w:rPr>
                <w:rFonts w:hint="eastAsia" w:cs="仿宋_GB2312" w:asciiTheme="minorEastAsia" w:hAnsiTheme="minorEastAsia" w:eastAsiaTheme="minorEastAsia"/>
                <w:color w:val="000000"/>
                <w:kern w:val="0"/>
                <w:sz w:val="15"/>
                <w:szCs w:val="15"/>
                <w:lang w:bidi="ar"/>
              </w:rPr>
              <w:t>，未设置异味和废气处理装置等污染防治设施并保持正常使用</w:t>
            </w:r>
          </w:p>
        </w:tc>
        <w:tc>
          <w:tcPr>
            <w:tcW w:w="2789" w:type="dxa"/>
            <w:gridSpan w:val="3"/>
            <w:vAlign w:val="center"/>
          </w:tcPr>
          <w:p>
            <w:pPr>
              <w:spacing w:line="220" w:lineRule="exact"/>
              <w:jc w:val="lef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4"/>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不正常使用异味和废气处理装置等净化设施0.2-1万元；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未安装或者安装后擅自拆除异味和废气净化设施1-2万元；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拒不改正的，责令停业整治。</w:t>
            </w:r>
          </w:p>
        </w:tc>
        <w:tc>
          <w:tcPr>
            <w:tcW w:w="2385" w:type="dxa"/>
            <w:gridSpan w:val="2"/>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不使用清洁能源</w:t>
            </w:r>
          </w:p>
        </w:tc>
        <w:tc>
          <w:tcPr>
            <w:tcW w:w="2789" w:type="dxa"/>
            <w:gridSpan w:val="3"/>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4"/>
            <w:vAlign w:val="center"/>
          </w:tcPr>
          <w:p>
            <w:pPr>
              <w:spacing w:line="232"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3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4"/>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未密闭贮存易产生扬尘的物料，</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未设置严密围挡，或未采取有效覆盖措施防治扬尘，</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kern w:val="0"/>
                <w:sz w:val="15"/>
                <w:szCs w:val="15"/>
                <w:lang w:bidi="ar"/>
              </w:rPr>
              <w:t>拒不改正的，责令停工整治或者停业整治。</w:t>
            </w:r>
          </w:p>
        </w:tc>
        <w:tc>
          <w:tcPr>
            <w:tcW w:w="2385" w:type="dxa"/>
            <w:gridSpan w:val="2"/>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49"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32" w:lineRule="exact"/>
              <w:rPr>
                <w:rFonts w:asciiTheme="minorEastAsia" w:hAnsiTheme="minorEastAsia" w:eastAsiaTheme="minorEastAsia"/>
                <w:sz w:val="15"/>
                <w:szCs w:val="15"/>
              </w:rPr>
            </w:pPr>
            <w:bookmarkStart w:id="4" w:name="_Toc110851503"/>
            <w:bookmarkStart w:id="5" w:name="_Toc1112894806"/>
            <w:bookmarkStart w:id="6" w:name="_Toc1642327804"/>
            <w:r>
              <w:rPr>
                <w:rFonts w:hint="eastAsia" w:asciiTheme="minorEastAsia" w:hAnsiTheme="minorEastAsia" w:eastAsiaTheme="minorEastAsia"/>
                <w:sz w:val="15"/>
                <w:szCs w:val="15"/>
              </w:rPr>
              <w:t>水务管理方面20项</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2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向雨水收集口、雨水管道排放或者倾倒污水、污物和垃圾等废弃物</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《北京市水污染防治条例》</w:t>
            </w:r>
          </w:p>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对单位：倾倒少量生活污水的，1万≤罚款额≤3万；排放或者倾倒污水污物和垃圾等废弃物，3万＜罚款额≤6</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万；排放或者倾倒污水污物和垃圾等废弃物，情节严重的，6万＜罚款额≤10万。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对个人：倾倒少量生活污水的，0.1万≤罚款额≤0.3万；排放或者倾倒污水污物和垃圾等废弃物，0.3万＜罚款额≤0.6万；</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排放或者倾倒污水污物和垃圾等废弃物，情节严重的，0.6万＜罚款额≤1万。</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94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擅自倾倒、堆放、丢弃、遗撒污泥</w:t>
            </w:r>
          </w:p>
        </w:tc>
        <w:tc>
          <w:tcPr>
            <w:tcW w:w="2789" w:type="dxa"/>
            <w:gridSpan w:val="3"/>
            <w:vAlign w:val="center"/>
          </w:tcPr>
          <w:p>
            <w:pPr>
              <w:spacing w:line="190"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《城镇排水与污水处理条例</w:t>
            </w:r>
            <w:r>
              <w:rPr>
                <w:rFonts w:hint="eastAsia" w:asciiTheme="minorEastAsia" w:hAnsiTheme="minorEastAsia" w:eastAsiaTheme="minor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因巡查、维护不到位，导致窨井盖丢失、损毁，造成人员伤亡和财产损失</w:t>
            </w:r>
          </w:p>
        </w:tc>
        <w:tc>
          <w:tcPr>
            <w:tcW w:w="2789" w:type="dxa"/>
            <w:gridSpan w:val="3"/>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逾期不改正，但未造成其他严重后果的，10万≤罚款额≤30万；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造成财产损失的，30万＜罚款额≤40万；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造成人员伤亡的，40万＜罚款额≤50万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在河湖管理范围、保护范围内围河、挖筑鱼塘、挖坑开槽、勘探或者设立线杆、线塔、无线通信塔、标识</w:t>
            </w:r>
          </w:p>
        </w:tc>
        <w:tc>
          <w:tcPr>
            <w:tcW w:w="2789" w:type="dxa"/>
            <w:gridSpan w:val="3"/>
            <w:vAlign w:val="center"/>
          </w:tcPr>
          <w:p>
            <w:pPr>
              <w:spacing w:line="216"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在保护范围内，1万≤罚款额≤3万；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在管理范围内，3万＜罚款额≤5万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在河湖管理范围、保护范围内设置固定停车场所</w:t>
            </w:r>
          </w:p>
        </w:tc>
        <w:tc>
          <w:tcPr>
            <w:tcW w:w="2789" w:type="dxa"/>
            <w:gridSpan w:val="3"/>
            <w:vAlign w:val="center"/>
          </w:tcPr>
          <w:p>
            <w:pPr>
              <w:spacing w:line="216"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在河湖管理范围、保护范围内修路，或者修建园林小品、管理房及其附属设施</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在河湖管理范围、保护范围内进行河道改线、开挖人工湖泊</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毁坏或者拆除保护名录中的水工建筑物、构筑物、遗址</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《北京市河湖保护管理条例》违反条款：第二十四条第二款；处罚条款：第四十二条，责令其停止违法行为，限期恢复原状，处10万元以上50万元以下的罚款。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开展水上旅游项目或者其他利用活动时使用以柴油、汽油为动力的游船</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未经批准擅自利用河湖进行开发利用活动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《北京市河湖保护管理条例》违反条款：第三十一条第二款；处罚条款：第四十四条第二款，责令停止违法行为，限期改正，处2万元以上10万元以下的罚款。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在地表饮用水水源一级保护区的水域内垂钓</w:t>
            </w:r>
          </w:p>
        </w:tc>
        <w:tc>
          <w:tcPr>
            <w:tcW w:w="2789" w:type="dxa"/>
            <w:gridSpan w:val="3"/>
            <w:vAlign w:val="center"/>
          </w:tcPr>
          <w:p>
            <w:pPr>
              <w:spacing w:line="212" w:lineRule="exact"/>
              <w:rPr>
                <w:rFonts w:asciiTheme="minorEastAsia" w:hAnsiTheme="minorEastAsia" w:eastAsiaTheme="minorEastAsia"/>
                <w:spacing w:val="-4"/>
                <w:sz w:val="15"/>
                <w:szCs w:val="15"/>
              </w:rPr>
            </w:pPr>
            <w:r>
              <w:rPr>
                <w:rFonts w:hint="eastAsia" w:asciiTheme="minorEastAsia" w:hAnsiTheme="minorEastAsia" w:eastAsiaTheme="minor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1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在堤防和护堤地，从事放牧、葬坟、晒粮、开渠、打井、挖窖、取土、存放物料、开办集市贸易、开采地下资源、进行考古发掘等活动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在堤防上及大型渠道内垦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、放牧</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 xml:space="preserve">的，还应令其恢复地貌。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0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在河道、湖泊管理范围内倾倒垃圾、渣土从事影响河势稳定、危害河岸堤防安全和其他妨碍河道行洪的活动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《北京市水利工程保护管理条例》违反条款：第九条第（三）项；处罚条款：第二十一条第（二）项，责令排除阻碍或者采取其他补救措施，可以处5万元以下罚款。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倾倒量≤5m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，罚款额≤1万；5m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倾倒量≤10m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，1万＜罚款额≤2万；10m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倾倒量≤20m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，2万＜罚款额≤3万；20m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倾倒量，3万＜罚款额≤5万</w:t>
            </w:r>
            <w:r>
              <w:rPr>
                <w:rFonts w:cs="Calibri"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6"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在地表饮用水水源保护区和准保护区内、组织水上旅游或者其他可能污染饮用水水源活动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在河道、湖泊管理范围内建设妨碍行洪的建筑物、构筑物，或者从事影响河势稳定、危害河岸堤防安全和其他妨碍河道行洪的活动</w:t>
            </w:r>
          </w:p>
        </w:tc>
        <w:tc>
          <w:tcPr>
            <w:tcW w:w="2789" w:type="dxa"/>
            <w:gridSpan w:val="3"/>
            <w:vAlign w:val="center"/>
          </w:tcPr>
          <w:p>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在生态清洁小流域范围内的沟道内私搭乱建、堆放物品</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在生态清洁小流域范围内随意取土、挖砂、倾倒垃圾、排放污水</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在生态清洁小流域范围内破坏水土保持设施或者干扰其正常运行</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20</w:t>
            </w:r>
          </w:p>
        </w:tc>
        <w:tc>
          <w:tcPr>
            <w:tcW w:w="1500" w:type="dxa"/>
            <w:gridSpan w:val="2"/>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擅自在河湖管理范围内新建、改建或者扩大排水口</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《北京市河湖保护管理条例》违反条款：第二十八条第一款；处罚条款：第四十三条，责令停止违法行为，限期恢复原状，处5万元以上10万元以下的罚款。</w:t>
            </w:r>
          </w:p>
        </w:tc>
        <w:tc>
          <w:tcPr>
            <w:tcW w:w="5507" w:type="dxa"/>
            <w:gridSpan w:val="4"/>
            <w:vAlign w:val="center"/>
          </w:tcPr>
          <w:p>
            <w:pPr>
              <w:pStyle w:val="21"/>
              <w:spacing w:after="0" w:line="210"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10" w:lineRule="exact"/>
              <w:rPr>
                <w:rFonts w:asciiTheme="minorEastAsia" w:hAnsiTheme="minorEastAsia" w:eastAsiaTheme="minorEastAsia"/>
                <w:sz w:val="15"/>
                <w:szCs w:val="15"/>
              </w:rPr>
            </w:pPr>
            <w:bookmarkStart w:id="7" w:name="_Toc110851504"/>
            <w:bookmarkStart w:id="8" w:name="_Toc1290044525"/>
            <w:bookmarkStart w:id="9" w:name="_Toc473764242"/>
            <w:r>
              <w:rPr>
                <w:rFonts w:hint="eastAsia" w:asciiTheme="minorEastAsia" w:hAnsiTheme="minorEastAsia" w:eastAsiaTheme="minorEastAsia"/>
                <w:sz w:val="15"/>
                <w:szCs w:val="15"/>
              </w:rPr>
              <w:t>农业农村管理方面1项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在增殖放流水域垂钓</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宋体" w:asciiTheme="minorEastAsia" w:hAnsiTheme="minorEastAsia" w:eastAsiaTheme="minorEastAsia"/>
                <w:color w:val="000000"/>
                <w:kern w:val="0"/>
                <w:sz w:val="15"/>
                <w:szCs w:val="15"/>
              </w:rPr>
              <w:t>责令停止违法行为，没收渔具，并可处50元以上500元以下罚款。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10" w:lineRule="exact"/>
              <w:rPr>
                <w:rFonts w:asciiTheme="minorEastAsia" w:hAnsiTheme="minorEastAsia" w:eastAsiaTheme="minorEastAsia"/>
                <w:sz w:val="15"/>
                <w:szCs w:val="15"/>
              </w:rPr>
            </w:pPr>
            <w:bookmarkStart w:id="10" w:name="_Toc110851505"/>
            <w:bookmarkStart w:id="11" w:name="_Toc2011773058"/>
            <w:bookmarkStart w:id="12" w:name="_Toc589852508"/>
            <w:r>
              <w:rPr>
                <w:rFonts w:hint="eastAsia" w:asciiTheme="minorEastAsia" w:hAnsiTheme="minorEastAsia" w:eastAsiaTheme="minorEastAsia"/>
                <w:sz w:val="15"/>
                <w:szCs w:val="15"/>
              </w:rPr>
              <w:t>卫生健康管理方面12项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未按规定采取清除鼠迹、堵塞鼠洞、添设防范设施等措施及毒杀、诱捕等方法消灭老鼠，使鼠密度等指标符合国家控制标准</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未按规定清除蚊蝇孳生地并运用化学、物理、生物等方法消灭蚊蝇及其幼虫，使蚊蝇密度等指标符合国家控制标准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发现蟑螂未按规定及时采取灭杀措施，使蟑螂密度等指标符合国家控制标准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未按规定配置四害防治设施或者无人负责除四害工作</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《北京市除四害工作管理规定》违反条款：第十一条；处罚条款：第十六条第（二）项，予以警告，责令限期改正，并可处以20元以上1000元以下罚款。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未造成严重后果的，情节严重的，警告，处以500元以上（不含）1000元以下（含）罚款。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未按规定采取统一的除四害措施</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《北京市除四害工作管理规定》违反条款：第十二条；处罚条款：第十六条第（三）项，给予警告，责令限期改正；逾期不改正的，可处以20元以上1000元以下罚款。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未建立禁止吸烟管理制度，做好宣传教育工作且拒不改正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《北京市控制吸烟条例》违反条款：第十三条第一款第（一）项；处罚条款：第二十四条第（一）项，责令限期改正;拒不改正的，处2000元以上5000元以下罚款。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未在禁止吸烟场所设置明显的禁止吸烟标志和举报投诉电话号码标识且拒不改正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《北京市控制吸烟条例》违反条款：第十三条第一款第（二）项；处罚条款：第二十四条第（一）项，责令限期改正;拒不改正的，处2000元以上5000元以下罚款。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在禁止吸烟场所提供烟具和附有烟草广告的物品且拒不改正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《北京市控制吸烟条例》违反条款：第十三条第一款第（三）项；处罚条款：第二十四条第（一）项，责令限期改正;拒不改正的，处2000元以上5000元以下罚款。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未开展禁止吸烟检查工作，制作并留存禁止吸烟检查工作相关记录且拒不改正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《北京市控制吸烟条例》违反条款：第十三条第一款第（四）项；处罚条款：第二十四条第（一）项，责令限期改正;拒不改正的，处2000元以上5000元以下罚款。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在禁止吸烟场所内的吸烟者未予以劝阻，对不听劝阻的吸烟者未要求其离开，对不听劝阻且不离开的吸烟者未投诉举报</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《北京市控制吸烟条例》违反条款：第十三条第一款第（五）项；处罚条款：第二十四条第（二）项，给予警告，并处5000元以上1万元以下罚款。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场所内吸烟者有1人的，警告，并处5000元罚款；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场所内吸烟者有2-5人的，警告，并处5000元以上（不含）8000元以下（含）罚款；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场所内吸烟者有5人以上的，警告，并处8000元以上（不含）1万元以下（含）罚款。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在其他禁止吸烟场所或者排队等候队伍中吸烟</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《北京市控制吸烟条例》违反条款：第十四条；处罚条款：第二十五条第一款，责令改正，可以处50元罚款;拒不改正的，处200元罚款。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在禁止吸烟场所或者排队等候队伍中吸烟，处50元罚款；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在禁止吸烟场所或者排队等候队伍中吸烟，拒不改正，处200元罚款。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在幼儿园、中小学校、少年宫、儿童福利机构等以未成年人为主要活动人群的场所吸烟</w:t>
            </w:r>
          </w:p>
        </w:tc>
        <w:tc>
          <w:tcPr>
            <w:tcW w:w="2789" w:type="dxa"/>
            <w:gridSpan w:val="3"/>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《北京市控制吸烟条例》违反条款：第十四条；处罚条款：第二十五条第一款，责令改正，给予警告，可以并处200元以上500以下罚款。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警告，可以并处200元以上（含）500元以下（含）罚款。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4" w:hRule="atLeast"/>
        </w:trPr>
        <w:tc>
          <w:tcPr>
            <w:tcW w:w="14329" w:type="dxa"/>
            <w:gridSpan w:val="16"/>
            <w:vAlign w:val="center"/>
          </w:tcPr>
          <w:p>
            <w:pPr>
              <w:pStyle w:val="2"/>
              <w:bidi w:val="0"/>
              <w:rPr>
                <w:rFonts w:hint="eastAsia" w:asciiTheme="minorEastAsia" w:hAnsiTheme="minorEastAsia" w:eastAsiaTheme="minorEastAsia"/>
                <w:color w:val="000000" w:themeColor="text1"/>
                <w:szCs w:val="15"/>
                <w:lang w:eastAsia="zh-CN"/>
                <w14:textFill>
                  <w14:solidFill>
                    <w14:schemeClr w14:val="tx1"/>
                  </w14:solidFill>
                </w14:textFill>
              </w:rPr>
            </w:pPr>
            <w:bookmarkStart w:id="13" w:name="_Toc979026322"/>
            <w:r>
              <w:rPr>
                <w:rFonts w:hint="eastAsia"/>
                <w:sz w:val="21"/>
                <w:szCs w:val="21"/>
                <w:lang w:eastAsia="zh-CN"/>
              </w:rPr>
              <w:t>住建部门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2" w:hRule="atLeast"/>
        </w:trPr>
        <w:tc>
          <w:tcPr>
            <w:tcW w:w="14329" w:type="dxa"/>
            <w:gridSpan w:val="16"/>
            <w:vAlign w:val="center"/>
          </w:tcPr>
          <w:p>
            <w:pPr>
              <w:pStyle w:val="3"/>
              <w:bidi w:val="0"/>
              <w:jc w:val="center"/>
              <w:rPr>
                <w:rFonts w:hint="default"/>
                <w:szCs w:val="21"/>
                <w:lang w:val="en-US" w:eastAsia="zh-CN"/>
              </w:rPr>
            </w:pPr>
            <w:bookmarkStart w:id="14" w:name="_Toc1056450575"/>
            <w:r>
              <w:rPr>
                <w:rFonts w:hint="eastAsia"/>
                <w:sz w:val="15"/>
                <w:szCs w:val="15"/>
                <w:lang w:eastAsia="zh-CN"/>
              </w:rPr>
              <w:t>《北京市住房租赁条例》案由</w:t>
            </w:r>
            <w:r>
              <w:rPr>
                <w:rFonts w:hint="eastAsia"/>
                <w:sz w:val="15"/>
                <w:szCs w:val="15"/>
                <w:lang w:val="en-US" w:eastAsia="zh-CN"/>
              </w:rPr>
              <w:t>1项</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48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职权编号</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 认定依据</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违法行为处罚依据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基准编号</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违法情形</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裁量基准</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违法行为分类</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处罚公示期限</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对未按照规定出租住房的行为进行处罚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 第十三条第一款第（三）项至第（五）项</w:t>
            </w:r>
          </w:p>
        </w:tc>
        <w:tc>
          <w:tcPr>
            <w:tcW w:w="139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《北京市住房租赁条例》第六十三条第三款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pStyle w:val="21"/>
      </w:pPr>
    </w:p>
    <w:sectPr>
      <w:pgSz w:w="16840" w:h="11850" w:orient="landscape"/>
      <w:pgMar w:top="1134" w:right="907" w:bottom="1134" w:left="907" w:header="851" w:footer="624" w:gutter="0"/>
      <w:pgNumType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95"/>
  <w:drawingGridVerticalSpacing w:val="317"/>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B6DF63"/>
    <w:rsid w:val="27C70235"/>
    <w:rsid w:val="27D30408"/>
    <w:rsid w:val="284B6909"/>
    <w:rsid w:val="286379F8"/>
    <w:rsid w:val="2959155B"/>
    <w:rsid w:val="29CE0AFE"/>
    <w:rsid w:val="2A050A46"/>
    <w:rsid w:val="2A6D712E"/>
    <w:rsid w:val="2BD27518"/>
    <w:rsid w:val="2D860E5E"/>
    <w:rsid w:val="2D88708D"/>
    <w:rsid w:val="2D9E7B63"/>
    <w:rsid w:val="2DDBB70C"/>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705CED"/>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D1D3248"/>
    <w:rsid w:val="3D323C74"/>
    <w:rsid w:val="3D7E3DA3"/>
    <w:rsid w:val="3DEFACC2"/>
    <w:rsid w:val="3E6C5DD9"/>
    <w:rsid w:val="3E8F2131"/>
    <w:rsid w:val="3EAE9719"/>
    <w:rsid w:val="3EB0A816"/>
    <w:rsid w:val="3EB542D6"/>
    <w:rsid w:val="3EEB4BED"/>
    <w:rsid w:val="3EEC4AB3"/>
    <w:rsid w:val="3EFF20E1"/>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EFE41"/>
    <w:rsid w:val="4EFFCC04"/>
    <w:rsid w:val="4F3E1289"/>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70A95"/>
    <w:rsid w:val="576E940A"/>
    <w:rsid w:val="57AFC138"/>
    <w:rsid w:val="57DBE7AC"/>
    <w:rsid w:val="582A60AC"/>
    <w:rsid w:val="58841836"/>
    <w:rsid w:val="594F9F96"/>
    <w:rsid w:val="598F29B3"/>
    <w:rsid w:val="599FD232"/>
    <w:rsid w:val="59CD9A52"/>
    <w:rsid w:val="5AEC2D3D"/>
    <w:rsid w:val="5B3336B2"/>
    <w:rsid w:val="5B5642E6"/>
    <w:rsid w:val="5B7E9F71"/>
    <w:rsid w:val="5B9A48BE"/>
    <w:rsid w:val="5BD7D220"/>
    <w:rsid w:val="5BF3A74E"/>
    <w:rsid w:val="5BF8AA04"/>
    <w:rsid w:val="5BFC5027"/>
    <w:rsid w:val="5BFD3CB7"/>
    <w:rsid w:val="5C6FBA19"/>
    <w:rsid w:val="5D7F530F"/>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9B025"/>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5FAB8AE"/>
    <w:rsid w:val="76206228"/>
    <w:rsid w:val="767FD516"/>
    <w:rsid w:val="76BB9CA5"/>
    <w:rsid w:val="775F8ADC"/>
    <w:rsid w:val="776EFD4D"/>
    <w:rsid w:val="7797CA11"/>
    <w:rsid w:val="77B2FF19"/>
    <w:rsid w:val="77C7E874"/>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9FF3494"/>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BB1D2"/>
    <w:rsid w:val="7DBDC376"/>
    <w:rsid w:val="7DBFBEF4"/>
    <w:rsid w:val="7DCCA112"/>
    <w:rsid w:val="7DDF9BC5"/>
    <w:rsid w:val="7DEB9A91"/>
    <w:rsid w:val="7DF5F05D"/>
    <w:rsid w:val="7DF790F9"/>
    <w:rsid w:val="7DF9B896"/>
    <w:rsid w:val="7DFA7BD2"/>
    <w:rsid w:val="7DFB7837"/>
    <w:rsid w:val="7DFE5EBD"/>
    <w:rsid w:val="7DFFB292"/>
    <w:rsid w:val="7DFFE009"/>
    <w:rsid w:val="7E131720"/>
    <w:rsid w:val="7E5FDE9C"/>
    <w:rsid w:val="7E884CE2"/>
    <w:rsid w:val="7EAD171A"/>
    <w:rsid w:val="7EBA6A5F"/>
    <w:rsid w:val="7EDF0B49"/>
    <w:rsid w:val="7EED2D5B"/>
    <w:rsid w:val="7EEE9E16"/>
    <w:rsid w:val="7EF2E440"/>
    <w:rsid w:val="7EF34A6F"/>
    <w:rsid w:val="7EFBDC7D"/>
    <w:rsid w:val="7EFF1433"/>
    <w:rsid w:val="7EFF16F6"/>
    <w:rsid w:val="7EFFCE13"/>
    <w:rsid w:val="7F2DF10F"/>
    <w:rsid w:val="7F37AFE3"/>
    <w:rsid w:val="7F37D14E"/>
    <w:rsid w:val="7F3E124F"/>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7DCD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9ECE6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9F2C54"/>
    <w:rsid w:val="ABBFA497"/>
    <w:rsid w:val="ABC79617"/>
    <w:rsid w:val="ABFE4843"/>
    <w:rsid w:val="AD970582"/>
    <w:rsid w:val="AF6CC4AE"/>
    <w:rsid w:val="AFD7123F"/>
    <w:rsid w:val="AFEA9A4C"/>
    <w:rsid w:val="AFFED56E"/>
    <w:rsid w:val="B33C0D29"/>
    <w:rsid w:val="B3F148B5"/>
    <w:rsid w:val="B5B576AC"/>
    <w:rsid w:val="B69BA5DD"/>
    <w:rsid w:val="B763EBBC"/>
    <w:rsid w:val="B76EFA11"/>
    <w:rsid w:val="B7EDC966"/>
    <w:rsid w:val="B7F386E3"/>
    <w:rsid w:val="B7FB4C34"/>
    <w:rsid w:val="B7FC70DB"/>
    <w:rsid w:val="B7FFB16E"/>
    <w:rsid w:val="B7FFD648"/>
    <w:rsid w:val="B9DE29B9"/>
    <w:rsid w:val="B9FF7F8E"/>
    <w:rsid w:val="BAEE8A21"/>
    <w:rsid w:val="BAEF907E"/>
    <w:rsid w:val="BBEFF16C"/>
    <w:rsid w:val="BD3F42D7"/>
    <w:rsid w:val="BD7F915C"/>
    <w:rsid w:val="BDBD2207"/>
    <w:rsid w:val="BDBFD108"/>
    <w:rsid w:val="BDFBC3F4"/>
    <w:rsid w:val="BDFFAC50"/>
    <w:rsid w:val="BE16CC4E"/>
    <w:rsid w:val="BE3BE464"/>
    <w:rsid w:val="BE5F612F"/>
    <w:rsid w:val="BEB746B8"/>
    <w:rsid w:val="BEBB3B93"/>
    <w:rsid w:val="BEDE62FB"/>
    <w:rsid w:val="BEEFA20C"/>
    <w:rsid w:val="BEEFB08B"/>
    <w:rsid w:val="BEFD8481"/>
    <w:rsid w:val="BF7F3043"/>
    <w:rsid w:val="BFA69F1D"/>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427A4B1"/>
    <w:rsid w:val="D5080E33"/>
    <w:rsid w:val="D5E8B31C"/>
    <w:rsid w:val="D5E8D377"/>
    <w:rsid w:val="D67F4E7E"/>
    <w:rsid w:val="D6DF4AEF"/>
    <w:rsid w:val="D6EB6563"/>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7FB3AB"/>
    <w:rsid w:val="DF9EA8A9"/>
    <w:rsid w:val="DFADB1E4"/>
    <w:rsid w:val="DFBF3DB0"/>
    <w:rsid w:val="DFBFB69D"/>
    <w:rsid w:val="DFDF25CB"/>
    <w:rsid w:val="DFE71C10"/>
    <w:rsid w:val="DFE734D9"/>
    <w:rsid w:val="DFF7BB33"/>
    <w:rsid w:val="DFF7D1B1"/>
    <w:rsid w:val="DFFA2D74"/>
    <w:rsid w:val="DFFDA77F"/>
    <w:rsid w:val="DFFF1FED"/>
    <w:rsid w:val="E1BE4097"/>
    <w:rsid w:val="E1F7CD63"/>
    <w:rsid w:val="E2FF1653"/>
    <w:rsid w:val="E385F030"/>
    <w:rsid w:val="E5B5433D"/>
    <w:rsid w:val="E5D8E41E"/>
    <w:rsid w:val="E5DBD33F"/>
    <w:rsid w:val="E6E3C5F0"/>
    <w:rsid w:val="E6FF1BD9"/>
    <w:rsid w:val="E779E75A"/>
    <w:rsid w:val="E78FF6AA"/>
    <w:rsid w:val="E7CFD029"/>
    <w:rsid w:val="E7FF9A1A"/>
    <w:rsid w:val="E7FFCEF3"/>
    <w:rsid w:val="E9B838B1"/>
    <w:rsid w:val="E9D36EAE"/>
    <w:rsid w:val="E9D78029"/>
    <w:rsid w:val="E9FCF86D"/>
    <w:rsid w:val="E9FD3D14"/>
    <w:rsid w:val="E9FEB65B"/>
    <w:rsid w:val="EAB7969D"/>
    <w:rsid w:val="EAF627E0"/>
    <w:rsid w:val="EAF66968"/>
    <w:rsid w:val="EAF74962"/>
    <w:rsid w:val="EB560F3D"/>
    <w:rsid w:val="EB7781B6"/>
    <w:rsid w:val="EBABBC6B"/>
    <w:rsid w:val="ED457A82"/>
    <w:rsid w:val="EDFBC016"/>
    <w:rsid w:val="EDFF379D"/>
    <w:rsid w:val="EE1E7BE7"/>
    <w:rsid w:val="EE8E1C73"/>
    <w:rsid w:val="EEE7829C"/>
    <w:rsid w:val="EEF3B7B9"/>
    <w:rsid w:val="EEFCD448"/>
    <w:rsid w:val="EF780C29"/>
    <w:rsid w:val="EFB747A0"/>
    <w:rsid w:val="EFBFE406"/>
    <w:rsid w:val="EFDA80BF"/>
    <w:rsid w:val="EFDDE47A"/>
    <w:rsid w:val="EFDEB539"/>
    <w:rsid w:val="EFE6ECB7"/>
    <w:rsid w:val="EFF934BE"/>
    <w:rsid w:val="EFFDB996"/>
    <w:rsid w:val="EFFF6748"/>
    <w:rsid w:val="EFFF9B30"/>
    <w:rsid w:val="F0F94EE3"/>
    <w:rsid w:val="F0FB4779"/>
    <w:rsid w:val="F1BFDF14"/>
    <w:rsid w:val="F1FFB93C"/>
    <w:rsid w:val="F27FA38A"/>
    <w:rsid w:val="F2BB2614"/>
    <w:rsid w:val="F2CFD35C"/>
    <w:rsid w:val="F2FF12B4"/>
    <w:rsid w:val="F36F20A8"/>
    <w:rsid w:val="F3BE45FB"/>
    <w:rsid w:val="F3C7602B"/>
    <w:rsid w:val="F3FE868E"/>
    <w:rsid w:val="F49B07CE"/>
    <w:rsid w:val="F4B95111"/>
    <w:rsid w:val="F57F4DA8"/>
    <w:rsid w:val="F5BDD1EE"/>
    <w:rsid w:val="F5CF8F43"/>
    <w:rsid w:val="F5F58577"/>
    <w:rsid w:val="F5FE5C2F"/>
    <w:rsid w:val="F6BF00C6"/>
    <w:rsid w:val="F6F5656B"/>
    <w:rsid w:val="F6FBD95B"/>
    <w:rsid w:val="F73FC669"/>
    <w:rsid w:val="F77570B5"/>
    <w:rsid w:val="F7792F0B"/>
    <w:rsid w:val="F7BEC53E"/>
    <w:rsid w:val="F7CB21F0"/>
    <w:rsid w:val="F7CFDD56"/>
    <w:rsid w:val="F7D72319"/>
    <w:rsid w:val="F7D9F7D4"/>
    <w:rsid w:val="F7F6422D"/>
    <w:rsid w:val="F7FEBB66"/>
    <w:rsid w:val="F7FF14E5"/>
    <w:rsid w:val="F7FF49A9"/>
    <w:rsid w:val="F7FF5CC8"/>
    <w:rsid w:val="F83DD696"/>
    <w:rsid w:val="F8F4F377"/>
    <w:rsid w:val="F967DB1B"/>
    <w:rsid w:val="F9AF55C0"/>
    <w:rsid w:val="F9ED89BC"/>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124"/>
    <w:rsid w:val="FF7FE4B1"/>
    <w:rsid w:val="FF9F4B0B"/>
    <w:rsid w:val="FF9F5B82"/>
    <w:rsid w:val="FFAB6C8F"/>
    <w:rsid w:val="FFBF6300"/>
    <w:rsid w:val="FFCFE9D8"/>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3"/>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7"/>
    <w:qFormat/>
    <w:uiPriority w:val="0"/>
    <w:pPr>
      <w:shd w:val="clear" w:color="auto" w:fill="000080"/>
    </w:pPr>
  </w:style>
  <w:style w:type="paragraph" w:styleId="7">
    <w:name w:val="annotation text"/>
    <w:basedOn w:val="1"/>
    <w:link w:val="32"/>
    <w:qFormat/>
    <w:uiPriority w:val="0"/>
    <w:pPr>
      <w:jc w:val="left"/>
    </w:pPr>
  </w:style>
  <w:style w:type="paragraph" w:styleId="8">
    <w:name w:val="Body Text"/>
    <w:basedOn w:val="1"/>
    <w:qFormat/>
    <w:uiPriority w:val="0"/>
    <w:rPr>
      <w:rFonts w:ascii="仿宋_GB2312" w:eastAsia="仿宋_GB2312"/>
      <w:sz w:val="30"/>
      <w:szCs w:val="2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link w:val="5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7"/>
    <w:next w:val="7"/>
    <w:link w:val="39"/>
    <w:qFormat/>
    <w:uiPriority w:val="0"/>
    <w:rPr>
      <w:b/>
      <w:bCs/>
    </w:rPr>
  </w:style>
  <w:style w:type="paragraph" w:styleId="21">
    <w:name w:val="Body Text First Indent 2"/>
    <w:basedOn w:val="9"/>
    <w:unhideWhenUsed/>
    <w:qFormat/>
    <w:uiPriority w:val="99"/>
    <w:pPr>
      <w:ind w:firstLine="420" w:firstLineChars="200"/>
    </w:p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2"/>
    <w:qFormat/>
    <w:uiPriority w:val="0"/>
    <w:rPr>
      <w:rFonts w:ascii="Times New Roman" w:hAnsi="Times New Roman" w:eastAsia="方正小标宋简体" w:cs="Times New Roman"/>
      <w:b/>
      <w:bCs/>
      <w:kern w:val="44"/>
      <w:sz w:val="36"/>
      <w:szCs w:val="44"/>
    </w:rPr>
  </w:style>
  <w:style w:type="character" w:customStyle="1" w:styleId="31">
    <w:name w:val="标题 2 字符"/>
    <w:link w:val="3"/>
    <w:qFormat/>
    <w:uiPriority w:val="0"/>
    <w:rPr>
      <w:rFonts w:ascii="宋体" w:hAnsi="宋体" w:eastAsia="宋体" w:cs="宋体"/>
      <w:b/>
      <w:bCs/>
      <w:sz w:val="30"/>
      <w:szCs w:val="36"/>
    </w:rPr>
  </w:style>
  <w:style w:type="character" w:customStyle="1" w:styleId="32">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4"/>
    <w:qFormat/>
    <w:uiPriority w:val="0"/>
    <w:rPr>
      <w:rFonts w:ascii="Calibri Light" w:hAnsi="Calibri Light" w:eastAsia="宋体" w:cs="Times New Roman"/>
      <w:kern w:val="2"/>
      <w:sz w:val="21"/>
      <w:szCs w:val="21"/>
    </w:rPr>
  </w:style>
  <w:style w:type="paragraph" w:customStyle="1" w:styleId="34">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7">
    <w:name w:val="p121"/>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0"/>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qFormat/>
    <w:uiPriority w:val="0"/>
    <w:rPr>
      <w:rFonts w:ascii="Tahoma" w:hAnsi="Tahoma"/>
      <w:sz w:val="24"/>
      <w:szCs w:val="20"/>
    </w:rPr>
  </w:style>
  <w:style w:type="paragraph" w:customStyle="1" w:styleId="42">
    <w:name w:val="Char1 Char Char Char1"/>
    <w:basedOn w:val="1"/>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5"/>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6"/>
    <w:qFormat/>
    <w:uiPriority w:val="0"/>
    <w:rPr>
      <w:kern w:val="2"/>
      <w:sz w:val="21"/>
      <w:szCs w:val="24"/>
      <w:shd w:val="clear" w:color="auto" w:fill="000080"/>
    </w:rPr>
  </w:style>
  <w:style w:type="character" w:customStyle="1" w:styleId="58">
    <w:name w:val="批注框文本 字符"/>
    <w:basedOn w:val="23"/>
    <w:link w:val="13"/>
    <w:qFormat/>
    <w:uiPriority w:val="0"/>
    <w:rPr>
      <w:kern w:val="2"/>
      <w:sz w:val="18"/>
      <w:szCs w:val="18"/>
    </w:rPr>
  </w:style>
  <w:style w:type="paragraph" w:customStyle="1" w:styleId="59">
    <w:name w:val="列出段落1"/>
    <w:basedOn w:val="1"/>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12</TotalTime>
  <ScaleCrop>false</ScaleCrop>
  <LinksUpToDate>false</LinksUpToDate>
  <CharactersWithSpaces>134862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2022-08-11T18:35:00Z</dcterms:created>
  <dc:creator>张通</dc:creator>
  <cp:lastModifiedBy>龙梦然</cp:lastModifiedBy>
  <cp:lastPrinted>2022-09-12T18:45:00Z</cp:lastPrinted>
  <dcterms:modified xsi:type="dcterms:W3CDTF">2024-02-01T07:23:46Z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21CB7F7E36F44B2887F6D29F03788F44</vt:lpwstr>
  </property>
</Properties>
</file>