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1</w:t>
      </w:r>
    </w:p>
    <w:p>
      <w:pPr>
        <w:pStyle w:val="22"/>
        <w:rPr>
          <w:rFonts w:hint="eastAsia"/>
          <w:color w:val="auto"/>
          <w:highlight w:val="none"/>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val="en-US" w:eastAsia="zh-CN"/>
        </w:rPr>
        <w:t>城市管理综合行政</w:t>
      </w:r>
      <w:r>
        <w:rPr>
          <w:rFonts w:hint="eastAsia" w:ascii="方正小标宋简体" w:hAnsi="方正小标宋简体" w:eastAsia="方正小标宋简体" w:cs="方正小标宋简体"/>
          <w:sz w:val="44"/>
          <w:szCs w:val="44"/>
        </w:rPr>
        <w:t>执法</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处罚裁量基准表</w:t>
      </w:r>
    </w:p>
    <w:p>
      <w:pPr>
        <w:bidi w:val="0"/>
        <w:jc w:val="center"/>
        <w:rPr>
          <w:rFonts w:hint="eastAsia" w:ascii="方正小标宋简体" w:hAnsi="方正小标宋简体" w:eastAsia="方正小标宋简体" w:cs="方正小标宋简体"/>
          <w:color w:val="auto"/>
          <w:sz w:val="44"/>
          <w:szCs w:val="44"/>
          <w:highlight w:val="none"/>
        </w:rPr>
      </w:pP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_Toc1669778390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_Toc1669778390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_Toc775516766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_Toc775516766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_Toc2039013568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_Toc2039013568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_Toc1084685656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_Toc1084685656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_Toc32851811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_Toc32851811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_Toc33153229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_Toc33153229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_Toc897020634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_Toc897020634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_Toc809241782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_Toc809241782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_Toc330337466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_Toc330337466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_Toc1384488641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_Toc1384488641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_Toc917742392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_Toc917742392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_Toc1715829890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_Toc1715829890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_Toc1755862734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_Toc1755862734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_Toc2089471283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_Toc2089471283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_Toc439922097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_Toc439922097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_Toc1586891829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_Toc1586891829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_Toc642518973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_Toc642518973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_Toc631266799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_Toc631266799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_Toc1025082654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_Toc1025082654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_Toc409146700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_Toc409146700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_Toc1198600083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_Toc1198600083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_Toc1203017829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_Toc1203017829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_Toc1679121273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_Toc1679121273 \h </w:instrText>
          </w:r>
          <w:r>
            <w:fldChar w:fldCharType="separate"/>
          </w:r>
          <w:r>
            <w:t>47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_Toc1251091362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_Toc1251091362 \h </w:instrText>
          </w:r>
          <w:r>
            <w:fldChar w:fldCharType="separate"/>
          </w:r>
          <w:r>
            <w:t>50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_Toc1701661218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_Toc1701661218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_Toc1733834408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_Toc1733834408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_Toc1724443293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_Toc1724443293 \h </w:instrText>
          </w:r>
          <w:r>
            <w:fldChar w:fldCharType="separate"/>
          </w:r>
          <w:r>
            <w:t>61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_Toc1398569312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_Toc1398569312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_Toc513252856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_Toc513252856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_Toc890622862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_Toc890622862 \h </w:instrText>
          </w:r>
          <w:r>
            <w:fldChar w:fldCharType="separate"/>
          </w:r>
          <w:r>
            <w:t>72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_Toc1462488699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_Toc1462488699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_Toc35547598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_Toc35547598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_Toc1666139629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_Toc1666139629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_Toc1354018619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_Toc1354018619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_Toc1120233254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_Toc1120233254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_Toc1698991440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_Toc1698991440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_Toc1387171848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_Toc1387171848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_Toc2017253888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_Toc2017253888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_Toc360749574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_Toc360749574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_Toc1717509314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_Toc1717509314 \h </w:instrText>
          </w:r>
          <w:r>
            <w:fldChar w:fldCharType="separate"/>
          </w:r>
          <w:r>
            <w:t>88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_Toc1254258881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_Toc1254258881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_Toc1278491967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_Toc1278491967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_Toc1285855557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_Toc1285855557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_Toc862637968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_Toc862637968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_Toc1220479602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_Toc1220479602 \h </w:instrText>
          </w:r>
          <w:r>
            <w:fldChar w:fldCharType="separate"/>
          </w:r>
          <w:r>
            <w:t>95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_Toc1725777654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_Toc1725777654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_Toc302046149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_Toc302046149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_Toc1862998576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_Toc1862998576 \h </w:instrText>
          </w:r>
          <w:r>
            <w:fldChar w:fldCharType="separate"/>
          </w:r>
          <w:r>
            <w:t>98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_Toc209560805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_Toc209560805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_Toc1327128803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_Toc1327128803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_Toc124661628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_Toc124661628 \h </w:instrText>
          </w:r>
          <w:r>
            <w:fldChar w:fldCharType="separate"/>
          </w:r>
          <w:r>
            <w:t>104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_Toc1408160888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_Toc1408160888 \h </w:instrText>
          </w:r>
          <w:r>
            <w:fldChar w:fldCharType="separate"/>
          </w:r>
          <w:r>
            <w:t>105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_Toc382662984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_Toc382662984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_Toc1803782901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_Toc1803782901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_Toc511768602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_Toc511768602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_Toc2084324202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_Toc2084324202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_Toc1390133661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_Toc1390133661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_Toc88728248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_Toc88728248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_Toc1335409866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_Toc1335409866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_Toc1903386517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_Toc1903386517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_Toc979351110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_Toc979351110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_Toc650414917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_Toc650414917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_Toc1938934115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_Toc1938934115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_Toc498007091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_Toc498007091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_Toc2004433536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_Toc2004433536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_Toc911683722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_Toc911683722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_Toc49514883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_Toc49514883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_Toc1244121736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_Toc1244121736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_Toc781453962 </w:instrText>
          </w:r>
          <w:r>
            <w:rPr>
              <w:highlight w:val="none"/>
            </w:rPr>
            <w:fldChar w:fldCharType="separate"/>
          </w:r>
          <w:r>
            <w:rPr>
              <w:rFonts w:hint="eastAsia" w:asciiTheme="minorEastAsia" w:hAnsiTheme="minorEastAsia" w:eastAsiaTheme="minorEastAsia"/>
              <w:szCs w:val="21"/>
              <w:highlight w:val="none"/>
            </w:rPr>
            <w:t>《供用电监督管理办法》案由1项</w:t>
          </w:r>
          <w:r>
            <w:tab/>
          </w:r>
          <w:r>
            <w:fldChar w:fldCharType="begin"/>
          </w:r>
          <w:r>
            <w:instrText xml:space="preserve"> PAGEREF _Toc781453962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_Toc410264458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_Toc410264458 \h </w:instrText>
          </w:r>
          <w:r>
            <w:fldChar w:fldCharType="separate"/>
          </w:r>
          <w:r>
            <w:t>119</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8"/>
                <w:szCs w:val="28"/>
                <w:highlight w:val="none"/>
              </w:rPr>
            </w:pPr>
            <w:bookmarkStart w:id="0" w:name="_Toc1748547838"/>
            <w:bookmarkStart w:id="1" w:name="_Toc110851435"/>
            <w:bookmarkStart w:id="2" w:name="_Toc1669778390"/>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widowControl w:val="0"/>
              <w:spacing w:line="232" w:lineRule="exact"/>
              <w:rPr>
                <w:rFonts w:asciiTheme="minorEastAsia" w:hAnsiTheme="minorEastAsia" w:eastAsiaTheme="minorEastAsia"/>
                <w:color w:val="auto"/>
                <w:sz w:val="15"/>
                <w:szCs w:val="15"/>
                <w:highlight w:val="none"/>
              </w:rPr>
            </w:pPr>
            <w:bookmarkStart w:id="3" w:name="_Toc775516766"/>
            <w:bookmarkStart w:id="4" w:name="_Toc1944272260"/>
            <w:bookmarkStart w:id="5" w:name="_Toc110851436"/>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9"/>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 w:name="_Toc2039013568"/>
            <w:bookmarkStart w:id="8" w:name="_Toc1542301765"/>
            <w:bookmarkStart w:id="9" w:name="_Toc11085143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lang w:val="en-US" w:eastAsia="zh-CN"/>
              </w:rPr>
              <w:t>1</w:t>
            </w:r>
            <w:r>
              <w:rPr>
                <w:rFonts w:hint="eastAsia" w:asciiTheme="minorEastAsia" w:hAnsiTheme="minorEastAsia" w:eastAsiaTheme="minorEastAsia"/>
                <w:strike w:val="0"/>
                <w:dstrike w:val="0"/>
                <w:color w:val="auto"/>
                <w:sz w:val="15"/>
                <w:szCs w:val="15"/>
              </w:rPr>
              <w:t>.违法行为持续时间较长，垃圾产生量较</w:t>
            </w:r>
            <w:r>
              <w:rPr>
                <w:rFonts w:hint="eastAsia" w:asciiTheme="minorEastAsia" w:hAnsiTheme="minorEastAsia" w:eastAsiaTheme="minorEastAsia"/>
                <w:strike w:val="0"/>
                <w:dstrike w:val="0"/>
                <w:color w:val="auto"/>
                <w:spacing w:val="-4"/>
                <w:sz w:val="15"/>
                <w:szCs w:val="15"/>
              </w:rPr>
              <w:t>大，系数为2-4；</w:t>
            </w:r>
            <w:r>
              <w:rPr>
                <w:rFonts w:hint="eastAsia" w:asciiTheme="minorEastAsia" w:hAnsiTheme="minorEastAsia" w:eastAsiaTheme="minorEastAsia"/>
                <w:strike w:val="0"/>
                <w:dstrike w:val="0"/>
                <w:color w:val="auto"/>
                <w:spacing w:val="-4"/>
                <w:sz w:val="15"/>
                <w:szCs w:val="15"/>
                <w:lang w:val="en-US" w:eastAsia="zh-CN"/>
              </w:rPr>
              <w:t>2</w:t>
            </w:r>
            <w:r>
              <w:rPr>
                <w:rFonts w:hint="eastAsia" w:asciiTheme="minorEastAsia" w:hAnsiTheme="minorEastAsia" w:eastAsiaTheme="minorEastAsia"/>
                <w:strike w:val="0"/>
                <w:dstrike w:val="0"/>
                <w:color w:val="auto"/>
                <w:spacing w:val="-4"/>
                <w:sz w:val="15"/>
                <w:szCs w:val="15"/>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2"/>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收集、运输单位未落实生活垃圾管理台帐制度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1.已建立台帐而记录内容不完整的，系数为0-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；2.未建立台帐的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未落实生活垃圾处理台帐制度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0" w:name="_Toc1084685656"/>
            <w:bookmarkStart w:id="11" w:name="_Toc726075658"/>
            <w:bookmarkStart w:id="12" w:name="_Toc11085143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32851811"/>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33153229"/>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yellow"/>
                <w:lang w:val="en"/>
              </w:rPr>
            </w:pPr>
            <w:r>
              <w:rPr>
                <w:rFonts w:hint="eastAsia" w:asciiTheme="minorEastAsia" w:hAnsiTheme="minorEastAsia" w:eastAsiaTheme="minorEastAsia"/>
                <w:color w:val="auto"/>
                <w:sz w:val="15"/>
                <w:szCs w:val="15"/>
                <w:highlight w:val="yellow"/>
              </w:rPr>
              <w:t>违反条款：第六十三条第一款；处罚条款：第一百一十一条第一款第（三）项、第二款 责令</w:t>
            </w:r>
            <w:r>
              <w:rPr>
                <w:rFonts w:asciiTheme="minorEastAsia" w:hAnsiTheme="minorEastAsia" w:eastAsiaTheme="minorEastAsia"/>
                <w:color w:val="auto"/>
                <w:sz w:val="15"/>
                <w:szCs w:val="15"/>
                <w:highlight w:val="yellow"/>
              </w:rPr>
              <w:t>改正，没收违法所得，对</w:t>
            </w:r>
            <w:r>
              <w:rPr>
                <w:rFonts w:hint="eastAsia" w:asciiTheme="minorEastAsia" w:hAnsiTheme="minorEastAsia" w:eastAsiaTheme="minorEastAsia"/>
                <w:color w:val="auto"/>
                <w:sz w:val="15"/>
                <w:szCs w:val="15"/>
                <w:highlight w:val="yellow"/>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yellow"/>
              </w:rPr>
            </w:pPr>
            <w:r>
              <w:rPr>
                <w:rFonts w:cs="宋体" w:asciiTheme="minorEastAsia" w:hAnsiTheme="minorEastAsia" w:eastAsiaTheme="minorEastAsia"/>
                <w:color w:val="auto"/>
                <w:kern w:val="0"/>
                <w:sz w:val="15"/>
                <w:szCs w:val="15"/>
                <w:highlight w:val="yellow"/>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yellow"/>
                <w:lang w:val="en-US" w:eastAsia="zh-CN"/>
              </w:rPr>
            </w:pPr>
            <w:r>
              <w:rPr>
                <w:rFonts w:hint="eastAsia" w:asciiTheme="minorEastAsia" w:hAnsiTheme="minorEastAsia" w:eastAsiaTheme="minorEastAsia" w:cstheme="minorEastAsia"/>
                <w:b w:val="0"/>
                <w:bCs w:val="0"/>
                <w:strike w:val="0"/>
                <w:dstrike w:val="0"/>
                <w:color w:val="auto"/>
                <w:sz w:val="15"/>
                <w:szCs w:val="15"/>
                <w:highlight w:val="yellow"/>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yellow"/>
                <w:lang w:val="en-US" w:eastAsia="zh-CN"/>
              </w:rPr>
              <w:t>3.造</w:t>
            </w:r>
            <w:r>
              <w:rPr>
                <w:rFonts w:hint="eastAsia" w:cs="宋体" w:asciiTheme="minorEastAsia" w:hAnsiTheme="minorEastAsia" w:eastAsiaTheme="minorEastAsia"/>
                <w:color w:val="auto"/>
                <w:sz w:val="15"/>
                <w:szCs w:val="15"/>
                <w:highlight w:val="yellow"/>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罚款数额＝</w:t>
            </w:r>
            <w:r>
              <w:rPr>
                <w:rFonts w:cs="宋体" w:asciiTheme="minorEastAsia" w:hAnsiTheme="minorEastAsia" w:eastAsiaTheme="minorEastAsia"/>
                <w:color w:val="auto"/>
                <w:kern w:val="0"/>
                <w:sz w:val="15"/>
                <w:szCs w:val="15"/>
                <w:highlight w:val="yellow"/>
              </w:rPr>
              <w:t>100000</w:t>
            </w:r>
            <w:r>
              <w:rPr>
                <w:rFonts w:hint="eastAsia" w:cs="宋体" w:asciiTheme="minorEastAsia" w:hAnsiTheme="minorEastAsia" w:eastAsiaTheme="minorEastAsia"/>
                <w:color w:val="auto"/>
                <w:kern w:val="0"/>
                <w:sz w:val="15"/>
                <w:szCs w:val="15"/>
                <w:highlight w:val="yellow"/>
              </w:rPr>
              <w:t>×（</w:t>
            </w:r>
            <w:r>
              <w:rPr>
                <w:rFonts w:hint="eastAsia" w:asciiTheme="minorEastAsia" w:hAnsiTheme="minorEastAsia" w:eastAsiaTheme="minorEastAsia"/>
                <w:color w:val="auto"/>
                <w:sz w:val="15"/>
                <w:szCs w:val="15"/>
                <w:highlight w:val="yellow"/>
              </w:rPr>
              <w:t>1＋</w:t>
            </w:r>
            <w:r>
              <w:rPr>
                <w:rFonts w:hint="eastAsia" w:asciiTheme="minorEastAsia" w:hAnsiTheme="minorEastAsia" w:eastAsiaTheme="minorEastAsia"/>
                <w:color w:val="auto"/>
                <w:sz w:val="15"/>
                <w:szCs w:val="15"/>
                <w:highlight w:val="yellow"/>
                <w:lang w:eastAsia="zh-CN"/>
              </w:rPr>
              <w:t>常量系数＋变量系数＋区域系数</w:t>
            </w:r>
            <w:r>
              <w:rPr>
                <w:rFonts w:hint="eastAsia" w:cs="宋体" w:asciiTheme="minorEastAsia" w:hAnsiTheme="minorEastAsia" w:eastAsiaTheme="minorEastAsia"/>
                <w:color w:val="auto"/>
                <w:kern w:val="0"/>
                <w:sz w:val="15"/>
                <w:szCs w:val="15"/>
                <w:highlight w:val="yellow"/>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yellow"/>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街道</w:t>
            </w:r>
          </w:p>
          <w:p>
            <w:pPr>
              <w:spacing w:line="196"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2"/>
              <w:rPr>
                <w:rFonts w:hint="eastAsia" w:asciiTheme="minorEastAsia" w:hAnsiTheme="minorEastAsia" w:eastAsiaTheme="minorEastAsia"/>
                <w:color w:val="auto"/>
                <w:sz w:val="15"/>
                <w:szCs w:val="15"/>
                <w:highlight w:val="none"/>
                <w:lang w:eastAsia="zh-CN"/>
              </w:rPr>
            </w:pPr>
          </w:p>
          <w:p>
            <w:pPr>
              <w:pStyle w:val="3"/>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97020634"/>
            <w:bookmarkStart w:id="21" w:name="_Toc81207887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809241782"/>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330337466"/>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8" w:name="_Toc295250662"/>
            <w:bookmarkStart w:id="29" w:name="_Toc1384488641"/>
            <w:bookmarkStart w:id="30" w:name="_Toc11085144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917742392"/>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1715829890"/>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2"/>
              <w:rPr>
                <w:rFonts w:hint="eastAsia"/>
                <w:color w:val="auto"/>
                <w:highlight w:val="none"/>
                <w:lang w:eastAsia="zh-CN"/>
              </w:rPr>
            </w:pPr>
          </w:p>
          <w:p>
            <w:pPr>
              <w:pStyle w:val="2"/>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2"/>
              <w:rPr>
                <w:rFonts w:hint="default"/>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建筑</w:t>
            </w:r>
            <w:r>
              <w:rPr>
                <w:rFonts w:asciiTheme="minorEastAsia" w:hAnsiTheme="minorEastAsia" w:eastAsiaTheme="minorEastAsia"/>
                <w:color w:val="auto"/>
                <w:sz w:val="15"/>
                <w:szCs w:val="15"/>
                <w:highlight w:val="yellow"/>
              </w:rPr>
              <w:t>垃圾运输服务单位</w:t>
            </w:r>
            <w:r>
              <w:rPr>
                <w:rFonts w:hint="eastAsia" w:asciiTheme="minorEastAsia" w:hAnsiTheme="minorEastAsia" w:eastAsiaTheme="minorEastAsia"/>
                <w:color w:val="auto"/>
                <w:sz w:val="15"/>
                <w:szCs w:val="15"/>
                <w:highlight w:val="yellow"/>
              </w:rPr>
              <w:t>未</w:t>
            </w:r>
            <w:r>
              <w:rPr>
                <w:rFonts w:asciiTheme="minorEastAsia" w:hAnsiTheme="minorEastAsia" w:eastAsiaTheme="minorEastAsia"/>
                <w:color w:val="auto"/>
                <w:sz w:val="15"/>
                <w:szCs w:val="15"/>
                <w:highlight w:val="yellow"/>
              </w:rPr>
              <w:t>按照规定使用电子运单</w:t>
            </w:r>
            <w:r>
              <w:rPr>
                <w:rFonts w:hint="eastAsia" w:asciiTheme="minorEastAsia" w:hAnsiTheme="minorEastAsia" w:eastAsiaTheme="minorEastAsia"/>
                <w:color w:val="auto"/>
                <w:sz w:val="15"/>
                <w:szCs w:val="15"/>
                <w:highlight w:val="yellow"/>
              </w:rPr>
              <w:t>，</w:t>
            </w:r>
            <w:r>
              <w:rPr>
                <w:rFonts w:asciiTheme="minorEastAsia" w:hAnsiTheme="minorEastAsia" w:eastAsiaTheme="minorEastAsia"/>
                <w:color w:val="auto"/>
                <w:sz w:val="15"/>
                <w:szCs w:val="15"/>
                <w:highlight w:val="yellow"/>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违反</w:t>
            </w:r>
            <w:r>
              <w:rPr>
                <w:rFonts w:asciiTheme="minorEastAsia" w:hAnsiTheme="minorEastAsia" w:eastAsiaTheme="minorEastAsia"/>
                <w:color w:val="auto"/>
                <w:sz w:val="15"/>
                <w:szCs w:val="15"/>
                <w:highlight w:val="yellow"/>
              </w:rPr>
              <w:t>条款：</w:t>
            </w:r>
            <w:r>
              <w:rPr>
                <w:rFonts w:hint="eastAsia" w:asciiTheme="minorEastAsia" w:hAnsiTheme="minorEastAsia" w:eastAsiaTheme="minorEastAsia"/>
                <w:color w:val="auto"/>
                <w:sz w:val="15"/>
                <w:szCs w:val="15"/>
                <w:highlight w:val="yellow"/>
              </w:rPr>
              <w:t>第</w:t>
            </w:r>
            <w:r>
              <w:rPr>
                <w:rFonts w:asciiTheme="minorEastAsia" w:hAnsiTheme="minorEastAsia" w:eastAsiaTheme="minorEastAsia"/>
                <w:color w:val="auto"/>
                <w:sz w:val="15"/>
                <w:szCs w:val="15"/>
                <w:highlight w:val="yellow"/>
              </w:rPr>
              <w:t>十九条第</w:t>
            </w:r>
            <w:r>
              <w:rPr>
                <w:rFonts w:hint="eastAsia" w:asciiTheme="minorEastAsia" w:hAnsiTheme="minorEastAsia" w:eastAsiaTheme="minorEastAsia"/>
                <w:color w:val="auto"/>
                <w:sz w:val="15"/>
                <w:szCs w:val="15"/>
                <w:highlight w:val="yellow"/>
              </w:rPr>
              <w:t>二</w:t>
            </w:r>
            <w:r>
              <w:rPr>
                <w:rFonts w:asciiTheme="minorEastAsia" w:hAnsiTheme="minorEastAsia" w:eastAsiaTheme="minorEastAsia"/>
                <w:color w:val="auto"/>
                <w:sz w:val="15"/>
                <w:szCs w:val="15"/>
                <w:highlight w:val="yellow"/>
              </w:rPr>
              <w:t>款</w:t>
            </w:r>
          </w:p>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处罚</w:t>
            </w:r>
            <w:r>
              <w:rPr>
                <w:rFonts w:asciiTheme="minorEastAsia" w:hAnsiTheme="minorEastAsia" w:eastAsiaTheme="minorEastAsia"/>
                <w:color w:val="auto"/>
                <w:sz w:val="15"/>
                <w:szCs w:val="15"/>
                <w:highlight w:val="yellow"/>
              </w:rPr>
              <w:t>条款：</w:t>
            </w:r>
            <w:r>
              <w:rPr>
                <w:rFonts w:hint="eastAsia" w:asciiTheme="minorEastAsia" w:hAnsiTheme="minorEastAsia" w:eastAsiaTheme="minorEastAsia"/>
                <w:color w:val="auto"/>
                <w:sz w:val="15"/>
                <w:szCs w:val="15"/>
                <w:highlight w:val="yellow"/>
              </w:rPr>
              <w:t>第</w:t>
            </w:r>
            <w:r>
              <w:rPr>
                <w:rFonts w:asciiTheme="minorEastAsia" w:hAnsiTheme="minorEastAsia" w:eastAsiaTheme="minorEastAsia"/>
                <w:color w:val="auto"/>
                <w:sz w:val="15"/>
                <w:szCs w:val="15"/>
                <w:highlight w:val="yellow"/>
              </w:rPr>
              <w:t>四十条第二款</w:t>
            </w:r>
            <w:r>
              <w:rPr>
                <w:rFonts w:hint="eastAsia" w:asciiTheme="minorEastAsia" w:hAnsiTheme="minorEastAsia" w:eastAsiaTheme="minorEastAsia"/>
                <w:color w:val="auto"/>
                <w:sz w:val="15"/>
                <w:szCs w:val="15"/>
                <w:highlight w:val="yellow"/>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yellow"/>
                <w:lang w:val="en-US" w:eastAsia="zh-CN"/>
              </w:rPr>
            </w:pPr>
            <w:r>
              <w:rPr>
                <w:rFonts w:hint="eastAsia" w:cs="宋体" w:asciiTheme="minorEastAsia" w:hAnsiTheme="minorEastAsia" w:eastAsiaTheme="minorEastAsia"/>
                <w:b/>
                <w:bCs/>
                <w:color w:val="auto"/>
                <w:kern w:val="0"/>
                <w:sz w:val="15"/>
                <w:szCs w:val="15"/>
                <w:highlight w:val="yellow"/>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罚款数额＝1000×（1＋</w:t>
            </w:r>
            <w:r>
              <w:rPr>
                <w:rFonts w:hint="eastAsia" w:asciiTheme="minorEastAsia" w:hAnsiTheme="minorEastAsia" w:eastAsiaTheme="minorEastAsia"/>
                <w:color w:val="auto"/>
                <w:sz w:val="15"/>
                <w:szCs w:val="15"/>
                <w:highlight w:val="yellow"/>
                <w:lang w:eastAsia="zh-CN"/>
              </w:rPr>
              <w:t>常量系数</w:t>
            </w:r>
            <w:r>
              <w:rPr>
                <w:rFonts w:hint="eastAsia" w:asciiTheme="minorEastAsia" w:hAnsiTheme="minorEastAsia" w:eastAsiaTheme="minorEastAsia"/>
                <w:color w:val="auto"/>
                <w:sz w:val="15"/>
                <w:szCs w:val="15"/>
                <w:highlight w:val="yellow"/>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存在下列情形的，可视为“情节严重”：一年内因同类违法行为，受到城管执法机关</w:t>
            </w:r>
            <w:r>
              <w:rPr>
                <w:rFonts w:hint="eastAsia" w:asciiTheme="minorEastAsia" w:hAnsiTheme="minorEastAsia" w:eastAsiaTheme="minorEastAsia"/>
                <w:color w:val="auto"/>
                <w:sz w:val="15"/>
                <w:szCs w:val="15"/>
                <w:highlight w:val="yellow"/>
                <w:lang w:val="en-US" w:eastAsia="zh-CN"/>
              </w:rPr>
              <w:t>2次</w:t>
            </w:r>
            <w:r>
              <w:rPr>
                <w:rFonts w:hint="eastAsia" w:asciiTheme="minorEastAsia" w:hAnsiTheme="minorEastAsia" w:eastAsiaTheme="minorEastAsia"/>
                <w:color w:val="auto"/>
                <w:sz w:val="15"/>
                <w:szCs w:val="15"/>
                <w:highlight w:val="yellow"/>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2. 依据</w:t>
            </w:r>
            <w:r>
              <w:rPr>
                <w:rFonts w:hint="eastAsia" w:cs="宋体" w:asciiTheme="minorEastAsia" w:hAnsiTheme="minorEastAsia" w:eastAsiaTheme="minorEastAsia"/>
                <w:color w:val="auto"/>
                <w:kern w:val="0"/>
                <w:sz w:val="15"/>
                <w:szCs w:val="15"/>
                <w:highlight w:val="yellow"/>
              </w:rPr>
              <w:t>《北京市人民政府关于进一步相对集中城市管理领域部分行政处罚权的决定》（</w:t>
            </w:r>
            <w:r>
              <w:rPr>
                <w:rFonts w:hint="eastAsia" w:asciiTheme="minorEastAsia" w:hAnsiTheme="minorEastAsia" w:eastAsiaTheme="minorEastAsia"/>
                <w:color w:val="auto"/>
                <w:sz w:val="15"/>
                <w:szCs w:val="15"/>
                <w:highlight w:val="yellow"/>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yellow"/>
              </w:rPr>
            </w:pPr>
            <w:bookmarkStart w:id="201" w:name="_GoBack"/>
            <w:r>
              <w:rPr>
                <w:rFonts w:asciiTheme="minorEastAsia" w:hAnsiTheme="minorEastAsia" w:eastAsiaTheme="minorEastAsia"/>
                <w:color w:val="auto"/>
                <w:sz w:val="15"/>
                <w:szCs w:val="15"/>
                <w:highlight w:val="yellow"/>
              </w:rPr>
              <w:t>2</w:t>
            </w:r>
            <w:r>
              <w:rPr>
                <w:rFonts w:hint="eastAsia" w:asciiTheme="minorEastAsia" w:hAnsiTheme="minorEastAsia" w:eastAsiaTheme="minorEastAsia"/>
                <w:color w:val="auto"/>
                <w:sz w:val="15"/>
                <w:szCs w:val="15"/>
                <w:highlight w:val="yellow"/>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施工</w:t>
            </w:r>
            <w:r>
              <w:rPr>
                <w:rFonts w:asciiTheme="minorEastAsia" w:hAnsiTheme="minorEastAsia" w:eastAsiaTheme="minorEastAsia"/>
                <w:color w:val="auto"/>
                <w:sz w:val="15"/>
                <w:szCs w:val="15"/>
                <w:highlight w:val="yellow"/>
              </w:rPr>
              <w:t>单位</w:t>
            </w:r>
            <w:r>
              <w:rPr>
                <w:rFonts w:hint="eastAsia" w:asciiTheme="minorEastAsia" w:hAnsiTheme="minorEastAsia" w:eastAsiaTheme="minorEastAsia"/>
                <w:color w:val="auto"/>
                <w:sz w:val="15"/>
                <w:szCs w:val="15"/>
                <w:highlight w:val="yellow"/>
              </w:rPr>
              <w:t>未</w:t>
            </w:r>
            <w:r>
              <w:rPr>
                <w:rFonts w:asciiTheme="minorEastAsia" w:hAnsiTheme="minorEastAsia" w:eastAsiaTheme="minorEastAsia"/>
                <w:color w:val="auto"/>
                <w:sz w:val="15"/>
                <w:szCs w:val="15"/>
                <w:highlight w:val="yellow"/>
              </w:rPr>
              <w:t>编制建筑垃圾处理方案</w:t>
            </w:r>
            <w:r>
              <w:rPr>
                <w:rFonts w:hint="eastAsia" w:asciiTheme="minorEastAsia" w:hAnsiTheme="minorEastAsia" w:eastAsiaTheme="minorEastAsia"/>
                <w:color w:val="auto"/>
                <w:sz w:val="15"/>
                <w:szCs w:val="15"/>
                <w:highlight w:val="yellow"/>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违反条款：第二十条第一款</w:t>
            </w:r>
          </w:p>
          <w:p>
            <w:pPr>
              <w:spacing w:line="21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yellow"/>
                <w:lang w:val="en-US" w:eastAsia="zh-CN"/>
              </w:rPr>
            </w:pPr>
            <w:r>
              <w:rPr>
                <w:rFonts w:hint="eastAsia" w:cs="宋体" w:asciiTheme="minorEastAsia" w:hAnsiTheme="minorEastAsia" w:eastAsiaTheme="minorEastAsia"/>
                <w:b/>
                <w:bCs/>
                <w:color w:val="auto"/>
                <w:kern w:val="0"/>
                <w:sz w:val="15"/>
                <w:szCs w:val="15"/>
                <w:highlight w:val="yellow"/>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yellow"/>
              </w:rPr>
            </w:pPr>
            <w:r>
              <w:rPr>
                <w:rFonts w:hint="eastAsia" w:asciiTheme="minorEastAsia" w:hAnsiTheme="minorEastAsia" w:eastAsiaTheme="minorEastAsia" w:cstheme="minorEastAsia"/>
                <w:b w:val="0"/>
                <w:bCs w:val="0"/>
                <w:strike w:val="0"/>
                <w:dstrike w:val="0"/>
                <w:color w:val="auto"/>
                <w:sz w:val="15"/>
                <w:szCs w:val="15"/>
                <w:highlight w:val="yellow"/>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yellow"/>
                <w:lang w:val="en-US" w:eastAsia="zh-CN"/>
              </w:rPr>
              <w:t>3.造</w:t>
            </w:r>
            <w:r>
              <w:rPr>
                <w:rFonts w:hint="eastAsia" w:cs="宋体" w:asciiTheme="minorEastAsia" w:hAnsiTheme="minorEastAsia" w:eastAsiaTheme="minorEastAsia"/>
                <w:color w:val="auto"/>
                <w:sz w:val="15"/>
                <w:szCs w:val="15"/>
                <w:highlight w:val="yellow"/>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yellow"/>
              </w:rPr>
            </w:pPr>
            <w:r>
              <w:rPr>
                <w:rFonts w:hint="eastAsia" w:cs="宋体" w:asciiTheme="minorEastAsia" w:hAnsiTheme="minorEastAsia" w:eastAsiaTheme="minorEastAsia"/>
                <w:color w:val="auto"/>
                <w:sz w:val="15"/>
                <w:szCs w:val="15"/>
                <w:highlight w:val="yellow"/>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yellow"/>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街道</w:t>
            </w:r>
          </w:p>
          <w:p>
            <w:pPr>
              <w:spacing w:line="232"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乡镇</w:t>
            </w:r>
          </w:p>
        </w:tc>
      </w:tr>
      <w:bookmark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755862734"/>
            <w:bookmarkStart w:id="38" w:name="_Toc110851448"/>
            <w:bookmarkStart w:id="39" w:name="_Toc49541830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2089471283"/>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439922097"/>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586891829"/>
            <w:bookmarkStart w:id="48" w:name="_Toc110851451"/>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642518973"/>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5000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需要给予</w:t>
            </w:r>
            <w:r>
              <w:rPr>
                <w:rFonts w:hint="eastAsia" w:cs="宋体" w:asciiTheme="minorEastAsia" w:hAnsiTheme="minorEastAsia" w:eastAsiaTheme="minorEastAsia"/>
                <w:color w:val="auto"/>
                <w:kern w:val="0"/>
                <w:sz w:val="15"/>
                <w:szCs w:val="15"/>
                <w:highlight w:val="none"/>
                <w:lang w:val="en-US" w:eastAsia="zh-CN"/>
              </w:rPr>
              <w:t>5000元以下罚款的，报案件审理委员会集体讨论决定。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631266799"/>
            <w:bookmarkStart w:id="53" w:name="_Toc110851453"/>
            <w:bookmarkStart w:id="54" w:name="_Toc275604405"/>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025082654"/>
            <w:bookmarkStart w:id="56" w:name="_Toc110851454"/>
            <w:bookmarkStart w:id="57" w:name="_Toc541941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4"/>
              <w:bidi w:val="0"/>
              <w:rPr>
                <w:rFonts w:ascii="黑体" w:hAnsi="黑体" w:eastAsia="黑体" w:cs="仿宋_GB2312"/>
                <w:color w:val="auto"/>
                <w:highlight w:val="none"/>
                <w:lang w:val="en"/>
              </w:rPr>
            </w:pPr>
            <w:bookmarkStart w:id="58" w:name="_Toc435705406"/>
            <w:bookmarkStart w:id="59" w:name="_Toc409146700"/>
            <w:r>
              <w:rPr>
                <w:rFonts w:hint="eastAsia" w:ascii="黑体" w:hAnsi="黑体" w:eastAsia="黑体" w:cs="黑体"/>
                <w:b w:val="0"/>
                <w:bCs w:val="0"/>
                <w:color w:val="auto"/>
                <w:highlight w:val="none"/>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198600083"/>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5"/>
              <w:bidi w:val="0"/>
              <w:jc w:val="center"/>
              <w:rPr>
                <w:rFonts w:hint="default" w:ascii="宋体" w:hAnsi="宋体" w:eastAsia="宋体" w:cs="宋体"/>
                <w:color w:val="auto"/>
                <w:sz w:val="21"/>
                <w:szCs w:val="21"/>
                <w:highlight w:val="none"/>
                <w:lang w:val="en-US"/>
              </w:rPr>
            </w:pPr>
            <w:bookmarkStart w:id="62" w:name="_Toc1203017829"/>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5"/>
              <w:bidi w:val="0"/>
              <w:jc w:val="center"/>
              <w:rPr>
                <w:color w:val="auto"/>
                <w:highlight w:val="none"/>
              </w:rPr>
            </w:pPr>
            <w:bookmarkStart w:id="64" w:name="_Toc1679121273"/>
            <w:r>
              <w:rPr>
                <w:rFonts w:hint="eastAsia"/>
                <w:color w:val="auto"/>
                <w:sz w:val="21"/>
                <w:szCs w:val="21"/>
                <w:highlight w:val="none"/>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10851455"/>
            <w:bookmarkStart w:id="66" w:name="_Toc1973624040"/>
            <w:bookmarkStart w:id="67" w:name="_Toc1251091362"/>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68" w:name="_Toc110851456"/>
            <w:bookmarkStart w:id="69" w:name="_Toc1701661218"/>
            <w:bookmarkStart w:id="70" w:name="_Toc1693504403"/>
            <w:r>
              <w:rPr>
                <w:rFonts w:hint="eastAsia" w:ascii="黑体" w:hAnsi="黑体" w:eastAsia="黑体"/>
                <w:b w:val="0"/>
                <w:color w:val="auto"/>
                <w:sz w:val="36"/>
                <w:szCs w:val="36"/>
                <w:highlight w:val="none"/>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10851457"/>
            <w:bookmarkStart w:id="73" w:name="_Toc1733834408"/>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1968530984"/>
            <w:bookmarkStart w:id="76" w:name="_Toc1724443293"/>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7" w:name="_Toc1398569312"/>
            <w:bookmarkStart w:id="78" w:name="_Toc697937810"/>
            <w:bookmarkStart w:id="79" w:name="_Toc110851459"/>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826085962"/>
            <w:bookmarkStart w:id="81" w:name="_Toc110851460"/>
            <w:bookmarkStart w:id="82" w:name="_Toc513252856"/>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890622862"/>
            <w:bookmarkStart w:id="84" w:name="_Toc110851461"/>
            <w:bookmarkStart w:id="85" w:name="_Toc1473999580"/>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其它危害、损坏供热设施的行为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462488699"/>
            <w:bookmarkStart w:id="88" w:name="_Toc110851462"/>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35547598"/>
            <w:bookmarkStart w:id="90" w:name="_Toc636329439"/>
            <w:bookmarkStart w:id="91" w:name="_Toc2100881276"/>
            <w:bookmarkStart w:id="92" w:name="_Toc110851463"/>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1</w:t>
            </w:r>
          </w:p>
        </w:tc>
        <w:tc>
          <w:tcPr>
            <w:tcW w:w="1500" w:type="dxa"/>
            <w:shd w:val="clear" w:color="auto" w:fill="auto"/>
            <w:vAlign w:val="center"/>
          </w:tcPr>
          <w:p>
            <w:pPr>
              <w:spacing w:line="232" w:lineRule="exact"/>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违反条款：第二十六条第三款</w:t>
            </w:r>
          </w:p>
          <w:p>
            <w:pPr>
              <w:pStyle w:val="2"/>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w:t>
            </w: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行政</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p>
          <w:p>
            <w:pPr>
              <w:spacing w:line="232" w:lineRule="exact"/>
              <w:ind w:left="6" w:leftChars="0" w:hanging="21" w:firstLineChars="0"/>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自</w:t>
            </w: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hint="eastAsia" w:cs="仿宋_GB2312" w:asciiTheme="minorEastAsia" w:hAnsiTheme="minorEastAsia" w:eastAsiaTheme="minorEastAsia"/>
                <w:color w:val="000000" w:themeColor="text1"/>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1666139629"/>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jc w:val="lef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075063771"/>
            <w:bookmarkStart w:id="95" w:name="_Toc1354018619"/>
            <w:bookmarkStart w:id="96" w:name="_Toc110851464"/>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780858134"/>
            <w:bookmarkStart w:id="98" w:name="_Toc1120233254"/>
            <w:bookmarkStart w:id="99" w:name="_Toc110851465"/>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00" w:name="_Toc110851466"/>
            <w:bookmarkStart w:id="101" w:name="_Toc1698991440"/>
            <w:bookmarkStart w:id="102" w:name="_Toc1495699393"/>
            <w:r>
              <w:rPr>
                <w:rFonts w:hint="eastAsia" w:ascii="黑体" w:hAnsi="黑体" w:eastAsia="黑体"/>
                <w:b w:val="0"/>
                <w:color w:val="auto"/>
                <w:sz w:val="36"/>
                <w:szCs w:val="36"/>
                <w:highlight w:val="none"/>
              </w:rPr>
              <w:t>园林绿化管理方面</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387171848"/>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在树木旁或者绿地内倾倒、排放污水、垃圾、渣土及其它废弃物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在树木或者绿化设施上悬挂广告牌或者其它物品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实施其它损害绿化成果及绿化设施的行为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201725388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360749574"/>
            <w:bookmarkStart w:id="111" w:name="_Toc1576301640"/>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717509314"/>
            <w:bookmarkStart w:id="113" w:name="_Toc110851470"/>
            <w:bookmarkStart w:id="114" w:name="_Toc465734653"/>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4"/>
              <w:bidi w:val="0"/>
              <w:rPr>
                <w:rFonts w:ascii="黑体" w:hAnsi="黑体" w:eastAsia="黑体" w:cs="宋体"/>
                <w:color w:val="auto"/>
                <w:kern w:val="0"/>
                <w:highlight w:val="none"/>
              </w:rPr>
            </w:pPr>
            <w:bookmarkStart w:id="115" w:name="_Toc1254258881"/>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278491967"/>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运输散装、流体物料车辆未采取密闭或者其它措施防止物料遗撒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1285855557"/>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862637968"/>
            <w:bookmarkStart w:id="120" w:name="_Toc1745180410"/>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93344115"/>
            <w:bookmarkStart w:id="122" w:name="_Toc110851472"/>
            <w:bookmarkStart w:id="123" w:name="_Toc1220479602"/>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24" w:name="_Toc760985315"/>
            <w:bookmarkStart w:id="125" w:name="_Toc1725777654"/>
            <w:bookmarkStart w:id="126" w:name="_Toc110851473"/>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669927446"/>
            <w:bookmarkStart w:id="128" w:name="_Toc302046149"/>
            <w:bookmarkStart w:id="129"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110851475"/>
            <w:bookmarkStart w:id="131" w:name="_Toc1862998576"/>
            <w:bookmarkStart w:id="132" w:name="_Toc854219027"/>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33" w:name="_Toc110851476"/>
            <w:bookmarkStart w:id="134" w:name="_Toc209560805"/>
            <w:bookmarkStart w:id="135" w:name="_Toc1256403622"/>
            <w:r>
              <w:rPr>
                <w:rFonts w:hint="eastAsia" w:ascii="黑体" w:hAnsi="黑体" w:eastAsia="黑体"/>
                <w:b w:val="0"/>
                <w:color w:val="auto"/>
                <w:sz w:val="36"/>
                <w:szCs w:val="36"/>
                <w:highlight w:val="none"/>
              </w:rPr>
              <w:t>停车场管理方面案由</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10851477"/>
            <w:bookmarkStart w:id="138" w:name="_Toc1327128803"/>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停车场管理单位在停车区域从事影响车辆安全停放的其它经营活动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停车场管理单位未遵守国家和本市其它相关停车管理服务规范和标准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8"/>
            <w:bookmarkStart w:id="140" w:name="_Toc1557995543"/>
            <w:bookmarkStart w:id="141" w:name="_Toc124661628"/>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1408160888"/>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45" w:name="_Toc110851480"/>
            <w:bookmarkStart w:id="146" w:name="_Toc382662984"/>
            <w:bookmarkStart w:id="147" w:name="_Toc2072679585"/>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803782901"/>
            <w:bookmarkStart w:id="149" w:name="_Toc110851481"/>
            <w:bookmarkStart w:id="150" w:name="_Toc1833599949"/>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yellow"/>
              </w:rPr>
            </w:pPr>
            <w:r>
              <w:rPr>
                <w:rFonts w:hint="eastAsia" w:asciiTheme="minorEastAsia" w:hAnsiTheme="minorEastAsia" w:eastAsiaTheme="minorEastAsia"/>
                <w:strike w:val="0"/>
                <w:dstrike w:val="0"/>
                <w:color w:val="auto"/>
                <w:sz w:val="15"/>
                <w:szCs w:val="15"/>
                <w:highlight w:val="yellow"/>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yellow"/>
              </w:rPr>
            </w:pPr>
            <w:r>
              <w:rPr>
                <w:rFonts w:hint="eastAsia" w:cs="宋体" w:asciiTheme="minorEastAsia" w:hAnsiTheme="minorEastAsia" w:eastAsiaTheme="minorEastAsia"/>
                <w:strike w:val="0"/>
                <w:dstrike w:val="0"/>
                <w:color w:val="auto"/>
                <w:kern w:val="0"/>
                <w:sz w:val="15"/>
                <w:szCs w:val="15"/>
                <w:highlight w:val="yellow"/>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yellow"/>
              </w:rPr>
            </w:pPr>
            <w:r>
              <w:rPr>
                <w:rFonts w:hint="eastAsia" w:cs="宋体" w:asciiTheme="minorEastAsia" w:hAnsiTheme="minorEastAsia" w:eastAsiaTheme="minorEastAsia"/>
                <w:strike w:val="0"/>
                <w:dstrike w:val="0"/>
                <w:color w:val="auto"/>
                <w:kern w:val="0"/>
                <w:sz w:val="15"/>
                <w:szCs w:val="15"/>
                <w:highlight w:val="yellow"/>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yellow"/>
              </w:rPr>
            </w:pPr>
            <w:r>
              <w:rPr>
                <w:rFonts w:hint="eastAsia" w:cs="宋体" w:asciiTheme="minorEastAsia" w:hAnsiTheme="minorEastAsia" w:eastAsiaTheme="minorEastAsia"/>
                <w:strike w:val="0"/>
                <w:dstrike w:val="0"/>
                <w:color w:val="auto"/>
                <w:kern w:val="0"/>
                <w:sz w:val="15"/>
                <w:szCs w:val="15"/>
                <w:highlight w:val="yellow"/>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yellow"/>
              </w:rPr>
            </w:pPr>
            <w:r>
              <w:rPr>
                <w:rFonts w:hint="eastAsia" w:cs="宋体" w:asciiTheme="minorEastAsia" w:hAnsiTheme="minorEastAsia" w:eastAsiaTheme="minorEastAsia"/>
                <w:strike w:val="0"/>
                <w:dstrike w:val="0"/>
                <w:color w:val="auto"/>
                <w:kern w:val="0"/>
                <w:sz w:val="15"/>
                <w:szCs w:val="15"/>
                <w:highlight w:val="yellow"/>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yellow"/>
              </w:rPr>
            </w:pPr>
            <w:r>
              <w:rPr>
                <w:rFonts w:hint="eastAsia" w:asciiTheme="minorEastAsia" w:hAnsiTheme="minorEastAsia" w:eastAsiaTheme="minorEastAsia"/>
                <w:strike w:val="0"/>
                <w:dstrike w:val="0"/>
                <w:color w:val="auto"/>
                <w:sz w:val="15"/>
                <w:szCs w:val="15"/>
                <w:highlight w:val="yellow"/>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yellow"/>
              </w:rPr>
            </w:pPr>
            <w:r>
              <w:rPr>
                <w:rFonts w:hint="eastAsia" w:cs="宋体" w:asciiTheme="minorEastAsia" w:hAnsiTheme="minorEastAsia" w:eastAsiaTheme="minorEastAsia"/>
                <w:strike w:val="0"/>
                <w:dstrike w:val="0"/>
                <w:color w:val="auto"/>
                <w:sz w:val="15"/>
                <w:szCs w:val="15"/>
                <w:highlight w:val="yellow"/>
              </w:rPr>
              <w:t>罚款数额＝5000×</w:t>
            </w:r>
            <w:r>
              <w:rPr>
                <w:rFonts w:hint="eastAsia" w:cs="宋体" w:asciiTheme="minorEastAsia" w:hAnsiTheme="minorEastAsia" w:eastAsiaTheme="minorEastAsia"/>
                <w:bCs/>
                <w:strike w:val="0"/>
                <w:dstrike w:val="0"/>
                <w:color w:val="auto"/>
                <w:sz w:val="15"/>
                <w:szCs w:val="15"/>
                <w:highlight w:val="yellow"/>
              </w:rPr>
              <w:t>（1＋</w:t>
            </w:r>
            <w:r>
              <w:rPr>
                <w:rFonts w:hint="eastAsia" w:cs="宋体" w:asciiTheme="minorEastAsia" w:hAnsiTheme="minorEastAsia" w:eastAsiaTheme="minorEastAsia"/>
                <w:bCs/>
                <w:strike w:val="0"/>
                <w:dstrike w:val="0"/>
                <w:color w:val="auto"/>
                <w:sz w:val="15"/>
                <w:szCs w:val="15"/>
                <w:highlight w:val="yellow"/>
                <w:lang w:eastAsia="zh-CN"/>
              </w:rPr>
              <w:t>常量系数</w:t>
            </w:r>
            <w:r>
              <w:rPr>
                <w:rFonts w:hint="eastAsia" w:cs="宋体" w:asciiTheme="minorEastAsia" w:hAnsiTheme="minorEastAsia" w:eastAsiaTheme="minorEastAsia"/>
                <w:bCs/>
                <w:strike w:val="0"/>
                <w:dstrike w:val="0"/>
                <w:color w:val="auto"/>
                <w:sz w:val="15"/>
                <w:szCs w:val="15"/>
                <w:highlight w:val="yellow"/>
              </w:rPr>
              <w:t>+变量系数</w:t>
            </w:r>
            <w:r>
              <w:rPr>
                <w:rFonts w:hint="eastAsia" w:cs="宋体" w:asciiTheme="minorEastAsia" w:hAnsiTheme="minorEastAsia" w:eastAsiaTheme="minorEastAsia"/>
                <w:bCs/>
                <w:strike w:val="0"/>
                <w:dstrike w:val="0"/>
                <w:color w:val="auto"/>
                <w:sz w:val="15"/>
                <w:szCs w:val="15"/>
                <w:highlight w:val="yellow"/>
                <w:lang w:eastAsia="zh-CN"/>
              </w:rPr>
              <w:t>＋区域系数</w:t>
            </w:r>
            <w:r>
              <w:rPr>
                <w:rFonts w:hint="eastAsia" w:cs="宋体" w:asciiTheme="minorEastAsia" w:hAnsiTheme="minorEastAsia" w:eastAsiaTheme="minorEastAsia"/>
                <w:bCs/>
                <w:strike w:val="0"/>
                <w:dstrike w:val="0"/>
                <w:color w:val="auto"/>
                <w:sz w:val="15"/>
                <w:szCs w:val="15"/>
                <w:highlight w:val="yellow"/>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yellow"/>
              </w:rPr>
            </w:pPr>
            <w:r>
              <w:rPr>
                <w:rFonts w:hint="eastAsia" w:asciiTheme="minorEastAsia" w:hAnsiTheme="minorEastAsia" w:eastAsiaTheme="minorEastAsia"/>
                <w:strike w:val="0"/>
                <w:dstrike w:val="0"/>
                <w:color w:val="auto"/>
                <w:sz w:val="15"/>
                <w:szCs w:val="15"/>
                <w:highlight w:val="yellow"/>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yellow"/>
              </w:rPr>
            </w:pPr>
            <w:r>
              <w:rPr>
                <w:rFonts w:hint="eastAsia" w:asciiTheme="minorEastAsia" w:hAnsiTheme="minorEastAsia" w:eastAsiaTheme="minorEastAsia"/>
                <w:strike w:val="0"/>
                <w:dstrike w:val="0"/>
                <w:color w:val="auto"/>
                <w:sz w:val="15"/>
                <w:szCs w:val="15"/>
                <w:highlight w:val="yellow"/>
              </w:rPr>
              <w:t>街道</w:t>
            </w:r>
          </w:p>
          <w:p>
            <w:pPr>
              <w:spacing w:line="204" w:lineRule="exact"/>
              <w:jc w:val="center"/>
              <w:rPr>
                <w:rFonts w:asciiTheme="minorEastAsia" w:hAnsiTheme="minorEastAsia" w:eastAsiaTheme="minorEastAsia"/>
                <w:strike w:val="0"/>
                <w:dstrike w:val="0"/>
                <w:color w:val="auto"/>
                <w:sz w:val="15"/>
                <w:szCs w:val="15"/>
                <w:highlight w:val="yellow"/>
              </w:rPr>
            </w:pPr>
            <w:r>
              <w:rPr>
                <w:rFonts w:hint="eastAsia" w:asciiTheme="minorEastAsia" w:hAnsiTheme="minorEastAsia" w:eastAsiaTheme="minorEastAsia"/>
                <w:strike w:val="0"/>
                <w:dstrike w:val="0"/>
                <w:color w:val="auto"/>
                <w:sz w:val="15"/>
                <w:szCs w:val="15"/>
                <w:highlight w:val="yellow"/>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10851482"/>
            <w:bookmarkStart w:id="152" w:name="_Toc511768602"/>
            <w:bookmarkStart w:id="153" w:name="_Toc121789162"/>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违反条款：第四条；</w:t>
            </w:r>
          </w:p>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yellow"/>
              </w:rPr>
            </w:pPr>
            <w:r>
              <w:rPr>
                <w:rFonts w:hint="eastAsia" w:asciiTheme="minorEastAsia" w:hAnsiTheme="minorEastAsia" w:eastAsiaTheme="minorEastAsia"/>
                <w:color w:val="auto"/>
                <w:sz w:val="15"/>
                <w:szCs w:val="15"/>
                <w:highlight w:val="yellow"/>
              </w:rPr>
              <w:t>罚款数额</w:t>
            </w:r>
            <w:r>
              <w:rPr>
                <w:rFonts w:hint="eastAsia" w:cs="宋体" w:asciiTheme="minorEastAsia" w:hAnsiTheme="minorEastAsia" w:eastAsiaTheme="minorEastAsia"/>
                <w:color w:val="auto"/>
                <w:kern w:val="0"/>
                <w:sz w:val="15"/>
                <w:szCs w:val="15"/>
                <w:highlight w:val="yellow"/>
              </w:rPr>
              <w:t>＝</w:t>
            </w:r>
            <w:r>
              <w:rPr>
                <w:rFonts w:hint="eastAsia" w:cs="宋体" w:asciiTheme="minorEastAsia" w:hAnsiTheme="minorEastAsia" w:eastAsiaTheme="minorEastAsia"/>
                <w:bCs/>
                <w:color w:val="auto"/>
                <w:kern w:val="0"/>
                <w:sz w:val="15"/>
                <w:szCs w:val="15"/>
                <w:highlight w:val="yellow"/>
              </w:rPr>
              <w:t>10000×（1＋</w:t>
            </w:r>
            <w:r>
              <w:rPr>
                <w:rFonts w:hint="eastAsia" w:cs="宋体" w:asciiTheme="minorEastAsia" w:hAnsiTheme="minorEastAsia" w:eastAsiaTheme="minorEastAsia"/>
                <w:bCs/>
                <w:color w:val="auto"/>
                <w:kern w:val="0"/>
                <w:sz w:val="15"/>
                <w:szCs w:val="15"/>
                <w:highlight w:val="yellow"/>
                <w:lang w:eastAsia="zh-CN"/>
              </w:rPr>
              <w:t>常量系数</w:t>
            </w:r>
            <w:r>
              <w:rPr>
                <w:rFonts w:hint="eastAsia" w:cs="宋体" w:asciiTheme="minorEastAsia" w:hAnsiTheme="minorEastAsia" w:eastAsiaTheme="minorEastAsia"/>
                <w:bCs/>
                <w:color w:val="auto"/>
                <w:sz w:val="15"/>
                <w:szCs w:val="15"/>
                <w:highlight w:val="yellow"/>
              </w:rPr>
              <w:t>+变量系数</w:t>
            </w:r>
            <w:r>
              <w:rPr>
                <w:rFonts w:hint="eastAsia" w:cs="宋体" w:asciiTheme="minorEastAsia" w:hAnsiTheme="minorEastAsia" w:eastAsiaTheme="minorEastAsia"/>
                <w:bCs/>
                <w:color w:val="auto"/>
                <w:kern w:val="0"/>
                <w:sz w:val="15"/>
                <w:szCs w:val="15"/>
                <w:highlight w:val="yellow"/>
                <w:lang w:eastAsia="zh-CN"/>
              </w:rPr>
              <w:t>＋区域系数</w:t>
            </w:r>
            <w:r>
              <w:rPr>
                <w:rFonts w:hint="eastAsia" w:cs="宋体" w:asciiTheme="minorEastAsia" w:hAnsiTheme="minorEastAsia" w:eastAsiaTheme="minorEastAsia"/>
                <w:bCs/>
                <w:color w:val="auto"/>
                <w:kern w:val="0"/>
                <w:sz w:val="15"/>
                <w:szCs w:val="15"/>
                <w:highlight w:val="yellow"/>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需要给予其它处罚额度的，报案审会决定。</w:t>
            </w:r>
          </w:p>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strike w:val="0"/>
                <w:dstrike w:val="0"/>
                <w:color w:val="auto"/>
                <w:sz w:val="15"/>
                <w:szCs w:val="15"/>
                <w:highlight w:val="yellow"/>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街道</w:t>
            </w:r>
          </w:p>
          <w:p>
            <w:pPr>
              <w:spacing w:line="232"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yellow"/>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yellow"/>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yellow"/>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罚款数额</w:t>
            </w:r>
            <w:r>
              <w:rPr>
                <w:rFonts w:hint="eastAsia" w:cs="宋体" w:asciiTheme="minorEastAsia" w:hAnsiTheme="minorEastAsia" w:eastAsiaTheme="minorEastAsia"/>
                <w:color w:val="auto"/>
                <w:kern w:val="0"/>
                <w:sz w:val="15"/>
                <w:szCs w:val="15"/>
                <w:highlight w:val="yellow"/>
              </w:rPr>
              <w:t>＝</w:t>
            </w:r>
            <w:r>
              <w:rPr>
                <w:rFonts w:hint="eastAsia" w:cs="宋体" w:asciiTheme="minorEastAsia" w:hAnsiTheme="minorEastAsia" w:eastAsiaTheme="minorEastAsia"/>
                <w:bCs/>
                <w:color w:val="auto"/>
                <w:kern w:val="0"/>
                <w:sz w:val="15"/>
                <w:szCs w:val="15"/>
                <w:highlight w:val="yellow"/>
              </w:rPr>
              <w:t>违法所得×2×（1＋</w:t>
            </w:r>
            <w:r>
              <w:rPr>
                <w:rFonts w:hint="eastAsia" w:cs="宋体" w:asciiTheme="minorEastAsia" w:hAnsiTheme="minorEastAsia" w:eastAsiaTheme="minorEastAsia"/>
                <w:bCs/>
                <w:color w:val="auto"/>
                <w:kern w:val="0"/>
                <w:sz w:val="15"/>
                <w:szCs w:val="15"/>
                <w:highlight w:val="yellow"/>
                <w:lang w:eastAsia="zh-CN"/>
              </w:rPr>
              <w:t>常量系数</w:t>
            </w:r>
            <w:r>
              <w:rPr>
                <w:rFonts w:hint="eastAsia" w:cs="宋体" w:asciiTheme="minorEastAsia" w:hAnsiTheme="minorEastAsia" w:eastAsiaTheme="minorEastAsia"/>
                <w:bCs/>
                <w:color w:val="auto"/>
                <w:sz w:val="15"/>
                <w:szCs w:val="15"/>
                <w:highlight w:val="yellow"/>
              </w:rPr>
              <w:t>+变量系数</w:t>
            </w:r>
            <w:r>
              <w:rPr>
                <w:rFonts w:hint="eastAsia" w:cs="宋体" w:asciiTheme="minorEastAsia" w:hAnsiTheme="minorEastAsia" w:eastAsiaTheme="minorEastAsia"/>
                <w:bCs/>
                <w:color w:val="auto"/>
                <w:kern w:val="0"/>
                <w:sz w:val="15"/>
                <w:szCs w:val="15"/>
                <w:highlight w:val="yellow"/>
                <w:lang w:eastAsia="zh-CN"/>
              </w:rPr>
              <w:t>＋区域系数</w:t>
            </w:r>
            <w:r>
              <w:rPr>
                <w:rFonts w:hint="eastAsia" w:cs="宋体" w:asciiTheme="minorEastAsia" w:hAnsiTheme="minorEastAsia" w:eastAsiaTheme="minorEastAsia"/>
                <w:bCs/>
                <w:color w:val="auto"/>
                <w:kern w:val="0"/>
                <w:sz w:val="15"/>
                <w:szCs w:val="15"/>
                <w:highlight w:val="yellow"/>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yellow"/>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54" w:name="_Toc360901343"/>
            <w:bookmarkStart w:id="155" w:name="_Toc2084324202"/>
            <w:bookmarkStart w:id="156" w:name="_Toc110851483"/>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110851484"/>
            <w:bookmarkStart w:id="158" w:name="_Toc1390133661"/>
            <w:bookmarkStart w:id="159" w:name="_Toc704954681"/>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88728248"/>
            <w:bookmarkStart w:id="162" w:name="_Toc110851485"/>
            <w:r>
              <w:rPr>
                <w:rFonts w:hint="eastAsia" w:ascii="黑体" w:hAnsi="黑体" w:eastAsia="黑体"/>
                <w:b w:val="0"/>
                <w:color w:val="auto"/>
                <w:sz w:val="36"/>
                <w:szCs w:val="36"/>
                <w:highlight w:val="none"/>
              </w:rPr>
              <w:t>城市规划管理方面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87041735"/>
            <w:bookmarkStart w:id="164" w:name="_Toc1335409866"/>
            <w:bookmarkStart w:id="165" w:name="_Toc110851486"/>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1903386517"/>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979351110"/>
            <w:bookmarkStart w:id="171" w:name="_Toc363033362"/>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罚款数额＝1000×（1＋</w:t>
            </w:r>
            <w:r>
              <w:rPr>
                <w:rFonts w:hint="eastAsia" w:cs="宋体" w:asciiTheme="minorEastAsia" w:hAnsiTheme="minorEastAsia" w:eastAsiaTheme="minorEastAsia"/>
                <w:color w:val="auto"/>
                <w:kern w:val="0"/>
                <w:sz w:val="15"/>
                <w:szCs w:val="15"/>
                <w:highlight w:val="yellow"/>
                <w:lang w:eastAsia="zh-CN"/>
              </w:rPr>
              <w:t>常量系数</w:t>
            </w:r>
            <w:r>
              <w:rPr>
                <w:rFonts w:hint="eastAsia" w:cs="宋体" w:asciiTheme="minorEastAsia" w:hAnsiTheme="minorEastAsia" w:eastAsiaTheme="minorEastAsia"/>
                <w:color w:val="auto"/>
                <w:kern w:val="0"/>
                <w:sz w:val="15"/>
                <w:szCs w:val="15"/>
                <w:highlight w:val="yellow"/>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yellow"/>
              </w:rPr>
            </w:pPr>
            <w:r>
              <w:rPr>
                <w:rFonts w:hint="eastAsia" w:asciiTheme="minorEastAsia" w:hAnsiTheme="minorEastAsia" w:eastAsiaTheme="minorEastAsia"/>
                <w:color w:val="auto"/>
                <w:sz w:val="15"/>
                <w:szCs w:val="15"/>
                <w:highlight w:val="yellow"/>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街道</w:t>
            </w:r>
          </w:p>
          <w:p>
            <w:pPr>
              <w:spacing w:line="232" w:lineRule="exact"/>
              <w:jc w:val="center"/>
              <w:rPr>
                <w:rFonts w:cs="宋体" w:asciiTheme="minorEastAsia" w:hAnsiTheme="minorEastAsia" w:eastAsiaTheme="minorEastAsia"/>
                <w:color w:val="auto"/>
                <w:kern w:val="0"/>
                <w:sz w:val="15"/>
                <w:szCs w:val="15"/>
                <w:highlight w:val="yellow"/>
              </w:rPr>
            </w:pPr>
            <w:r>
              <w:rPr>
                <w:rFonts w:hint="eastAsia" w:asciiTheme="minorEastAsia" w:hAnsiTheme="minorEastAsia" w:eastAsiaTheme="minorEastAsia"/>
                <w:color w:val="auto"/>
                <w:sz w:val="15"/>
                <w:szCs w:val="15"/>
                <w:highlight w:val="yellow"/>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36"/>
                <w:szCs w:val="36"/>
                <w:highlight w:val="none"/>
              </w:rPr>
            </w:pPr>
            <w:bookmarkStart w:id="172" w:name="_Toc110851489"/>
            <w:bookmarkStart w:id="173" w:name="_Toc8089072"/>
            <w:bookmarkStart w:id="174" w:name="_Toc650414917"/>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948913247"/>
            <w:bookmarkStart w:id="176" w:name="_Toc1938934115"/>
            <w:bookmarkStart w:id="177" w:name="_Toc110851490"/>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78" w:name="_Toc41635676"/>
            <w:bookmarkStart w:id="179" w:name="_Toc498007091"/>
            <w:bookmarkStart w:id="180" w:name="_Toc110851491"/>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2004433536"/>
            <w:bookmarkStart w:id="182" w:name="_Toc110851492"/>
            <w:bookmarkStart w:id="183"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911683722"/>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49514883"/>
            <w:bookmarkStart w:id="188" w:name="_Toc2142516953"/>
            <w:bookmarkStart w:id="189" w:name="_Toc110851494"/>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1244121736"/>
            <w:bookmarkStart w:id="192"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05" w:hRule="atLeast"/>
          <w:jc w:val="center"/>
        </w:trPr>
        <w:tc>
          <w:tcPr>
            <w:tcW w:w="14218" w:type="dxa"/>
            <w:gridSpan w:val="9"/>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93" w:name="_Toc110851496"/>
            <w:bookmarkStart w:id="194" w:name="_Toc566357254"/>
            <w:bookmarkStart w:id="195" w:name="_Toc781453962"/>
            <w:r>
              <w:rPr>
                <w:rFonts w:hint="eastAsia" w:asciiTheme="minorEastAsia" w:hAnsiTheme="minorEastAsia" w:eastAsiaTheme="minorEastAsia"/>
                <w:color w:val="auto"/>
                <w:sz w:val="21"/>
                <w:szCs w:val="21"/>
                <w:highlight w:val="none"/>
              </w:rPr>
              <w:t>《供用电监督管理办法》案由1项</w:t>
            </w:r>
            <w:bookmarkEnd w:id="193"/>
            <w:bookmarkEnd w:id="194"/>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24" w:hRule="atLeast"/>
          <w:jc w:val="center"/>
        </w:trPr>
        <w:tc>
          <w:tcPr>
            <w:tcW w:w="940" w:type="dxa"/>
            <w:vMerge w:val="restart"/>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危害供电、用电安全，扰乱正常供电、用电秩序</w:t>
            </w:r>
          </w:p>
        </w:tc>
        <w:tc>
          <w:tcPr>
            <w:tcW w:w="2789"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违反、处罚条款：《供用电监督管理办法》第二十八条第（一）项，擅自改变用电类别的，责令改正，给予警告；再次发生的，可下达中止供电命令，并处以一万元以下的罚款。</w:t>
            </w:r>
          </w:p>
        </w:tc>
        <w:tc>
          <w:tcPr>
            <w:tcW w:w="8165" w:type="dxa"/>
            <w:gridSpan w:val="5"/>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48" w:hRule="atLeast"/>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8165" w:type="dxa"/>
            <w:gridSpan w:val="5"/>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534" w:hRule="atLeast"/>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8165" w:type="dxa"/>
            <w:gridSpan w:val="5"/>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8165" w:type="dxa"/>
            <w:gridSpan w:val="5"/>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8165" w:type="dxa"/>
            <w:gridSpan w:val="5"/>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continue"/>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8165" w:type="dxa"/>
            <w:gridSpan w:val="5"/>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6" w:name="_Toc110851497"/>
            <w:bookmarkStart w:id="197" w:name="_Toc1490732698"/>
            <w:bookmarkStart w:id="198" w:name="_Toc410264458"/>
            <w:r>
              <w:rPr>
                <w:rFonts w:hint="eastAsia" w:asciiTheme="minorEastAsia" w:hAnsiTheme="minorEastAsia" w:eastAsiaTheme="minorEastAsia"/>
                <w:color w:val="auto"/>
                <w:sz w:val="21"/>
                <w:szCs w:val="21"/>
                <w:highlight w:val="none"/>
              </w:rPr>
              <w:t>《中华人民共和国石油天然气管道保护法》</w:t>
            </w:r>
            <w:bookmarkEnd w:id="196"/>
            <w:bookmarkEnd w:id="197"/>
            <w:bookmarkStart w:id="199" w:name="_Toc110851498"/>
            <w:bookmarkStart w:id="200" w:name="_Toc63324556"/>
            <w:r>
              <w:rPr>
                <w:rFonts w:hint="eastAsia" w:asciiTheme="minorEastAsia" w:hAnsiTheme="minorEastAsia" w:eastAsiaTheme="minorEastAsia"/>
                <w:color w:val="auto"/>
                <w:sz w:val="21"/>
                <w:szCs w:val="21"/>
                <w:highlight w:val="none"/>
              </w:rPr>
              <w:t>案由22项</w:t>
            </w:r>
            <w:bookmarkEnd w:id="198"/>
            <w:bookmarkEnd w:id="199"/>
            <w:bookmarkEnd w:id="200"/>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方正书宋_GBK"/>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Batang">
    <w:altName w:val="方正书宋_GBK"/>
    <w:panose1 w:val="02030600000101010101"/>
    <w:charset w:val="81"/>
    <w:family w:val="roman"/>
    <w:pitch w:val="default"/>
    <w:sig w:usb0="00000000" w:usb1="00000000" w:usb2="00000030" w:usb3="00000000" w:csb0="0008009F"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hideSpellingErrors/>
  <w:documentProtection w:enforcement="0"/>
  <w:defaultTabStop w:val="420"/>
  <w:drawingGridHorizontalSpacing w:val="95"/>
  <w:drawingGridVerticalSpacing w:val="317"/>
  <w:displayHorizontalDrawingGridEvery w:val="1"/>
  <w:displayVerticalDrawingGridEvery w:val="1"/>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MWE3MjFlNjg4MWM5Mzc4NmM2YTU0MGQxM2UzMTA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BFF7C9"/>
    <w:rsid w:val="0FC138D0"/>
    <w:rsid w:val="0FD550EB"/>
    <w:rsid w:val="0FEFC186"/>
    <w:rsid w:val="1126007C"/>
    <w:rsid w:val="11443462"/>
    <w:rsid w:val="11AE7893"/>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EB9B3"/>
    <w:rsid w:val="2BFFA8A5"/>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F89B9"/>
    <w:rsid w:val="3B8A0DC3"/>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FD1C2"/>
    <w:rsid w:val="4C9630E6"/>
    <w:rsid w:val="4D796D4B"/>
    <w:rsid w:val="4DA78014"/>
    <w:rsid w:val="4DD29871"/>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E7DABE"/>
    <w:rsid w:val="53EE158E"/>
    <w:rsid w:val="53FDFCAE"/>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BBAF0A"/>
    <w:rsid w:val="5BD7D220"/>
    <w:rsid w:val="5BDDF1F8"/>
    <w:rsid w:val="5BF3A74E"/>
    <w:rsid w:val="5BF68CF6"/>
    <w:rsid w:val="5BF8AA04"/>
    <w:rsid w:val="5BFC5027"/>
    <w:rsid w:val="5BFD1224"/>
    <w:rsid w:val="5BFD3CB7"/>
    <w:rsid w:val="5C6FBA19"/>
    <w:rsid w:val="5C7EB9DA"/>
    <w:rsid w:val="5C9B734C"/>
    <w:rsid w:val="5CD78333"/>
    <w:rsid w:val="5CEBCAD6"/>
    <w:rsid w:val="5CF3E376"/>
    <w:rsid w:val="5CFF2307"/>
    <w:rsid w:val="5D177A7A"/>
    <w:rsid w:val="5D7F530F"/>
    <w:rsid w:val="5D8CAEE6"/>
    <w:rsid w:val="5D953CD4"/>
    <w:rsid w:val="5DB3473A"/>
    <w:rsid w:val="5DBF23B5"/>
    <w:rsid w:val="5DC67B8B"/>
    <w:rsid w:val="5DF5385C"/>
    <w:rsid w:val="5DF7A785"/>
    <w:rsid w:val="5DFDEB58"/>
    <w:rsid w:val="5DFE02C1"/>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980EC"/>
    <w:rsid w:val="5FF98146"/>
    <w:rsid w:val="5FF999D4"/>
    <w:rsid w:val="5FFA3473"/>
    <w:rsid w:val="5FFBE073"/>
    <w:rsid w:val="5FFC2FA4"/>
    <w:rsid w:val="5FFDD2DA"/>
    <w:rsid w:val="5FFF5029"/>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FE0A5F"/>
    <w:rsid w:val="6A3D2095"/>
    <w:rsid w:val="6A4515FF"/>
    <w:rsid w:val="6A723F09"/>
    <w:rsid w:val="6A7D6FBC"/>
    <w:rsid w:val="6A860352"/>
    <w:rsid w:val="6ABF683F"/>
    <w:rsid w:val="6ABFCBE9"/>
    <w:rsid w:val="6AEC4A2D"/>
    <w:rsid w:val="6AF57D44"/>
    <w:rsid w:val="6B7BBC6F"/>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BEFC4"/>
    <w:rsid w:val="6EDF3A8D"/>
    <w:rsid w:val="6EEEA5EE"/>
    <w:rsid w:val="6EEF3DBB"/>
    <w:rsid w:val="6EEF5774"/>
    <w:rsid w:val="6EF1815E"/>
    <w:rsid w:val="6EF7BA2F"/>
    <w:rsid w:val="6EFEF699"/>
    <w:rsid w:val="6F2F60A1"/>
    <w:rsid w:val="6F5BAD55"/>
    <w:rsid w:val="6F5E201F"/>
    <w:rsid w:val="6F5ECC87"/>
    <w:rsid w:val="6F7E0090"/>
    <w:rsid w:val="6F7FF651"/>
    <w:rsid w:val="6F9A6F50"/>
    <w:rsid w:val="6F9B5ADC"/>
    <w:rsid w:val="6F9BDB6C"/>
    <w:rsid w:val="6F9D25AC"/>
    <w:rsid w:val="6F9FCFB9"/>
    <w:rsid w:val="6FA58BCC"/>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E44CF8"/>
    <w:rsid w:val="7BEA6A05"/>
    <w:rsid w:val="7BEB247B"/>
    <w:rsid w:val="7BEFE6DA"/>
    <w:rsid w:val="7BF3BF39"/>
    <w:rsid w:val="7BF5B9F7"/>
    <w:rsid w:val="7BF70AB0"/>
    <w:rsid w:val="7BF767AD"/>
    <w:rsid w:val="7BFC3C65"/>
    <w:rsid w:val="7BFE72B7"/>
    <w:rsid w:val="7BFEEFEC"/>
    <w:rsid w:val="7BFF41CF"/>
    <w:rsid w:val="7C1FED41"/>
    <w:rsid w:val="7C9E0C08"/>
    <w:rsid w:val="7CD098CE"/>
    <w:rsid w:val="7CDFF093"/>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ABD716C"/>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5FEE27E"/>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22D1432"/>
    <w:rsid w:val="C377D33E"/>
    <w:rsid w:val="C3817AF8"/>
    <w:rsid w:val="C6F79AA3"/>
    <w:rsid w:val="C6FF5552"/>
    <w:rsid w:val="C74F1025"/>
    <w:rsid w:val="C7A6E0C6"/>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DE049"/>
    <w:rsid w:val="D7FF623E"/>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BD95B"/>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52D36"/>
    <w:rsid w:val="FF9F4B0B"/>
    <w:rsid w:val="FF9F5B82"/>
    <w:rsid w:val="FF9FC2BD"/>
    <w:rsid w:val="FFAB6C8F"/>
    <w:rsid w:val="FFAEDC16"/>
    <w:rsid w:val="FFB3B41D"/>
    <w:rsid w:val="FFB5F89A"/>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0"/>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8"/>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149</TotalTime>
  <ScaleCrop>false</ScaleCrop>
  <LinksUpToDate>false</LinksUpToDate>
  <CharactersWithSpaces>134862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2022-08-27T10:35:00Z</dcterms:created>
  <dc:creator>张通</dc:creator>
  <cp:lastModifiedBy>uos</cp:lastModifiedBy>
  <cp:lastPrinted>2023-11-25T12:59:00Z</cp:lastPrinted>
  <dcterms:modified xsi:type="dcterms:W3CDTF">2024-01-29T14:36:44Z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21CB7F7E36F44B2887F6D29F03788F44</vt:lpwstr>
  </property>
</Properties>
</file>