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生态环境、水务、农业农村、卫生健康、住建领域</w:t>
      </w:r>
      <w:r>
        <w:rPr>
          <w:rFonts w:hint="eastAsia" w:ascii="方正小标宋简体" w:hAnsi="方正小标宋简体" w:eastAsia="方正小标宋简体" w:cs="方正小标宋简体"/>
          <w:sz w:val="44"/>
          <w:szCs w:val="44"/>
        </w:rPr>
        <w:t>行政处罚裁量基准表</w:t>
      </w:r>
    </w:p>
    <w:p>
      <w:pPr>
        <w:pStyle w:val="21"/>
        <w:rPr>
          <w:rFonts w:hint="eastAsia"/>
        </w:rPr>
      </w:pPr>
    </w:p>
    <w:sdt>
      <w:sdtPr>
        <w:rPr>
          <w:rFonts w:hint="default" w:ascii="宋体" w:hAnsi="宋体" w:eastAsia="宋体" w:cs="Times New Roman"/>
          <w:kern w:val="2"/>
          <w:sz w:val="21"/>
          <w:szCs w:val="24"/>
          <w:lang w:val="en-US" w:eastAsia="zh-CN" w:bidi="ar-SA"/>
        </w:rPr>
        <w:id w:val="227737608"/>
        <w:docPartObj>
          <w:docPartGallery w:val="Table of Contents"/>
          <w:docPartUnique/>
        </w:docPartObj>
      </w:sdtPr>
      <w:sdtEndPr>
        <w:rPr>
          <w:rFonts w:hint="default" w:ascii="Times New Roman" w:hAnsi="Times New Roman"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r>
            <w:fldChar w:fldCharType="begin"/>
          </w:r>
          <w:r>
            <w:instrText xml:space="preserve">TOC \o "1-3" \h \u </w:instrText>
          </w:r>
          <w:r>
            <w:fldChar w:fldCharType="separate"/>
          </w:r>
        </w:p>
        <w:p>
          <w:pPr>
            <w:pStyle w:val="16"/>
            <w:tabs>
              <w:tab w:val="right" w:leader="dot" w:pos="9582"/>
            </w:tabs>
            <w:rPr>
              <w:rFonts w:hint="eastAsia" w:eastAsia="宋体"/>
              <w:lang w:val="en-US" w:eastAsia="zh-CN"/>
            </w:rPr>
          </w:pPr>
          <w:r>
            <w:fldChar w:fldCharType="begin"/>
          </w:r>
          <w:r>
            <w:instrText xml:space="preserve"> HYPERLINK \l _Toc1953583257 </w:instrText>
          </w:r>
          <w:r>
            <w:fldChar w:fldCharType="separate"/>
          </w:r>
          <w:r>
            <w:rPr>
              <w:rFonts w:hint="eastAsia" w:asciiTheme="minorEastAsia" w:hAnsiTheme="minorEastAsia" w:eastAsiaTheme="minorEastAsia"/>
              <w:szCs w:val="15"/>
            </w:rPr>
            <w:t>生态环境管理方面4项</w:t>
          </w:r>
          <w:r>
            <w:tab/>
          </w:r>
          <w:r>
            <w:rPr>
              <w:rFonts w:hint="eastAsia"/>
              <w:lang w:val="en-US" w:eastAsia="zh-CN"/>
            </w:rPr>
            <w:t>1</w:t>
          </w:r>
          <w:r>
            <w:fldChar w:fldCharType="end"/>
          </w:r>
        </w:p>
        <w:p>
          <w:pPr>
            <w:pStyle w:val="16"/>
            <w:tabs>
              <w:tab w:val="right" w:leader="dot" w:pos="9582"/>
            </w:tabs>
          </w:pPr>
          <w:r>
            <w:fldChar w:fldCharType="begin"/>
          </w:r>
          <w:r>
            <w:instrText xml:space="preserve"> HYPERLINK \l _Toc1642327804 </w:instrText>
          </w:r>
          <w:r>
            <w:fldChar w:fldCharType="separate"/>
          </w:r>
          <w:r>
            <w:rPr>
              <w:rFonts w:hint="eastAsia" w:asciiTheme="minorEastAsia" w:hAnsiTheme="minorEastAsia" w:eastAsiaTheme="minorEastAsia"/>
              <w:szCs w:val="15"/>
            </w:rPr>
            <w:t>水务管理方面20项</w:t>
          </w:r>
          <w:r>
            <w:tab/>
          </w:r>
          <w:r>
            <w:rPr>
              <w:rFonts w:hint="eastAsia"/>
              <w:lang w:val="en-US" w:eastAsia="zh-CN"/>
            </w:rPr>
            <w:t>2</w:t>
          </w:r>
          <w:r>
            <w:fldChar w:fldCharType="end"/>
          </w:r>
        </w:p>
        <w:p>
          <w:pPr>
            <w:pStyle w:val="16"/>
            <w:tabs>
              <w:tab w:val="right" w:leader="dot" w:pos="9582"/>
            </w:tabs>
          </w:pPr>
          <w:r>
            <w:fldChar w:fldCharType="begin"/>
          </w:r>
          <w:r>
            <w:instrText xml:space="preserve"> HYPERLINK \l _Toc473764242 </w:instrText>
          </w:r>
          <w:r>
            <w:fldChar w:fldCharType="separate"/>
          </w:r>
          <w:r>
            <w:rPr>
              <w:rFonts w:hint="eastAsia" w:asciiTheme="minorEastAsia" w:hAnsiTheme="minorEastAsia" w:eastAsiaTheme="minorEastAsia"/>
              <w:szCs w:val="15"/>
            </w:rPr>
            <w:t>农业农村管理方面1项</w:t>
          </w:r>
          <w:r>
            <w:tab/>
          </w:r>
          <w:r>
            <w:rPr>
              <w:rFonts w:hint="eastAsia"/>
              <w:lang w:val="en-US" w:eastAsia="zh-CN"/>
            </w:rPr>
            <w:t>6</w:t>
          </w:r>
          <w:r>
            <w:fldChar w:fldCharType="end"/>
          </w:r>
        </w:p>
        <w:p>
          <w:pPr>
            <w:pStyle w:val="16"/>
            <w:tabs>
              <w:tab w:val="right" w:leader="dot" w:pos="9582"/>
            </w:tabs>
          </w:pPr>
          <w:r>
            <w:fldChar w:fldCharType="begin"/>
          </w:r>
          <w:r>
            <w:instrText xml:space="preserve"> HYPERLINK \l _Toc589852508 </w:instrText>
          </w:r>
          <w:r>
            <w:fldChar w:fldCharType="separate"/>
          </w:r>
          <w:r>
            <w:rPr>
              <w:rFonts w:hint="eastAsia" w:asciiTheme="minorEastAsia" w:hAnsiTheme="minorEastAsia" w:eastAsiaTheme="minorEastAsia"/>
              <w:szCs w:val="15"/>
            </w:rPr>
            <w:t>卫生健康管理方面12项</w:t>
          </w:r>
          <w:r>
            <w:tab/>
          </w:r>
          <w:r>
            <w:rPr>
              <w:rFonts w:hint="eastAsia"/>
              <w:lang w:val="en-US" w:eastAsia="zh-CN"/>
            </w:rPr>
            <w:t>6</w:t>
          </w:r>
          <w:r>
            <w:fldChar w:fldCharType="end"/>
          </w:r>
        </w:p>
        <w:p>
          <w:pPr>
            <w:pStyle w:val="16"/>
            <w:tabs>
              <w:tab w:val="right" w:leader="dot" w:pos="9582"/>
            </w:tabs>
          </w:pPr>
          <w:r>
            <w:fldChar w:fldCharType="begin"/>
          </w:r>
          <w:r>
            <w:instrText xml:space="preserve"> HYPERLINK \l _Toc979026322 </w:instrText>
          </w:r>
          <w:r>
            <w:fldChar w:fldCharType="separate"/>
          </w:r>
          <w:r>
            <w:rPr>
              <w:rFonts w:hint="eastAsia"/>
              <w:szCs w:val="21"/>
              <w:lang w:eastAsia="zh-CN"/>
            </w:rPr>
            <w:t>住建</w:t>
          </w:r>
          <w:r>
            <w:rPr>
              <w:rFonts w:hint="eastAsia" w:ascii="宋体" w:hAnsi="宋体" w:eastAsia="宋体" w:cs="宋体"/>
              <w:szCs w:val="21"/>
              <w:lang w:eastAsia="zh-CN"/>
            </w:rPr>
            <w:t>方面</w:t>
          </w:r>
          <w:r>
            <w:rPr>
              <w:rFonts w:hint="eastAsia" w:ascii="宋体" w:hAnsi="宋体" w:eastAsia="宋体" w:cs="宋体"/>
              <w:szCs w:val="21"/>
              <w:lang w:val="en-US" w:eastAsia="zh-CN"/>
            </w:rPr>
            <w:t>1项</w:t>
          </w:r>
          <w:r>
            <w:tab/>
          </w:r>
          <w:r>
            <w:rPr>
              <w:rFonts w:hint="eastAsia"/>
              <w:lang w:val="en-US" w:eastAsia="zh-CN"/>
            </w:rPr>
            <w:t>8</w:t>
          </w:r>
          <w:r>
            <w:fldChar w:fldCharType="end"/>
          </w:r>
        </w:p>
        <w:p>
          <w:pPr>
            <w:pStyle w:val="21"/>
          </w:pPr>
          <w:r>
            <w:fldChar w:fldCharType="end"/>
          </w:r>
        </w:p>
      </w:sdtContent>
    </w:sdt>
    <w:p>
      <w:pPr>
        <w:pStyle w:val="21"/>
        <w:rPr>
          <w:rFonts w:hint="eastAsia"/>
          <w:highlight w:val="none"/>
        </w:rPr>
      </w:pPr>
      <w:bookmarkStart w:id="15" w:name="_GoBack"/>
      <w:bookmarkEnd w:id="15"/>
    </w:p>
    <w:p>
      <w:pPr>
        <w:pStyle w:val="21"/>
        <w:rPr>
          <w:rFonts w:hint="eastAsia"/>
          <w:highlight w:val="none"/>
        </w:rPr>
      </w:pPr>
    </w:p>
    <w:p>
      <w:pPr>
        <w:pStyle w:val="21"/>
        <w:rPr>
          <w:rFonts w:hint="eastAsia"/>
          <w:highlight w:val="none"/>
        </w:rPr>
      </w:pPr>
    </w:p>
    <w:p>
      <w:pPr>
        <w:pStyle w:val="21"/>
        <w:ind w:left="0" w:leftChars="0" w:firstLine="0" w:firstLineChars="0"/>
        <w:rPr>
          <w:rFonts w:hint="eastAsia"/>
          <w:highlight w:val="none"/>
        </w:rPr>
        <w:sectPr>
          <w:pgSz w:w="11850" w:h="16840"/>
          <w:pgMar w:top="907" w:right="1134" w:bottom="907" w:left="1134" w:header="851" w:footer="624" w:gutter="0"/>
          <w:pgNumType w:start="1"/>
          <w:cols w:space="0" w:num="1"/>
          <w:rtlGutter w:val="0"/>
          <w:docGrid w:linePitch="634" w:charSpace="0"/>
        </w:sectPr>
      </w:pPr>
    </w:p>
    <w:tbl>
      <w:tblPr>
        <w:tblStyle w:val="22"/>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85"/>
        <w:gridCol w:w="355"/>
        <w:gridCol w:w="684"/>
        <w:gridCol w:w="816"/>
        <w:gridCol w:w="405"/>
        <w:gridCol w:w="1211"/>
        <w:gridCol w:w="1173"/>
        <w:gridCol w:w="1173"/>
        <w:gridCol w:w="1822"/>
        <w:gridCol w:w="2111"/>
        <w:gridCol w:w="401"/>
        <w:gridCol w:w="809"/>
        <w:gridCol w:w="1286"/>
        <w:gridCol w:w="290"/>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Pr>
        <w:tc>
          <w:tcPr>
            <w:tcW w:w="14329" w:type="dxa"/>
            <w:gridSpan w:val="15"/>
            <w:vAlign w:val="center"/>
          </w:tcPr>
          <w:p>
            <w:pPr>
              <w:pStyle w:val="2"/>
              <w:keepNext w:val="0"/>
              <w:keepLines w:val="0"/>
              <w:spacing w:line="220" w:lineRule="exact"/>
              <w:rPr>
                <w:rFonts w:asciiTheme="minorEastAsia" w:hAnsiTheme="minorEastAsia" w:eastAsiaTheme="minorEastAsia"/>
                <w:sz w:val="15"/>
                <w:szCs w:val="15"/>
              </w:rPr>
            </w:pPr>
            <w:bookmarkStart w:id="0" w:name="_Toc1437339030"/>
            <w:bookmarkStart w:id="1" w:name="_Toc1953583257"/>
            <w:bookmarkStart w:id="2" w:name="_Toc341845612"/>
            <w:bookmarkStart w:id="3" w:name="_Toc110851502"/>
            <w:r>
              <w:rPr>
                <w:rFonts w:hint="eastAsia" w:asciiTheme="minorEastAsia" w:hAnsiTheme="minorEastAsia" w:eastAsiaTheme="minorEastAsia"/>
                <w:sz w:val="15"/>
                <w:szCs w:val="15"/>
              </w:rPr>
              <w:t>生态环境管理方面</w:t>
            </w:r>
            <w:bookmarkEnd w:id="0"/>
            <w:r>
              <w:rPr>
                <w:rFonts w:hint="eastAsia" w:asciiTheme="minorEastAsia" w:hAnsiTheme="minorEastAsia" w:eastAsiaTheme="minorEastAsia"/>
                <w:sz w:val="15"/>
                <w:szCs w:val="15"/>
              </w:rPr>
              <w:t>4项</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w:t>
            </w:r>
          </w:p>
        </w:tc>
        <w:tc>
          <w:tcPr>
            <w:tcW w:w="1500" w:type="dxa"/>
            <w:gridSpan w:val="2"/>
            <w:vAlign w:val="center"/>
          </w:tcPr>
          <w:p>
            <w:pPr>
              <w:spacing w:line="220" w:lineRule="exact"/>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color w:val="000000"/>
                <w:kern w:val="0"/>
                <w:sz w:val="15"/>
                <w:szCs w:val="15"/>
                <w:lang w:bidi="ar"/>
              </w:rPr>
              <w:t>服装干洗和机动车维修等</w:t>
            </w:r>
            <w:r>
              <w:rPr>
                <w:rFonts w:hint="eastAsia" w:cs="仿宋_GB2312" w:asciiTheme="minorEastAsia" w:hAnsiTheme="minorEastAsia" w:eastAsiaTheme="minorEastAsia"/>
                <w:kern w:val="0"/>
                <w:sz w:val="15"/>
                <w:szCs w:val="15"/>
              </w:rPr>
              <w:t>项目</w:t>
            </w:r>
            <w:r>
              <w:rPr>
                <w:rFonts w:hint="eastAsia" w:cs="仿宋_GB2312" w:asciiTheme="minorEastAsia" w:hAnsiTheme="minorEastAsia" w:eastAsiaTheme="minorEastAsia"/>
                <w:color w:val="000000"/>
                <w:kern w:val="0"/>
                <w:sz w:val="15"/>
                <w:szCs w:val="15"/>
                <w:lang w:bidi="ar"/>
              </w:rPr>
              <w:t>，未设置异味和废气处理装置等污染防治设施并保持正常使用</w:t>
            </w:r>
          </w:p>
        </w:tc>
        <w:tc>
          <w:tcPr>
            <w:tcW w:w="2789" w:type="dxa"/>
            <w:gridSpan w:val="3"/>
            <w:vAlign w:val="center"/>
          </w:tcPr>
          <w:p>
            <w:pPr>
              <w:spacing w:line="220" w:lineRule="exact"/>
              <w:jc w:val="left"/>
              <w:textAlignment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color w:val="000000"/>
                <w:kern w:val="0"/>
                <w:sz w:val="15"/>
                <w:szCs w:val="15"/>
                <w:lang w:bidi="ar"/>
              </w:rPr>
              <w:t>《中华人民共和国大气污染防治法》违反条款：第八十四条；处罚条款：第一百二十条，责令改正，处二千元以上二万元以下的罚款；拒不改正的，责令停业整治。</w:t>
            </w:r>
          </w:p>
        </w:tc>
        <w:tc>
          <w:tcPr>
            <w:tcW w:w="5507" w:type="dxa"/>
            <w:gridSpan w:val="4"/>
            <w:vAlign w:val="center"/>
          </w:tcPr>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不正常使用异味和废气处理装置等净化设施0.2-1万元；</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未安装或者安装后擅自拆除异味和废气净化设施1-2万元；</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拒不改正的，责令停业整治。</w:t>
            </w:r>
          </w:p>
        </w:tc>
        <w:tc>
          <w:tcPr>
            <w:tcW w:w="2385" w:type="dxa"/>
            <w:gridSpan w:val="3"/>
            <w:vAlign w:val="center"/>
          </w:tcPr>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可以从重处罚的情形</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1．两年内因同类环境违法行为被处罚3次（含3次）以上的；</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2．重污染天气预警期间超标排放大气污染物的；</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3．在案件查处中对执法人员进行威胁、辱骂、殴打、恐吓或者打击报复的；</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4．环境违法行为造成跨行政区域环境污染的；</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5．环境违法行为引起不良社会反响的；</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6．其他具有从重情节的。</w:t>
            </w: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34" w:hRule="atLeast"/>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2</w:t>
            </w:r>
          </w:p>
        </w:tc>
        <w:tc>
          <w:tcPr>
            <w:tcW w:w="1500" w:type="dxa"/>
            <w:gridSpan w:val="2"/>
            <w:vAlign w:val="center"/>
          </w:tcPr>
          <w:p>
            <w:pPr>
              <w:spacing w:line="232" w:lineRule="exact"/>
              <w:textAlignment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color w:val="000000"/>
                <w:kern w:val="0"/>
                <w:sz w:val="15"/>
                <w:szCs w:val="15"/>
                <w:lang w:bidi="ar"/>
              </w:rPr>
              <w:t>不使用清洁能源</w:t>
            </w:r>
          </w:p>
        </w:tc>
        <w:tc>
          <w:tcPr>
            <w:tcW w:w="2789" w:type="dxa"/>
            <w:gridSpan w:val="3"/>
            <w:vAlign w:val="center"/>
          </w:tcPr>
          <w:p>
            <w:pPr>
              <w:spacing w:line="232" w:lineRule="exact"/>
              <w:textAlignment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color w:val="000000"/>
                <w:kern w:val="0"/>
                <w:sz w:val="15"/>
                <w:szCs w:val="15"/>
                <w:lang w:bidi="ar"/>
              </w:rPr>
              <w:t>《北京市大气污染防治条例》违反条款：第五十三条第三款；处罚条款：第一百零三条第二款，责令限期改正，处一万元以上十万元以下罚款。</w:t>
            </w:r>
          </w:p>
        </w:tc>
        <w:tc>
          <w:tcPr>
            <w:tcW w:w="5507" w:type="dxa"/>
            <w:gridSpan w:val="4"/>
            <w:vAlign w:val="center"/>
          </w:tcPr>
          <w:p>
            <w:pPr>
              <w:spacing w:line="232" w:lineRule="exact"/>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无</w:t>
            </w:r>
          </w:p>
        </w:tc>
        <w:tc>
          <w:tcPr>
            <w:tcW w:w="2385" w:type="dxa"/>
            <w:gridSpan w:val="3"/>
            <w:vAlign w:val="center"/>
          </w:tcPr>
          <w:p>
            <w:pPr>
              <w:spacing w:line="232" w:lineRule="exact"/>
              <w:rPr>
                <w:rFonts w:cs="仿宋_GB2312" w:asciiTheme="minorEastAsia" w:hAnsiTheme="minorEastAsia" w:eastAsiaTheme="minorEastAsia"/>
                <w:sz w:val="15"/>
                <w:szCs w:val="15"/>
              </w:rPr>
            </w:pP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3330" w:hRule="atLeast"/>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3</w:t>
            </w:r>
          </w:p>
        </w:tc>
        <w:tc>
          <w:tcPr>
            <w:tcW w:w="1500" w:type="dxa"/>
            <w:gridSpan w:val="2"/>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3"/>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507" w:type="dxa"/>
            <w:gridSpan w:val="4"/>
            <w:vAlign w:val="center"/>
          </w:tcPr>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未密闭贮存易产生扬尘的物料，</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物料数量≤50立方米，1-2万元；</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50立方米&lt;物料数量≤500立方米，2-4万元；</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物料数量 &gt;500立方米，4-10万元。</w:t>
            </w:r>
          </w:p>
          <w:p>
            <w:pPr>
              <w:pStyle w:val="21"/>
              <w:spacing w:after="0" w:line="232" w:lineRule="exact"/>
              <w:ind w:left="0" w:leftChars="0" w:firstLine="0" w:firstLineChars="0"/>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未设置严密围挡，或未采取有效覆盖措施防治扬尘，</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物料数量≤50立方米，1-2万元；</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50立方米&lt;物料数量≤500立方米，2-4万元；</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物料数量 &gt;500立方米，4-10万元。</w:t>
            </w:r>
          </w:p>
          <w:p>
            <w:pPr>
              <w:pStyle w:val="21"/>
              <w:spacing w:after="0" w:line="232" w:lineRule="exact"/>
              <w:ind w:left="0" w:leftChars="0" w:firstLine="0" w:firstLineChars="0"/>
              <w:textAlignment w:val="center"/>
              <w:rPr>
                <w:rFonts w:asciiTheme="minorEastAsia" w:hAnsiTheme="minorEastAsia" w:eastAsiaTheme="minorEastAsia"/>
                <w:sz w:val="15"/>
                <w:szCs w:val="15"/>
              </w:rPr>
            </w:pPr>
            <w:r>
              <w:rPr>
                <w:rFonts w:hint="eastAsia" w:cs="仿宋_GB2312" w:asciiTheme="minorEastAsia" w:hAnsiTheme="minorEastAsia" w:eastAsiaTheme="minorEastAsia"/>
                <w:color w:val="000000"/>
                <w:kern w:val="0"/>
                <w:sz w:val="15"/>
                <w:szCs w:val="15"/>
                <w:lang w:bidi="ar"/>
              </w:rPr>
              <w:t>拒不改正的，责令停工整治或者停业整治。</w:t>
            </w:r>
          </w:p>
        </w:tc>
        <w:tc>
          <w:tcPr>
            <w:tcW w:w="2385" w:type="dxa"/>
            <w:gridSpan w:val="3"/>
            <w:vAlign w:val="center"/>
          </w:tcPr>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可以从重处罚的情形</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1．两年内因同类环境违法行为被处罚3次（含3次）以上的；</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2．重污染天气预警期间超标排放大气污染物的；</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3．在案件查处中对执法人员进行威胁、辱骂、殴打、恐吓或者打击报复的；</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4．环境违法行为造成跨行政区域环境污染的；</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5．环境违法行为引起不良社会反响的；</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6．其他具有从重情节的。</w:t>
            </w: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949" w:hRule="atLeast"/>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4</w:t>
            </w:r>
          </w:p>
        </w:tc>
        <w:tc>
          <w:tcPr>
            <w:tcW w:w="1500" w:type="dxa"/>
            <w:gridSpan w:val="2"/>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加工、维修、餐饮、娱乐、健身、超市及其他商业服务业经营者未采取有效措施，生产经营活动产生噪声干扰周围生活环境，且拒不改正</w:t>
            </w:r>
          </w:p>
        </w:tc>
        <w:tc>
          <w:tcPr>
            <w:tcW w:w="2789" w:type="dxa"/>
            <w:gridSpan w:val="3"/>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《北京市环境噪声污染防治办法》违反条款：第三十条；处罚条款：第四十二条，责令改正；拒不改正的，处3万元以下罚款。</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3"/>
            <w:vAlign w:val="center"/>
          </w:tcPr>
          <w:p>
            <w:pPr>
              <w:spacing w:line="232" w:lineRule="exact"/>
              <w:rPr>
                <w:rFonts w:cs="仿宋_GB2312" w:asciiTheme="minorEastAsia" w:hAnsiTheme="minorEastAsia" w:eastAsiaTheme="minorEastAsia"/>
                <w:sz w:val="15"/>
                <w:szCs w:val="15"/>
              </w:rPr>
            </w:pP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Pr>
        <w:tc>
          <w:tcPr>
            <w:tcW w:w="14329" w:type="dxa"/>
            <w:gridSpan w:val="15"/>
            <w:vAlign w:val="center"/>
          </w:tcPr>
          <w:p>
            <w:pPr>
              <w:pStyle w:val="2"/>
              <w:keepNext w:val="0"/>
              <w:keepLines w:val="0"/>
              <w:spacing w:line="232" w:lineRule="exact"/>
              <w:rPr>
                <w:rFonts w:asciiTheme="minorEastAsia" w:hAnsiTheme="minorEastAsia" w:eastAsiaTheme="minorEastAsia"/>
                <w:sz w:val="15"/>
                <w:szCs w:val="15"/>
              </w:rPr>
            </w:pPr>
            <w:bookmarkStart w:id="4" w:name="_Toc1642327804"/>
            <w:bookmarkStart w:id="5" w:name="_Toc1112894806"/>
            <w:bookmarkStart w:id="6" w:name="_Toc110851503"/>
            <w:r>
              <w:rPr>
                <w:rFonts w:hint="eastAsia" w:asciiTheme="minorEastAsia" w:hAnsiTheme="minorEastAsia" w:eastAsiaTheme="minorEastAsia"/>
                <w:sz w:val="15"/>
                <w:szCs w:val="15"/>
              </w:rPr>
              <w:t>水务管理方面20项</w:t>
            </w:r>
            <w:bookmarkEnd w:id="4"/>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328" w:hRule="atLeast"/>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w:t>
            </w:r>
          </w:p>
        </w:tc>
        <w:tc>
          <w:tcPr>
            <w:tcW w:w="1500" w:type="dxa"/>
            <w:gridSpan w:val="2"/>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向雨水收集口、雨水管道排放或者倾倒污水、污物和垃圾等废弃物</w:t>
            </w:r>
          </w:p>
        </w:tc>
        <w:tc>
          <w:tcPr>
            <w:tcW w:w="2789" w:type="dxa"/>
            <w:gridSpan w:val="3"/>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《北京市水污染防治条例》</w:t>
            </w:r>
          </w:p>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507" w:type="dxa"/>
            <w:gridSpan w:val="4"/>
            <w:vAlign w:val="center"/>
          </w:tcPr>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对单位：倾倒少量生活污水的，1万≤罚款额≤3万；排放或者倾倒污水污物和垃圾等废弃物，3万＜罚款额≤6</w:t>
            </w:r>
            <w:r>
              <w:rPr>
                <w:rFonts w:hint="eastAsia" w:cs="仿宋_GB2312" w:asciiTheme="minorEastAsia" w:hAnsiTheme="minorEastAsia" w:eastAsiaTheme="minorEastAsia"/>
                <w:color w:val="000000"/>
                <w:kern w:val="0"/>
                <w:sz w:val="15"/>
                <w:szCs w:val="15"/>
                <w:lang w:bidi="ar"/>
              </w:rPr>
              <w:tab/>
            </w:r>
            <w:r>
              <w:rPr>
                <w:rFonts w:hint="eastAsia" w:cs="仿宋_GB2312" w:asciiTheme="minorEastAsia" w:hAnsiTheme="minorEastAsia" w:eastAsiaTheme="minorEastAsia"/>
                <w:color w:val="000000"/>
                <w:kern w:val="0"/>
                <w:sz w:val="15"/>
                <w:szCs w:val="15"/>
                <w:lang w:bidi="ar"/>
              </w:rPr>
              <w:t>万；排放或者倾倒污水污物和垃圾等废弃物，情节严重的，6万＜罚款额≤10万。</w:t>
            </w:r>
          </w:p>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对个人：倾倒少量生活污水的，0.1万≤罚款额≤0.3万；排放或者倾倒污水污物和垃圾等废弃物，0.3万＜罚款额≤0.6万；</w:t>
            </w:r>
            <w:r>
              <w:rPr>
                <w:rFonts w:hint="eastAsia" w:cs="仿宋_GB2312" w:asciiTheme="minorEastAsia" w:hAnsiTheme="minorEastAsia" w:eastAsiaTheme="minorEastAsia"/>
                <w:color w:val="000000"/>
                <w:kern w:val="0"/>
                <w:sz w:val="15"/>
                <w:szCs w:val="15"/>
                <w:lang w:bidi="ar"/>
              </w:rPr>
              <w:tab/>
            </w:r>
            <w:r>
              <w:rPr>
                <w:rFonts w:hint="eastAsia" w:cs="仿宋_GB2312" w:asciiTheme="minorEastAsia" w:hAnsiTheme="minorEastAsia" w:eastAsiaTheme="minorEastAsia"/>
                <w:color w:val="000000"/>
                <w:kern w:val="0"/>
                <w:sz w:val="15"/>
                <w:szCs w:val="15"/>
                <w:lang w:bidi="ar"/>
              </w:rPr>
              <w:t>排放或者倾倒污水污物和垃圾等废弃物，情节严重的，0.6万＜罚款额≤1万。</w:t>
            </w:r>
          </w:p>
        </w:tc>
        <w:tc>
          <w:tcPr>
            <w:tcW w:w="2385" w:type="dxa"/>
            <w:gridSpan w:val="3"/>
            <w:vAlign w:val="center"/>
          </w:tcPr>
          <w:p>
            <w:pPr>
              <w:spacing w:line="232" w:lineRule="exact"/>
              <w:rPr>
                <w:rFonts w:cs="仿宋_GB2312" w:asciiTheme="minorEastAsia" w:hAnsiTheme="minorEastAsia" w:eastAsiaTheme="minorEastAsia"/>
                <w:sz w:val="15"/>
                <w:szCs w:val="15"/>
              </w:rPr>
            </w:pP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940" w:hRule="atLeast"/>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2</w:t>
            </w:r>
          </w:p>
        </w:tc>
        <w:tc>
          <w:tcPr>
            <w:tcW w:w="1500" w:type="dxa"/>
            <w:gridSpan w:val="2"/>
            <w:vAlign w:val="center"/>
          </w:tcPr>
          <w:p>
            <w:pPr>
              <w:spacing w:line="232" w:lineRule="exact"/>
              <w:textAlignment w:val="center"/>
              <w:rPr>
                <w:rFonts w:asciiTheme="minorEastAsia" w:hAnsiTheme="minorEastAsia" w:eastAsiaTheme="minorEastAsia"/>
                <w:kern w:val="0"/>
                <w:sz w:val="15"/>
                <w:szCs w:val="15"/>
              </w:rPr>
            </w:pPr>
            <w:r>
              <w:rPr>
                <w:rFonts w:hint="eastAsia" w:asciiTheme="minorEastAsia" w:hAnsiTheme="minorEastAsia" w:eastAsiaTheme="minorEastAsia"/>
                <w:sz w:val="15"/>
                <w:szCs w:val="15"/>
              </w:rPr>
              <w:t>擅自倾倒、堆放、丢弃、遗撒污泥</w:t>
            </w:r>
          </w:p>
        </w:tc>
        <w:tc>
          <w:tcPr>
            <w:tcW w:w="2789" w:type="dxa"/>
            <w:gridSpan w:val="3"/>
            <w:vAlign w:val="center"/>
          </w:tcPr>
          <w:p>
            <w:pPr>
              <w:spacing w:line="190" w:lineRule="exact"/>
              <w:textAlignment w:val="center"/>
              <w:rPr>
                <w:rFonts w:asciiTheme="minorEastAsia" w:hAnsiTheme="minorEastAsia" w:eastAsiaTheme="minorEastAsia"/>
                <w:kern w:val="0"/>
                <w:sz w:val="15"/>
                <w:szCs w:val="15"/>
              </w:rPr>
            </w:pPr>
            <w:r>
              <w:rPr>
                <w:rFonts w:hint="eastAsia" w:asciiTheme="minorEastAsia" w:hAnsiTheme="minorEastAsia" w:eastAsiaTheme="minorEastAsia"/>
                <w:sz w:val="15"/>
                <w:szCs w:val="15"/>
              </w:rPr>
              <w:t>《城镇排水与污水处理条例</w:t>
            </w:r>
            <w:r>
              <w:rPr>
                <w:rFonts w:hint="eastAsia" w:asciiTheme="minorEastAsia" w:hAnsiTheme="minorEastAsia" w:eastAsiaTheme="minorEastAsia"/>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Theme="minorEastAsia" w:hAnsiTheme="minorEastAsia" w:eastAsiaTheme="minorEastAsia"/>
                <w:sz w:val="15"/>
                <w:szCs w:val="15"/>
              </w:rPr>
              <w:br w:type="textWrapping"/>
            </w:r>
            <w:r>
              <w:rPr>
                <w:rFonts w:hint="eastAsia" w:asciiTheme="minorEastAsia" w:hAnsiTheme="minorEastAsia" w:eastAsiaTheme="minorEastAsia"/>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3"/>
            <w:vAlign w:val="center"/>
          </w:tcPr>
          <w:p>
            <w:pPr>
              <w:spacing w:line="232" w:lineRule="exact"/>
              <w:rPr>
                <w:rFonts w:cs="仿宋_GB2312" w:asciiTheme="minorEastAsia" w:hAnsiTheme="minorEastAsia" w:eastAsiaTheme="minorEastAsia"/>
                <w:sz w:val="15"/>
                <w:szCs w:val="15"/>
              </w:rPr>
            </w:pP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824" w:hRule="atLeast"/>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3</w:t>
            </w:r>
          </w:p>
        </w:tc>
        <w:tc>
          <w:tcPr>
            <w:tcW w:w="1500" w:type="dxa"/>
            <w:gridSpan w:val="2"/>
            <w:vAlign w:val="center"/>
          </w:tcPr>
          <w:p>
            <w:pPr>
              <w:spacing w:line="232" w:lineRule="exact"/>
              <w:textAlignment w:val="center"/>
              <w:rPr>
                <w:rFonts w:asciiTheme="minorEastAsia" w:hAnsiTheme="minorEastAsia" w:eastAsiaTheme="minorEastAsia"/>
                <w:sz w:val="15"/>
                <w:szCs w:val="15"/>
              </w:rPr>
            </w:pPr>
            <w:r>
              <w:rPr>
                <w:rFonts w:hint="eastAsia" w:asciiTheme="minorEastAsia" w:hAnsiTheme="minorEastAsia" w:eastAsiaTheme="minorEastAsia"/>
                <w:sz w:val="15"/>
                <w:szCs w:val="15"/>
              </w:rPr>
              <w:t>因巡查、维护不到位，导致窨井盖丢失、损毁，造成人员伤亡和财产损失</w:t>
            </w:r>
          </w:p>
        </w:tc>
        <w:tc>
          <w:tcPr>
            <w:tcW w:w="2789" w:type="dxa"/>
            <w:gridSpan w:val="3"/>
            <w:vAlign w:val="center"/>
          </w:tcPr>
          <w:p>
            <w:pPr>
              <w:spacing w:line="232" w:lineRule="exact"/>
              <w:textAlignment w:val="center"/>
              <w:rPr>
                <w:rFonts w:asciiTheme="minorEastAsia" w:hAnsiTheme="minorEastAsia" w:eastAsiaTheme="minorEastAsia"/>
                <w:sz w:val="15"/>
                <w:szCs w:val="15"/>
              </w:rPr>
            </w:pPr>
            <w:r>
              <w:rPr>
                <w:rFonts w:hint="eastAsia" w:asciiTheme="minorEastAsia" w:hAnsiTheme="minorEastAsia" w:eastAsiaTheme="minorEastAsia"/>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507" w:type="dxa"/>
            <w:gridSpan w:val="4"/>
            <w:vAlign w:val="center"/>
          </w:tcPr>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逾期不改正，但未造成其他严重后果的，10万≤罚款额≤30万；</w:t>
            </w:r>
          </w:p>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造成财产损失的，30万＜罚款额≤40万；</w:t>
            </w:r>
          </w:p>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造成人员伤亡的，40万＜罚款额≤50万</w:t>
            </w:r>
            <w:r>
              <w:rPr>
                <w:rFonts w:cs="仿宋_GB2312" w:asciiTheme="minorEastAsia" w:hAnsiTheme="minorEastAsia" w:eastAsiaTheme="minorEastAsia"/>
                <w:color w:val="000000"/>
                <w:kern w:val="0"/>
                <w:sz w:val="15"/>
                <w:szCs w:val="15"/>
                <w:lang w:bidi="ar"/>
              </w:rPr>
              <w:t>。</w:t>
            </w:r>
          </w:p>
        </w:tc>
        <w:tc>
          <w:tcPr>
            <w:tcW w:w="2385" w:type="dxa"/>
            <w:gridSpan w:val="3"/>
            <w:vAlign w:val="center"/>
          </w:tcPr>
          <w:p>
            <w:pPr>
              <w:spacing w:line="232" w:lineRule="exact"/>
              <w:rPr>
                <w:rFonts w:cs="仿宋_GB2312" w:asciiTheme="minorEastAsia" w:hAnsiTheme="minorEastAsia" w:eastAsiaTheme="minorEastAsia"/>
                <w:sz w:val="15"/>
                <w:szCs w:val="15"/>
              </w:rPr>
            </w:pP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4</w:t>
            </w:r>
          </w:p>
        </w:tc>
        <w:tc>
          <w:tcPr>
            <w:tcW w:w="1500" w:type="dxa"/>
            <w:gridSpan w:val="2"/>
            <w:vAlign w:val="center"/>
          </w:tcPr>
          <w:p>
            <w:pPr>
              <w:spacing w:line="232" w:lineRule="exact"/>
              <w:textAlignment w:val="center"/>
              <w:rPr>
                <w:rFonts w:asciiTheme="minorEastAsia" w:hAnsiTheme="minorEastAsia" w:eastAsiaTheme="minorEastAsia"/>
                <w:sz w:val="15"/>
                <w:szCs w:val="15"/>
              </w:rPr>
            </w:pPr>
            <w:r>
              <w:rPr>
                <w:rFonts w:hint="eastAsia" w:asciiTheme="minorEastAsia" w:hAnsiTheme="minorEastAsia" w:eastAsiaTheme="minorEastAsia"/>
                <w:sz w:val="15"/>
                <w:szCs w:val="15"/>
              </w:rPr>
              <w:t>在河湖管理范围、保护范围内围河、挖筑鱼塘、挖坑开槽、勘探或者设立线杆、线塔、无线通信塔、标识</w:t>
            </w:r>
          </w:p>
        </w:tc>
        <w:tc>
          <w:tcPr>
            <w:tcW w:w="2789" w:type="dxa"/>
            <w:gridSpan w:val="3"/>
            <w:vAlign w:val="center"/>
          </w:tcPr>
          <w:p>
            <w:pPr>
              <w:spacing w:line="216" w:lineRule="exact"/>
              <w:textAlignment w:val="center"/>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507" w:type="dxa"/>
            <w:gridSpan w:val="4"/>
            <w:vAlign w:val="center"/>
          </w:tcPr>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在保护范围内，1万≤罚款额≤3万；</w:t>
            </w:r>
          </w:p>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在管理范围内，3万＜罚款额≤5万</w:t>
            </w:r>
            <w:r>
              <w:rPr>
                <w:rFonts w:cs="仿宋_GB2312" w:asciiTheme="minorEastAsia" w:hAnsiTheme="minorEastAsia" w:eastAsiaTheme="minorEastAsia"/>
                <w:color w:val="000000"/>
                <w:kern w:val="0"/>
                <w:sz w:val="15"/>
                <w:szCs w:val="15"/>
                <w:lang w:bidi="ar"/>
              </w:rPr>
              <w:t>。</w:t>
            </w:r>
          </w:p>
        </w:tc>
        <w:tc>
          <w:tcPr>
            <w:tcW w:w="2385" w:type="dxa"/>
            <w:gridSpan w:val="3"/>
            <w:vAlign w:val="center"/>
          </w:tcPr>
          <w:p>
            <w:pPr>
              <w:spacing w:line="232"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备注：危害活动同时涉及管理范围和保护范围的，按在管理范围内确定罚款额。</w:t>
            </w: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5</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在河湖管理范围、保护范围内设置固定停车场所</w:t>
            </w:r>
          </w:p>
        </w:tc>
        <w:tc>
          <w:tcPr>
            <w:tcW w:w="2789" w:type="dxa"/>
            <w:gridSpan w:val="3"/>
            <w:vAlign w:val="center"/>
          </w:tcPr>
          <w:p>
            <w:pPr>
              <w:spacing w:line="216"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3"/>
            <w:vAlign w:val="center"/>
          </w:tcPr>
          <w:p>
            <w:pPr>
              <w:spacing w:line="232" w:lineRule="exact"/>
              <w:rPr>
                <w:rFonts w:cs="仿宋_GB2312" w:asciiTheme="minorEastAsia" w:hAnsiTheme="minorEastAsia" w:eastAsiaTheme="minorEastAsia"/>
                <w:sz w:val="15"/>
                <w:szCs w:val="15"/>
              </w:rPr>
            </w:pP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6</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在河湖管理范围、保护范围内修路，或者修建园林小品、管理房及其附属设施</w:t>
            </w:r>
          </w:p>
        </w:tc>
        <w:tc>
          <w:tcPr>
            <w:tcW w:w="2789" w:type="dxa"/>
            <w:gridSpan w:val="3"/>
            <w:vAlign w:val="center"/>
          </w:tcPr>
          <w:p>
            <w:pPr>
              <w:spacing w:line="204"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3"/>
            <w:vAlign w:val="center"/>
          </w:tcPr>
          <w:p>
            <w:pPr>
              <w:spacing w:line="232" w:lineRule="exact"/>
              <w:rPr>
                <w:rFonts w:cs="仿宋_GB2312" w:asciiTheme="minorEastAsia" w:hAnsiTheme="minorEastAsia" w:eastAsiaTheme="minorEastAsia"/>
                <w:sz w:val="15"/>
                <w:szCs w:val="15"/>
              </w:rPr>
            </w:pP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7</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在河湖管理范围、保护范围内进行河道改线、开挖人工湖泊</w:t>
            </w:r>
          </w:p>
        </w:tc>
        <w:tc>
          <w:tcPr>
            <w:tcW w:w="2789" w:type="dxa"/>
            <w:gridSpan w:val="3"/>
            <w:vAlign w:val="center"/>
          </w:tcPr>
          <w:p>
            <w:pPr>
              <w:spacing w:line="204"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3"/>
            <w:vAlign w:val="center"/>
          </w:tcPr>
          <w:p>
            <w:pPr>
              <w:spacing w:line="232" w:lineRule="exact"/>
              <w:rPr>
                <w:rFonts w:cs="仿宋_GB2312" w:asciiTheme="minorEastAsia" w:hAnsiTheme="minorEastAsia" w:eastAsiaTheme="minorEastAsia"/>
                <w:sz w:val="15"/>
                <w:szCs w:val="15"/>
              </w:rPr>
            </w:pP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8</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毁坏或者拆除保护名录中的水工建筑物、构筑物、遗址</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《北京市河湖保护管理条例》违反条款：第二十四条第二款；处罚条款：第四十二条，责令其停止违法行为，限期恢复原状，处10万元以上50万元以下的罚款。</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3"/>
            <w:vAlign w:val="center"/>
          </w:tcPr>
          <w:p>
            <w:pPr>
              <w:spacing w:line="232" w:lineRule="exact"/>
              <w:rPr>
                <w:rFonts w:cs="仿宋_GB2312" w:asciiTheme="minorEastAsia" w:hAnsiTheme="minorEastAsia" w:eastAsiaTheme="minorEastAsia"/>
                <w:sz w:val="15"/>
                <w:szCs w:val="15"/>
              </w:rPr>
            </w:pP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0" w:hRule="atLeast"/>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9</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开展水上旅游项目或者其他利用活动时使用以柴油、汽油为动力的游船</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3"/>
            <w:vAlign w:val="center"/>
          </w:tcPr>
          <w:p>
            <w:pPr>
              <w:spacing w:line="232" w:lineRule="exact"/>
              <w:rPr>
                <w:rFonts w:cs="仿宋_GB2312" w:asciiTheme="minorEastAsia" w:hAnsiTheme="minorEastAsia" w:eastAsiaTheme="minorEastAsia"/>
                <w:sz w:val="15"/>
                <w:szCs w:val="15"/>
              </w:rPr>
            </w:pP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34" w:hRule="atLeast"/>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10</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未经批准擅自利用河湖进行开发利用活动</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《北京市河湖保护管理条例》违反条款：第三十一条第二款；处罚条款：第四十四条第二款，责令停止违法行为，限期改正，处2万元以上10万元以下的罚款。</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3"/>
            <w:vAlign w:val="center"/>
          </w:tcPr>
          <w:p>
            <w:pPr>
              <w:spacing w:line="232" w:lineRule="exact"/>
              <w:rPr>
                <w:rFonts w:cs="仿宋_GB2312" w:asciiTheme="minorEastAsia" w:hAnsiTheme="minorEastAsia" w:eastAsiaTheme="minorEastAsia"/>
                <w:sz w:val="15"/>
                <w:szCs w:val="15"/>
              </w:rPr>
            </w:pP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11</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在地表饮用水水源一级保护区的水域内垂钓</w:t>
            </w:r>
          </w:p>
        </w:tc>
        <w:tc>
          <w:tcPr>
            <w:tcW w:w="2789" w:type="dxa"/>
            <w:gridSpan w:val="3"/>
            <w:vAlign w:val="center"/>
          </w:tcPr>
          <w:p>
            <w:pPr>
              <w:spacing w:line="212" w:lineRule="exact"/>
              <w:rPr>
                <w:rFonts w:asciiTheme="minorEastAsia" w:hAnsiTheme="minorEastAsia" w:eastAsiaTheme="minorEastAsia"/>
                <w:spacing w:val="-4"/>
                <w:sz w:val="15"/>
                <w:szCs w:val="15"/>
              </w:rPr>
            </w:pPr>
            <w:r>
              <w:rPr>
                <w:rFonts w:hint="eastAsia" w:asciiTheme="minorEastAsia" w:hAnsiTheme="minorEastAsia" w:eastAsiaTheme="minorEastAsia"/>
                <w:spacing w:val="-4"/>
                <w:sz w:val="15"/>
                <w:szCs w:val="15"/>
              </w:rPr>
              <w:t xml:space="preserve">《北京市水污染防治条例》违反条款：第五十七条第二款；处罚条款：第八十条第二款，责令停止违法行为，并可以处五百元以下的罚款。                                                                            </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3"/>
            <w:vAlign w:val="center"/>
          </w:tcPr>
          <w:p>
            <w:pPr>
              <w:spacing w:line="232" w:lineRule="exact"/>
              <w:rPr>
                <w:rFonts w:cs="仿宋_GB2312" w:asciiTheme="minorEastAsia" w:hAnsiTheme="minorEastAsia" w:eastAsiaTheme="minorEastAsia"/>
                <w:sz w:val="15"/>
                <w:szCs w:val="15"/>
              </w:rPr>
            </w:pP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12</w:t>
            </w:r>
          </w:p>
        </w:tc>
        <w:tc>
          <w:tcPr>
            <w:tcW w:w="1500" w:type="dxa"/>
            <w:gridSpan w:val="2"/>
            <w:vAlign w:val="center"/>
          </w:tcPr>
          <w:p>
            <w:pPr>
              <w:spacing w:line="21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在堤防和护堤地，从事放牧、葬坟、晒粮、开渠、打井、挖窖、取土、存放物料、开办集市贸易、开采地下资源、进行考古发掘等活动</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3"/>
            <w:vAlign w:val="center"/>
          </w:tcPr>
          <w:p>
            <w:pPr>
              <w:spacing w:line="232" w:lineRule="exact"/>
              <w:rPr>
                <w:rFonts w:cs="仿宋_GB2312" w:asciiTheme="minorEastAsia" w:hAnsiTheme="minorEastAsia" w:eastAsiaTheme="minorEastAsia"/>
                <w:sz w:val="15"/>
                <w:szCs w:val="15"/>
              </w:rPr>
            </w:pP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13</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在堤防上及大型渠道内垦</w:t>
            </w:r>
            <w:r>
              <w:rPr>
                <w:rFonts w:hint="eastAsia" w:asciiTheme="minorEastAsia" w:hAnsiTheme="minorEastAsia" w:eastAsiaTheme="minorEastAsia"/>
                <w:sz w:val="15"/>
                <w:szCs w:val="15"/>
                <w:lang w:eastAsia="zh-CN"/>
              </w:rPr>
              <w:t>殖</w:t>
            </w:r>
            <w:r>
              <w:rPr>
                <w:rFonts w:hint="eastAsia" w:asciiTheme="minorEastAsia" w:hAnsiTheme="minorEastAsia" w:eastAsiaTheme="minorEastAsia"/>
                <w:sz w:val="15"/>
                <w:szCs w:val="15"/>
              </w:rPr>
              <w:t>、放牧</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Theme="minorEastAsia" w:hAnsiTheme="minorEastAsia" w:eastAsiaTheme="minorEastAsia"/>
                <w:sz w:val="15"/>
                <w:szCs w:val="15"/>
                <w:lang w:eastAsia="zh-CN"/>
              </w:rPr>
              <w:t>殖</w:t>
            </w:r>
            <w:r>
              <w:rPr>
                <w:rFonts w:hint="eastAsia" w:asciiTheme="minorEastAsia" w:hAnsiTheme="minorEastAsia" w:eastAsiaTheme="minorEastAsia"/>
                <w:sz w:val="15"/>
                <w:szCs w:val="15"/>
              </w:rPr>
              <w:t xml:space="preserve">的，还应令其恢复地貌。 </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3"/>
            <w:vAlign w:val="center"/>
          </w:tcPr>
          <w:p>
            <w:pPr>
              <w:spacing w:line="232" w:lineRule="exact"/>
              <w:rPr>
                <w:rFonts w:cs="仿宋_GB2312" w:asciiTheme="minorEastAsia" w:hAnsiTheme="minorEastAsia" w:eastAsiaTheme="minorEastAsia"/>
                <w:sz w:val="15"/>
                <w:szCs w:val="15"/>
              </w:rPr>
            </w:pP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708" w:hRule="atLeast"/>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14</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在河道、湖泊管理范围内倾倒垃圾、渣土从事影响河势稳定、危害河岸堤防安全和其他妨碍河道行洪的活动</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Theme="minorEastAsia" w:hAnsiTheme="minorEastAsia" w:eastAsiaTheme="minorEastAsia"/>
                <w:sz w:val="15"/>
                <w:szCs w:val="15"/>
              </w:rPr>
              <w:br w:type="textWrapping"/>
            </w:r>
            <w:r>
              <w:rPr>
                <w:rFonts w:hint="eastAsia" w:asciiTheme="minorEastAsia" w:hAnsiTheme="minorEastAsia" w:eastAsiaTheme="minorEastAsia"/>
                <w:sz w:val="15"/>
                <w:szCs w:val="15"/>
              </w:rPr>
              <w:t>《北京市水利工程保护管理条例》违反条款：第九条第（三）项；处罚条款：第二十一条第（二）项，责令排除阻碍或者采取其他补救措施，可以处5万元以下罚款。</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倾倒量≤5m</w:t>
            </w:r>
            <w:r>
              <w:rPr>
                <w:rFonts w:cs="Calibri" w:asciiTheme="minorEastAsia" w:hAnsiTheme="minorEastAsia" w:eastAsiaTheme="minorEastAsia"/>
                <w:color w:val="000000"/>
                <w:kern w:val="0"/>
                <w:sz w:val="15"/>
                <w:szCs w:val="15"/>
                <w:lang w:bidi="ar"/>
              </w:rPr>
              <w:t>³</w:t>
            </w:r>
            <w:r>
              <w:rPr>
                <w:rFonts w:hint="eastAsia" w:cs="Calibri" w:asciiTheme="minorEastAsia" w:hAnsiTheme="minorEastAsia" w:eastAsiaTheme="minorEastAsia"/>
                <w:color w:val="000000"/>
                <w:kern w:val="0"/>
                <w:sz w:val="15"/>
                <w:szCs w:val="15"/>
                <w:lang w:bidi="ar"/>
              </w:rPr>
              <w:t>，罚款额≤1万；5m</w:t>
            </w:r>
            <w:r>
              <w:rPr>
                <w:rFonts w:cs="Calibri" w:asciiTheme="minorEastAsia" w:hAnsiTheme="minorEastAsia" w:eastAsiaTheme="minorEastAsia"/>
                <w:color w:val="000000"/>
                <w:kern w:val="0"/>
                <w:sz w:val="15"/>
                <w:szCs w:val="15"/>
                <w:lang w:bidi="ar"/>
              </w:rPr>
              <w:t>³</w:t>
            </w:r>
            <w:r>
              <w:rPr>
                <w:rFonts w:hint="eastAsia" w:cs="仿宋_GB2312" w:asciiTheme="minorEastAsia" w:hAnsiTheme="minorEastAsia" w:eastAsiaTheme="minorEastAsia"/>
                <w:color w:val="000000"/>
                <w:kern w:val="0"/>
                <w:sz w:val="15"/>
                <w:szCs w:val="15"/>
                <w:lang w:bidi="ar"/>
              </w:rPr>
              <w:t>＜</w:t>
            </w:r>
            <w:r>
              <w:rPr>
                <w:rFonts w:hint="eastAsia" w:cs="Calibri" w:asciiTheme="minorEastAsia" w:hAnsiTheme="minorEastAsia" w:eastAsiaTheme="minorEastAsia"/>
                <w:color w:val="000000"/>
                <w:kern w:val="0"/>
                <w:sz w:val="15"/>
                <w:szCs w:val="15"/>
                <w:lang w:bidi="ar"/>
              </w:rPr>
              <w:t>倾倒量≤10m</w:t>
            </w:r>
            <w:r>
              <w:rPr>
                <w:rFonts w:cs="Calibri" w:asciiTheme="minorEastAsia" w:hAnsiTheme="minorEastAsia" w:eastAsiaTheme="minorEastAsia"/>
                <w:color w:val="000000"/>
                <w:kern w:val="0"/>
                <w:sz w:val="15"/>
                <w:szCs w:val="15"/>
                <w:lang w:bidi="ar"/>
              </w:rPr>
              <w:t>³</w:t>
            </w:r>
            <w:r>
              <w:rPr>
                <w:rFonts w:hint="eastAsia" w:cs="Calibri" w:asciiTheme="minorEastAsia" w:hAnsiTheme="minorEastAsia" w:eastAsiaTheme="minorEastAsia"/>
                <w:color w:val="000000"/>
                <w:kern w:val="0"/>
                <w:sz w:val="15"/>
                <w:szCs w:val="15"/>
                <w:lang w:bidi="ar"/>
              </w:rPr>
              <w:t>，1万＜罚款额≤2万；10m</w:t>
            </w:r>
            <w:r>
              <w:rPr>
                <w:rFonts w:cs="Calibri" w:asciiTheme="minorEastAsia" w:hAnsiTheme="minorEastAsia" w:eastAsiaTheme="minorEastAsia"/>
                <w:color w:val="000000"/>
                <w:kern w:val="0"/>
                <w:sz w:val="15"/>
                <w:szCs w:val="15"/>
                <w:lang w:bidi="ar"/>
              </w:rPr>
              <w:t>³</w:t>
            </w:r>
            <w:r>
              <w:rPr>
                <w:rFonts w:hint="eastAsia" w:cs="仿宋_GB2312" w:asciiTheme="minorEastAsia" w:hAnsiTheme="minorEastAsia" w:eastAsiaTheme="minorEastAsia"/>
                <w:color w:val="000000"/>
                <w:kern w:val="0"/>
                <w:sz w:val="15"/>
                <w:szCs w:val="15"/>
                <w:lang w:bidi="ar"/>
              </w:rPr>
              <w:t>＜</w:t>
            </w:r>
            <w:r>
              <w:rPr>
                <w:rFonts w:hint="eastAsia" w:cs="Calibri" w:asciiTheme="minorEastAsia" w:hAnsiTheme="minorEastAsia" w:eastAsiaTheme="minorEastAsia"/>
                <w:color w:val="000000"/>
                <w:kern w:val="0"/>
                <w:sz w:val="15"/>
                <w:szCs w:val="15"/>
                <w:lang w:bidi="ar"/>
              </w:rPr>
              <w:t>倾倒量≤20m</w:t>
            </w:r>
            <w:r>
              <w:rPr>
                <w:rFonts w:cs="Calibri" w:asciiTheme="minorEastAsia" w:hAnsiTheme="minorEastAsia" w:eastAsiaTheme="minorEastAsia"/>
                <w:color w:val="000000"/>
                <w:kern w:val="0"/>
                <w:sz w:val="15"/>
                <w:szCs w:val="15"/>
                <w:lang w:bidi="ar"/>
              </w:rPr>
              <w:t>³</w:t>
            </w:r>
            <w:r>
              <w:rPr>
                <w:rFonts w:hint="eastAsia" w:cs="Calibri" w:asciiTheme="minorEastAsia" w:hAnsiTheme="minorEastAsia" w:eastAsiaTheme="minorEastAsia"/>
                <w:color w:val="000000"/>
                <w:kern w:val="0"/>
                <w:sz w:val="15"/>
                <w:szCs w:val="15"/>
                <w:lang w:bidi="ar"/>
              </w:rPr>
              <w:t>，2万＜罚款额≤3万；20m</w:t>
            </w:r>
            <w:r>
              <w:rPr>
                <w:rFonts w:cs="Calibri" w:asciiTheme="minorEastAsia" w:hAnsiTheme="minorEastAsia" w:eastAsiaTheme="minorEastAsia"/>
                <w:color w:val="000000"/>
                <w:kern w:val="0"/>
                <w:sz w:val="15"/>
                <w:szCs w:val="15"/>
                <w:lang w:bidi="ar"/>
              </w:rPr>
              <w:t>³</w:t>
            </w:r>
            <w:r>
              <w:rPr>
                <w:rFonts w:hint="eastAsia" w:cs="仿宋_GB2312" w:asciiTheme="minorEastAsia" w:hAnsiTheme="minorEastAsia" w:eastAsiaTheme="minorEastAsia"/>
                <w:color w:val="000000"/>
                <w:kern w:val="0"/>
                <w:sz w:val="15"/>
                <w:szCs w:val="15"/>
                <w:lang w:bidi="ar"/>
              </w:rPr>
              <w:t>＜</w:t>
            </w:r>
            <w:r>
              <w:rPr>
                <w:rFonts w:hint="eastAsia" w:cs="Calibri" w:asciiTheme="minorEastAsia" w:hAnsiTheme="minorEastAsia" w:eastAsiaTheme="minorEastAsia"/>
                <w:color w:val="000000"/>
                <w:kern w:val="0"/>
                <w:sz w:val="15"/>
                <w:szCs w:val="15"/>
                <w:lang w:bidi="ar"/>
              </w:rPr>
              <w:t>倾倒量，3万＜罚款额≤5万</w:t>
            </w:r>
            <w:r>
              <w:rPr>
                <w:rFonts w:cs="Calibri" w:asciiTheme="minorEastAsia" w:hAnsiTheme="minorEastAsia" w:eastAsiaTheme="minorEastAsia"/>
                <w:color w:val="000000"/>
                <w:kern w:val="0"/>
                <w:sz w:val="15"/>
                <w:szCs w:val="15"/>
                <w:lang w:bidi="ar"/>
              </w:rPr>
              <w:t>。</w:t>
            </w:r>
          </w:p>
        </w:tc>
        <w:tc>
          <w:tcPr>
            <w:tcW w:w="2385" w:type="dxa"/>
            <w:gridSpan w:val="3"/>
            <w:vAlign w:val="center"/>
          </w:tcPr>
          <w:p>
            <w:pPr>
              <w:spacing w:line="232" w:lineRule="exact"/>
              <w:rPr>
                <w:rFonts w:cs="仿宋_GB2312" w:asciiTheme="minorEastAsia" w:hAnsiTheme="minorEastAsia" w:eastAsiaTheme="minorEastAsia"/>
                <w:sz w:val="15"/>
                <w:szCs w:val="15"/>
              </w:rPr>
            </w:pP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926" w:hRule="atLeast"/>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15</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在地表饮用水水源保护区和准保护区内、组织水上旅游或者其他可能污染饮用水水源活动</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《北京市水污染防治条例》违反条款：第六十条第一款第（一）项、第（二）项、第（三）项；第六十条第二款；处罚条款：第八十条第二款，责令停止违法行为，并处二万元以上十万元以下的罚款。</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3"/>
            <w:vAlign w:val="center"/>
          </w:tcPr>
          <w:p>
            <w:pPr>
              <w:spacing w:line="232" w:lineRule="exact"/>
              <w:rPr>
                <w:rFonts w:cs="仿宋_GB2312" w:asciiTheme="minorEastAsia" w:hAnsiTheme="minorEastAsia" w:eastAsiaTheme="minorEastAsia"/>
                <w:sz w:val="15"/>
                <w:szCs w:val="15"/>
              </w:rPr>
            </w:pP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16</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在河道、湖泊管理范围内建设妨碍行洪的建筑物、构筑物，或者从事影响河势稳定、危害河岸堤防安全和其他妨碍河道行洪的活动</w:t>
            </w:r>
          </w:p>
        </w:tc>
        <w:tc>
          <w:tcPr>
            <w:tcW w:w="2789" w:type="dxa"/>
            <w:gridSpan w:val="3"/>
            <w:vAlign w:val="center"/>
          </w:tcPr>
          <w:p>
            <w:pPr>
              <w:spacing w:line="232" w:lineRule="exact"/>
              <w:jc w:val="left"/>
              <w:rPr>
                <w:rFonts w:asciiTheme="minorEastAsia" w:hAnsiTheme="minorEastAsia" w:eastAsiaTheme="minorEastAsia"/>
                <w:sz w:val="15"/>
                <w:szCs w:val="15"/>
              </w:rPr>
            </w:pPr>
            <w:r>
              <w:rPr>
                <w:rFonts w:hint="eastAsia" w:asciiTheme="minorEastAsia" w:hAnsiTheme="minorEastAsia" w:eastAsiaTheme="minorEastAsia"/>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pPr>
              <w:spacing w:line="204"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507" w:type="dxa"/>
            <w:gridSpan w:val="4"/>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1</w:t>
            </w:r>
            <w:r>
              <w:rPr>
                <w:rFonts w:cs="仿宋_GB2312" w:asciiTheme="minorEastAsia" w:hAnsiTheme="minorEastAsia" w:eastAsiaTheme="minorEastAsia"/>
                <w:color w:val="000000"/>
                <w:kern w:val="0"/>
                <w:sz w:val="15"/>
                <w:szCs w:val="15"/>
                <w:lang w:bidi="ar"/>
              </w:rPr>
              <w:t>.</w:t>
            </w:r>
            <w:r>
              <w:rPr>
                <w:rFonts w:hint="eastAsia" w:cs="仿宋_GB2312" w:asciiTheme="minorEastAsia" w:hAnsiTheme="minorEastAsia" w:eastAsiaTheme="minorEastAsia"/>
                <w:color w:val="000000"/>
                <w:kern w:val="0"/>
                <w:sz w:val="15"/>
                <w:szCs w:val="15"/>
                <w:lang w:bidi="ar"/>
              </w:rPr>
              <w:t>依据《中华人民共和国水法》处罚：</w:t>
            </w:r>
          </w:p>
          <w:p>
            <w:pPr>
              <w:pStyle w:val="21"/>
              <w:spacing w:after="0" w:line="232" w:lineRule="exact"/>
              <w:ind w:left="0" w:leftChars="0" w:firstLine="0" w:firstLineChars="0"/>
              <w:rPr>
                <w:rFonts w:cs="Batang"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在限期内拆除，恢复原状的，不予处罚；逾期不拆除，不恢复原状的，占地面积≤25</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，1万≤罚款额≤3万；25</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＜占地面积≤100</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，3万＜罚款额≤6万；100</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＜占地面积，6万＜罚款额≤10万</w:t>
            </w:r>
            <w:r>
              <w:rPr>
                <w:rFonts w:cs="Batang" w:asciiTheme="minorEastAsia" w:hAnsiTheme="minorEastAsia" w:eastAsiaTheme="minorEastAsia"/>
                <w:color w:val="000000"/>
                <w:kern w:val="0"/>
                <w:sz w:val="15"/>
                <w:szCs w:val="15"/>
                <w:lang w:bidi="ar"/>
              </w:rPr>
              <w:t>。</w:t>
            </w:r>
          </w:p>
          <w:p>
            <w:pPr>
              <w:pStyle w:val="21"/>
              <w:spacing w:after="0" w:line="232" w:lineRule="exact"/>
              <w:ind w:left="0" w:leftChars="0" w:firstLine="0" w:firstLineChars="0"/>
              <w:rPr>
                <w:rFonts w:cs="Batang" w:asciiTheme="minorEastAsia" w:hAnsiTheme="minorEastAsia" w:eastAsiaTheme="minorEastAsia"/>
                <w:color w:val="000000"/>
                <w:kern w:val="0"/>
                <w:sz w:val="15"/>
                <w:szCs w:val="15"/>
                <w:lang w:bidi="ar"/>
              </w:rPr>
            </w:pPr>
            <w:r>
              <w:rPr>
                <w:rFonts w:hint="eastAsia" w:cs="Batang" w:asciiTheme="minorEastAsia" w:hAnsiTheme="minorEastAsia" w:eastAsiaTheme="minorEastAsia"/>
                <w:color w:val="000000"/>
                <w:kern w:val="0"/>
                <w:sz w:val="15"/>
                <w:szCs w:val="15"/>
                <w:lang w:bidi="ar"/>
              </w:rPr>
              <w:t>2</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依据《中华人民共和国防洪法》《北京市水利工程保护管理条例》《北京市河湖保护管理条例》处罚：</w:t>
            </w:r>
          </w:p>
          <w:p>
            <w:pPr>
              <w:pStyle w:val="21"/>
              <w:spacing w:after="0" w:line="232" w:lineRule="exact"/>
              <w:ind w:left="0" w:leftChars="0" w:firstLine="0" w:firstLineChars="0"/>
              <w:rPr>
                <w:rFonts w:cs="Batang"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占地面积≤25</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，罚款额≤1万；25</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＜占地面积≤100</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，1万＜罚款额≤3万；100</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＜占地面积，3万＜罚款额≤5万</w:t>
            </w:r>
            <w:r>
              <w:rPr>
                <w:rFonts w:cs="Batang" w:asciiTheme="minorEastAsia" w:hAnsiTheme="minorEastAsia" w:eastAsiaTheme="minorEastAsia"/>
                <w:color w:val="000000"/>
                <w:kern w:val="0"/>
                <w:sz w:val="15"/>
                <w:szCs w:val="15"/>
                <w:lang w:bidi="ar"/>
              </w:rPr>
              <w:t>。</w:t>
            </w:r>
          </w:p>
        </w:tc>
        <w:tc>
          <w:tcPr>
            <w:tcW w:w="2385" w:type="dxa"/>
            <w:gridSpan w:val="3"/>
            <w:vAlign w:val="center"/>
          </w:tcPr>
          <w:p>
            <w:pPr>
              <w:spacing w:line="232" w:lineRule="exact"/>
              <w:rPr>
                <w:rFonts w:cs="仿宋_GB2312" w:asciiTheme="minorEastAsia" w:hAnsiTheme="minorEastAsia" w:eastAsiaTheme="minorEastAsia"/>
                <w:sz w:val="15"/>
                <w:szCs w:val="15"/>
              </w:rPr>
            </w:pP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782" w:hRule="atLeast"/>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17</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在生态清洁小流域范围内的沟道内私搭乱建、堆放物品</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《北京市水土保持条例》违反条款：第二十条第一款第（一）项；处罚条款：第三十六条，责令改正，对个人可处500元以上5000元以下罚款；对单位可处1万元以上10万元以下罚款。</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3"/>
            <w:vAlign w:val="center"/>
          </w:tcPr>
          <w:p>
            <w:pPr>
              <w:spacing w:line="232" w:lineRule="exact"/>
              <w:rPr>
                <w:rFonts w:cs="仿宋_GB2312" w:asciiTheme="minorEastAsia" w:hAnsiTheme="minorEastAsia" w:eastAsiaTheme="minorEastAsia"/>
                <w:sz w:val="15"/>
                <w:szCs w:val="15"/>
              </w:rPr>
            </w:pP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847" w:hRule="atLeast"/>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18</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在生态清洁小流域范围内随意取土、挖砂、倾倒垃圾、排放污水</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《北京市水土保持条例》违反条款：第二十条第一款第（二）项；处罚条款：第三十六条，责令改正，对个人可处500元以上5000元以下罚款；对单位可处1万元以上10万元以下罚款。</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3"/>
            <w:vAlign w:val="center"/>
          </w:tcPr>
          <w:p>
            <w:pPr>
              <w:spacing w:line="232" w:lineRule="exact"/>
              <w:rPr>
                <w:rFonts w:cs="仿宋_GB2312" w:asciiTheme="minorEastAsia" w:hAnsiTheme="minorEastAsia" w:eastAsiaTheme="minorEastAsia"/>
                <w:sz w:val="15"/>
                <w:szCs w:val="15"/>
              </w:rPr>
            </w:pP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771" w:hRule="atLeast"/>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19</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在生态清洁小流域范围内破坏水土保持设施或者干扰其正常运行</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《北京市水土保持条例》违反条款：第二十条第一款第（三）项；处罚条款：第三十六条，责令改正，对个人可处500元以上5000元以下罚款；对单位可处1万元以上10万元以下罚款。</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3"/>
            <w:vAlign w:val="center"/>
          </w:tcPr>
          <w:p>
            <w:pPr>
              <w:spacing w:line="232" w:lineRule="exact"/>
              <w:rPr>
                <w:rFonts w:cs="仿宋_GB2312" w:asciiTheme="minorEastAsia" w:hAnsiTheme="minorEastAsia" w:eastAsiaTheme="minorEastAsia"/>
                <w:sz w:val="15"/>
                <w:szCs w:val="15"/>
              </w:rPr>
            </w:pP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20</w:t>
            </w:r>
          </w:p>
        </w:tc>
        <w:tc>
          <w:tcPr>
            <w:tcW w:w="1500" w:type="dxa"/>
            <w:gridSpan w:val="2"/>
            <w:vAlign w:val="center"/>
          </w:tcPr>
          <w:p>
            <w:pPr>
              <w:spacing w:line="21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擅自在河湖管理范围内新建、改建或者扩大排水口</w:t>
            </w:r>
          </w:p>
        </w:tc>
        <w:tc>
          <w:tcPr>
            <w:tcW w:w="2789" w:type="dxa"/>
            <w:gridSpan w:val="3"/>
            <w:vAlign w:val="center"/>
          </w:tcPr>
          <w:p>
            <w:pPr>
              <w:spacing w:line="21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《北京市河湖保护管理条例》违反条款：第二十八条第一款；处罚条款：第四十三条，责令停止违法行为，限期恢复原状，处5万元以上10万元以下的罚款。</w:t>
            </w:r>
          </w:p>
        </w:tc>
        <w:tc>
          <w:tcPr>
            <w:tcW w:w="5507" w:type="dxa"/>
            <w:gridSpan w:val="4"/>
            <w:vAlign w:val="center"/>
          </w:tcPr>
          <w:p>
            <w:pPr>
              <w:pStyle w:val="21"/>
              <w:spacing w:after="0" w:line="210"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3"/>
            <w:vAlign w:val="center"/>
          </w:tcPr>
          <w:p>
            <w:pPr>
              <w:spacing w:line="210" w:lineRule="exact"/>
              <w:rPr>
                <w:rFonts w:cs="仿宋_GB2312" w:asciiTheme="minorEastAsia" w:hAnsiTheme="minorEastAsia" w:eastAsiaTheme="minorEastAsia"/>
                <w:sz w:val="15"/>
                <w:szCs w:val="15"/>
              </w:rPr>
            </w:pPr>
          </w:p>
        </w:tc>
        <w:tc>
          <w:tcPr>
            <w:tcW w:w="1208" w:type="dxa"/>
            <w:vAlign w:val="center"/>
          </w:tcPr>
          <w:p>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10"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Pr>
        <w:tc>
          <w:tcPr>
            <w:tcW w:w="14329" w:type="dxa"/>
            <w:gridSpan w:val="15"/>
            <w:vAlign w:val="center"/>
          </w:tcPr>
          <w:p>
            <w:pPr>
              <w:pStyle w:val="2"/>
              <w:keepNext w:val="0"/>
              <w:keepLines w:val="0"/>
              <w:spacing w:line="210" w:lineRule="exact"/>
              <w:rPr>
                <w:rFonts w:asciiTheme="minorEastAsia" w:hAnsiTheme="minorEastAsia" w:eastAsiaTheme="minorEastAsia"/>
                <w:sz w:val="15"/>
                <w:szCs w:val="15"/>
              </w:rPr>
            </w:pPr>
            <w:bookmarkStart w:id="7" w:name="_Toc110851504"/>
            <w:bookmarkStart w:id="8" w:name="_Toc1290044525"/>
            <w:bookmarkStart w:id="9" w:name="_Toc473764242"/>
            <w:r>
              <w:rPr>
                <w:rFonts w:hint="eastAsia" w:asciiTheme="minorEastAsia" w:hAnsiTheme="minorEastAsia" w:eastAsiaTheme="minorEastAsia"/>
                <w:sz w:val="15"/>
                <w:szCs w:val="15"/>
              </w:rPr>
              <w:t>农业农村管理方面1项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w:t>
            </w:r>
          </w:p>
        </w:tc>
        <w:tc>
          <w:tcPr>
            <w:tcW w:w="1500" w:type="dxa"/>
            <w:gridSpan w:val="2"/>
            <w:vAlign w:val="center"/>
          </w:tcPr>
          <w:p>
            <w:pPr>
              <w:spacing w:line="210" w:lineRule="exact"/>
              <w:rPr>
                <w:rFonts w:asciiTheme="minorEastAsia" w:hAnsiTheme="minorEastAsia" w:eastAsiaTheme="minorEastAsia"/>
                <w:kern w:val="0"/>
                <w:sz w:val="15"/>
                <w:szCs w:val="15"/>
              </w:rPr>
            </w:pPr>
            <w:r>
              <w:rPr>
                <w:rFonts w:hint="eastAsia" w:asciiTheme="minorEastAsia" w:hAnsiTheme="minorEastAsia" w:eastAsiaTheme="minorEastAsia"/>
                <w:sz w:val="15"/>
                <w:szCs w:val="15"/>
              </w:rPr>
              <w:t>在增殖放流水域垂钓</w:t>
            </w:r>
          </w:p>
        </w:tc>
        <w:tc>
          <w:tcPr>
            <w:tcW w:w="2789" w:type="dxa"/>
            <w:gridSpan w:val="3"/>
            <w:vAlign w:val="center"/>
          </w:tcPr>
          <w:p>
            <w:pPr>
              <w:spacing w:line="21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507" w:type="dxa"/>
            <w:gridSpan w:val="4"/>
            <w:vAlign w:val="center"/>
          </w:tcPr>
          <w:p>
            <w:pPr>
              <w:pStyle w:val="21"/>
              <w:spacing w:after="0" w:line="210"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宋体" w:asciiTheme="minorEastAsia" w:hAnsiTheme="minorEastAsia" w:eastAsiaTheme="minorEastAsia"/>
                <w:color w:val="000000"/>
                <w:kern w:val="0"/>
                <w:sz w:val="15"/>
                <w:szCs w:val="15"/>
              </w:rPr>
              <w:t>责令停止违法行为，没收渔具，并可处50元以上500元以下罚款。</w:t>
            </w:r>
          </w:p>
        </w:tc>
        <w:tc>
          <w:tcPr>
            <w:tcW w:w="2385" w:type="dxa"/>
            <w:gridSpan w:val="3"/>
            <w:vAlign w:val="center"/>
          </w:tcPr>
          <w:p>
            <w:pPr>
              <w:spacing w:line="210" w:lineRule="exact"/>
              <w:rPr>
                <w:rFonts w:cs="仿宋_GB2312" w:asciiTheme="minorEastAsia" w:hAnsiTheme="minorEastAsia" w:eastAsiaTheme="minorEastAsia"/>
                <w:sz w:val="15"/>
                <w:szCs w:val="15"/>
              </w:rPr>
            </w:pPr>
          </w:p>
        </w:tc>
        <w:tc>
          <w:tcPr>
            <w:tcW w:w="1208" w:type="dxa"/>
            <w:vAlign w:val="center"/>
          </w:tcPr>
          <w:p>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10"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Pr>
        <w:tc>
          <w:tcPr>
            <w:tcW w:w="14329" w:type="dxa"/>
            <w:gridSpan w:val="15"/>
            <w:vAlign w:val="center"/>
          </w:tcPr>
          <w:p>
            <w:pPr>
              <w:pStyle w:val="2"/>
              <w:keepNext w:val="0"/>
              <w:keepLines w:val="0"/>
              <w:spacing w:line="210" w:lineRule="exact"/>
              <w:rPr>
                <w:rFonts w:asciiTheme="minorEastAsia" w:hAnsiTheme="minorEastAsia" w:eastAsiaTheme="minorEastAsia"/>
                <w:sz w:val="15"/>
                <w:szCs w:val="15"/>
              </w:rPr>
            </w:pPr>
            <w:bookmarkStart w:id="10" w:name="_Toc2011773058"/>
            <w:bookmarkStart w:id="11" w:name="_Toc589852508"/>
            <w:bookmarkStart w:id="12" w:name="_Toc110851505"/>
            <w:r>
              <w:rPr>
                <w:rFonts w:hint="eastAsia" w:asciiTheme="minorEastAsia" w:hAnsiTheme="minorEastAsia" w:eastAsiaTheme="minorEastAsia"/>
                <w:sz w:val="15"/>
                <w:szCs w:val="15"/>
              </w:rPr>
              <w:t>卫生健康管理方面12项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w:t>
            </w:r>
          </w:p>
        </w:tc>
        <w:tc>
          <w:tcPr>
            <w:tcW w:w="1500" w:type="dxa"/>
            <w:gridSpan w:val="2"/>
            <w:vAlign w:val="center"/>
          </w:tcPr>
          <w:p>
            <w:pPr>
              <w:spacing w:line="210" w:lineRule="exact"/>
              <w:rPr>
                <w:rFonts w:asciiTheme="minorEastAsia" w:hAnsiTheme="minorEastAsia" w:eastAsiaTheme="minorEastAsia"/>
                <w:kern w:val="0"/>
                <w:sz w:val="15"/>
                <w:szCs w:val="15"/>
              </w:rPr>
            </w:pPr>
            <w:r>
              <w:rPr>
                <w:rFonts w:hint="eastAsia" w:asciiTheme="minorEastAsia" w:hAnsiTheme="minorEastAsia" w:eastAsiaTheme="minorEastAsia"/>
                <w:sz w:val="15"/>
                <w:szCs w:val="15"/>
              </w:rPr>
              <w:t>未按规定采取清除鼠迹、堵塞鼠洞、添设防范设施等措施及毒杀、诱捕等方法消灭老鼠，使鼠密度等指标符合国家控制标准</w:t>
            </w:r>
          </w:p>
        </w:tc>
        <w:tc>
          <w:tcPr>
            <w:tcW w:w="2789" w:type="dxa"/>
            <w:gridSpan w:val="3"/>
            <w:vAlign w:val="center"/>
          </w:tcPr>
          <w:p>
            <w:pPr>
              <w:spacing w:line="21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《北京市除四害工作管理规定》违反条款：第八条；处罚条款：第十六条第（一）项，予以警告，责令限期改正，并可处以20元以上500元以下罚款；情节严重的，处以500元以上1000元以下罚款。</w:t>
            </w:r>
          </w:p>
        </w:tc>
        <w:tc>
          <w:tcPr>
            <w:tcW w:w="5507" w:type="dxa"/>
            <w:gridSpan w:val="4"/>
            <w:vAlign w:val="center"/>
          </w:tcPr>
          <w:p>
            <w:pPr>
              <w:pStyle w:val="21"/>
              <w:spacing w:after="0" w:line="210"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pPr>
              <w:pStyle w:val="21"/>
              <w:spacing w:after="0" w:line="210"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未造成严重后果的，情节轻微，警告，处以20元以上（含）500元以下（含）罚款；</w:t>
            </w:r>
          </w:p>
          <w:p>
            <w:pPr>
              <w:pStyle w:val="21"/>
              <w:spacing w:after="0" w:line="210"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情节严重的，处以500元以上（不含）1000元以下（含）罚款。</w:t>
            </w:r>
          </w:p>
        </w:tc>
        <w:tc>
          <w:tcPr>
            <w:tcW w:w="2385" w:type="dxa"/>
            <w:gridSpan w:val="3"/>
            <w:vAlign w:val="center"/>
          </w:tcPr>
          <w:p>
            <w:pPr>
              <w:spacing w:line="210" w:lineRule="exact"/>
              <w:rPr>
                <w:rFonts w:cs="仿宋_GB2312" w:asciiTheme="minorEastAsia" w:hAnsiTheme="minorEastAsia" w:eastAsiaTheme="minorEastAsia"/>
                <w:sz w:val="15"/>
                <w:szCs w:val="15"/>
              </w:rPr>
            </w:pPr>
          </w:p>
        </w:tc>
        <w:tc>
          <w:tcPr>
            <w:tcW w:w="1208" w:type="dxa"/>
            <w:vAlign w:val="center"/>
          </w:tcPr>
          <w:p>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10"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2</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未按规定清除蚊蝇孳生地并运用化学、物理、生物等方法消灭蚊蝇及其幼虫，使蚊蝇密度等指标符合国家控制标准</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507" w:type="dxa"/>
            <w:gridSpan w:val="4"/>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未造成严重后果的，情节轻微，警告，处以20元以上（含）500元以下（含）罚款；</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情节严重的，处以500元以上（不含）1000元以下（含）罚款。</w:t>
            </w:r>
          </w:p>
        </w:tc>
        <w:tc>
          <w:tcPr>
            <w:tcW w:w="2385" w:type="dxa"/>
            <w:gridSpan w:val="3"/>
            <w:vAlign w:val="center"/>
          </w:tcPr>
          <w:p>
            <w:pPr>
              <w:spacing w:line="232" w:lineRule="exact"/>
              <w:rPr>
                <w:rFonts w:cs="仿宋_GB2312" w:asciiTheme="minorEastAsia" w:hAnsiTheme="minorEastAsia" w:eastAsiaTheme="minorEastAsia"/>
                <w:sz w:val="15"/>
                <w:szCs w:val="15"/>
              </w:rPr>
            </w:pP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3</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发现蟑螂未按规定及时采取灭杀措施，使蟑螂密度等指标符合国家控制标准</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《北京市除四害工作管理规定》违反条款：第十条；处罚条款：第十六条第（一）项，予以警告，责令限期改正，并可处以20元以上500元以下罚款；情节严重的，处以500元以上1000元以下罚款。</w:t>
            </w:r>
          </w:p>
        </w:tc>
        <w:tc>
          <w:tcPr>
            <w:tcW w:w="5507" w:type="dxa"/>
            <w:gridSpan w:val="4"/>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未造成严重后果的，情节轻微，警告，处以20元以上（含）500元以下（含）罚款；</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情节严重的，处以500元以上（不含）1000元以下（含）罚款。</w:t>
            </w:r>
          </w:p>
        </w:tc>
        <w:tc>
          <w:tcPr>
            <w:tcW w:w="2385" w:type="dxa"/>
            <w:gridSpan w:val="3"/>
            <w:vAlign w:val="center"/>
          </w:tcPr>
          <w:p>
            <w:pPr>
              <w:spacing w:line="232" w:lineRule="exact"/>
              <w:rPr>
                <w:rFonts w:cs="仿宋_GB2312" w:asciiTheme="minorEastAsia" w:hAnsiTheme="minorEastAsia" w:eastAsiaTheme="minorEastAsia"/>
                <w:sz w:val="15"/>
                <w:szCs w:val="15"/>
              </w:rPr>
            </w:pP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4</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未按规定配置四害防治设施或者无人负责除四害工作</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《北京市除四害工作管理规定》违反条款：第十一条；处罚条款：第十六条第（二）项，予以警告，责令限期改正，并可处以20元以上1000元以下罚款。</w:t>
            </w:r>
          </w:p>
        </w:tc>
        <w:tc>
          <w:tcPr>
            <w:tcW w:w="5507" w:type="dxa"/>
            <w:gridSpan w:val="4"/>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未造成严重后果的，情节轻微，警告，处以20元以上（含）500元以下（含）罚款；</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未造成严重后果的，情节严重的，警告，处以500元以上（不含）1000元以下（含）罚款。</w:t>
            </w:r>
          </w:p>
        </w:tc>
        <w:tc>
          <w:tcPr>
            <w:tcW w:w="2385" w:type="dxa"/>
            <w:gridSpan w:val="3"/>
            <w:vAlign w:val="center"/>
          </w:tcPr>
          <w:p>
            <w:pPr>
              <w:spacing w:line="232" w:lineRule="exact"/>
              <w:rPr>
                <w:rFonts w:cs="仿宋_GB2312" w:asciiTheme="minorEastAsia" w:hAnsiTheme="minorEastAsia" w:eastAsiaTheme="minorEastAsia"/>
                <w:sz w:val="15"/>
                <w:szCs w:val="15"/>
              </w:rPr>
            </w:pP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782" w:hRule="atLeast"/>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5</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未按规定采取统一的除四害措施</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《北京市除四害工作管理规定》违反条款：第十二条；处罚条款：第十六条第（三）项，给予警告，责令限期改正；逾期不改正的，可处以20元以上1000元以下罚款。</w:t>
            </w:r>
          </w:p>
        </w:tc>
        <w:tc>
          <w:tcPr>
            <w:tcW w:w="5507" w:type="dxa"/>
            <w:gridSpan w:val="4"/>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未造成严重后果的，情节轻微，处以20元以上（含）500元以下（含）罚款；</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未造成严重后果的，情节严重的，处以500元以上（不含）1000元以下（含）罚款。</w:t>
            </w:r>
          </w:p>
        </w:tc>
        <w:tc>
          <w:tcPr>
            <w:tcW w:w="2385" w:type="dxa"/>
            <w:gridSpan w:val="3"/>
            <w:vAlign w:val="center"/>
          </w:tcPr>
          <w:p>
            <w:pPr>
              <w:spacing w:line="232" w:lineRule="exact"/>
              <w:rPr>
                <w:rFonts w:cs="仿宋_GB2312" w:asciiTheme="minorEastAsia" w:hAnsiTheme="minorEastAsia" w:eastAsiaTheme="minorEastAsia"/>
                <w:sz w:val="15"/>
                <w:szCs w:val="15"/>
              </w:rPr>
            </w:pP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821" w:hRule="atLeast"/>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6</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未建立禁止吸烟管理制度，做好宣传教育工作且拒不改正</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《北京市控制吸烟条例》违反条款：第十三条第一款第（一）项；处罚条款：第二十四条第（一）项，责令限期改正;拒不改正的，处2000元以上5000元以下罚款。</w:t>
            </w:r>
          </w:p>
        </w:tc>
        <w:tc>
          <w:tcPr>
            <w:tcW w:w="5507" w:type="dxa"/>
            <w:gridSpan w:val="4"/>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此违法行为不划分裁量阶次，处2000元以上（含）5000元以下（含）罚款。</w:t>
            </w:r>
          </w:p>
        </w:tc>
        <w:tc>
          <w:tcPr>
            <w:tcW w:w="2385" w:type="dxa"/>
            <w:gridSpan w:val="3"/>
            <w:vAlign w:val="center"/>
          </w:tcPr>
          <w:p>
            <w:pPr>
              <w:spacing w:line="232" w:lineRule="exact"/>
              <w:rPr>
                <w:rFonts w:cs="仿宋_GB2312" w:asciiTheme="minorEastAsia" w:hAnsiTheme="minorEastAsia" w:eastAsiaTheme="minorEastAsia"/>
                <w:sz w:val="15"/>
                <w:szCs w:val="15"/>
              </w:rPr>
            </w:pP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771" w:hRule="atLeast"/>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7</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未在禁止吸烟场所设置明显的禁止吸烟标志和举报投诉电话号码标识且拒不改正</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《北京市控制吸烟条例》违反条款：第十三条第一款第（二）项；处罚条款：第二十四条第（一）项，责令限期改正;拒不改正的，处2000元以上5000元以下罚款。</w:t>
            </w:r>
          </w:p>
        </w:tc>
        <w:tc>
          <w:tcPr>
            <w:tcW w:w="5507" w:type="dxa"/>
            <w:gridSpan w:val="4"/>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此违法行为不划分裁量阶次，处2000元以上（含）5000元以下（含）罚款。</w:t>
            </w:r>
          </w:p>
        </w:tc>
        <w:tc>
          <w:tcPr>
            <w:tcW w:w="2385" w:type="dxa"/>
            <w:gridSpan w:val="3"/>
            <w:vAlign w:val="center"/>
          </w:tcPr>
          <w:p>
            <w:pPr>
              <w:spacing w:line="232" w:lineRule="exact"/>
              <w:rPr>
                <w:rFonts w:cs="仿宋_GB2312" w:asciiTheme="minorEastAsia" w:hAnsiTheme="minorEastAsia" w:eastAsiaTheme="minorEastAsia"/>
                <w:sz w:val="15"/>
                <w:szCs w:val="15"/>
              </w:rPr>
            </w:pP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8</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在禁止吸烟场所提供烟具和附有烟草广告的物品且拒不改正</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《北京市控制吸烟条例》违反条款：第十三条第一款第（三）项；处罚条款：第二十四条第（一）项，责令限期改正;拒不改正的，处2000元以上5000元以下罚款。</w:t>
            </w:r>
          </w:p>
        </w:tc>
        <w:tc>
          <w:tcPr>
            <w:tcW w:w="5507" w:type="dxa"/>
            <w:gridSpan w:val="4"/>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此违法行为不划分裁量阶次，处2000元以上（含）5000元以下（含）罚款。</w:t>
            </w:r>
          </w:p>
        </w:tc>
        <w:tc>
          <w:tcPr>
            <w:tcW w:w="2385" w:type="dxa"/>
            <w:gridSpan w:val="3"/>
            <w:vAlign w:val="center"/>
          </w:tcPr>
          <w:p>
            <w:pPr>
              <w:spacing w:line="232" w:lineRule="exact"/>
              <w:rPr>
                <w:rFonts w:cs="仿宋_GB2312" w:asciiTheme="minorEastAsia" w:hAnsiTheme="minorEastAsia" w:eastAsiaTheme="minorEastAsia"/>
                <w:sz w:val="15"/>
                <w:szCs w:val="15"/>
              </w:rPr>
            </w:pP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9</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未开展禁止吸烟检查工作，制作并留存禁止吸烟检查工作相关记录且拒不改正</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《北京市控制吸烟条例》违反条款：第十三条第一款第（四）项；处罚条款：第二十四条第（一）项，责令限期改正;拒不改正的，处2000元以上5000元以下罚款。</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此违法行为不划分裁量阶次，处2000元以上（含）5000元以下（含）罚款。</w:t>
            </w:r>
          </w:p>
        </w:tc>
        <w:tc>
          <w:tcPr>
            <w:tcW w:w="2385" w:type="dxa"/>
            <w:gridSpan w:val="3"/>
            <w:vAlign w:val="center"/>
          </w:tcPr>
          <w:p>
            <w:pPr>
              <w:spacing w:line="232" w:lineRule="exact"/>
              <w:rPr>
                <w:rFonts w:cs="仿宋_GB2312" w:asciiTheme="minorEastAsia" w:hAnsiTheme="minorEastAsia" w:eastAsiaTheme="minorEastAsia"/>
                <w:sz w:val="15"/>
                <w:szCs w:val="15"/>
              </w:rPr>
            </w:pP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10</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在禁止吸烟场所内的吸烟者未予以劝阻，对不听劝阻的吸烟者未要求其离开，对不听劝阻且不离开的吸烟者未投诉举报</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《北京市控制吸烟条例》违反条款：第十三条第一款第（五）项；处罚条款：第二十四条第（二）项，给予警告，并处5000元以上1万元以下罚款。</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场所内吸烟者有1人的，警告，并处5000元罚款；</w:t>
            </w:r>
          </w:p>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场所内吸烟者有2-5人的，警告，并处5000元以上（不含）8000元以下（含）罚款；</w:t>
            </w:r>
          </w:p>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场所内吸烟者有5人以上的，警告，并处8000元以上（不含）1万元以下（含）罚款。</w:t>
            </w:r>
          </w:p>
        </w:tc>
        <w:tc>
          <w:tcPr>
            <w:tcW w:w="2385" w:type="dxa"/>
            <w:gridSpan w:val="3"/>
            <w:vAlign w:val="center"/>
          </w:tcPr>
          <w:p>
            <w:pPr>
              <w:spacing w:line="232" w:lineRule="exact"/>
              <w:rPr>
                <w:rFonts w:cs="仿宋_GB2312" w:asciiTheme="minorEastAsia" w:hAnsiTheme="minorEastAsia" w:eastAsiaTheme="minorEastAsia"/>
                <w:sz w:val="15"/>
                <w:szCs w:val="15"/>
              </w:rPr>
            </w:pP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11</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在其他禁止吸烟场所或者排队等候队伍中吸烟</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《北京市控制吸烟条例》违反条款：第十四条；处罚条款：第二十五条第一款，责令改正，可以处50元罚款;拒不改正的，处200元罚款。</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在禁止吸烟场所或者排队等候队伍中吸烟，处50元罚款；</w:t>
            </w:r>
          </w:p>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在禁止吸烟场所或者排队等候队伍中吸烟，拒不改正，处200元罚款。</w:t>
            </w:r>
          </w:p>
        </w:tc>
        <w:tc>
          <w:tcPr>
            <w:tcW w:w="2385" w:type="dxa"/>
            <w:gridSpan w:val="3"/>
            <w:vAlign w:val="center"/>
          </w:tcPr>
          <w:p>
            <w:pPr>
              <w:spacing w:line="232" w:lineRule="exact"/>
              <w:rPr>
                <w:rFonts w:cs="仿宋_GB2312" w:asciiTheme="minorEastAsia" w:hAnsiTheme="minorEastAsia" w:eastAsiaTheme="minorEastAsia"/>
                <w:sz w:val="15"/>
                <w:szCs w:val="15"/>
              </w:rPr>
            </w:pP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Pr>
        <w:tc>
          <w:tcPr>
            <w:tcW w:w="940" w:type="dxa"/>
            <w:gridSpan w:val="2"/>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12</w:t>
            </w:r>
          </w:p>
        </w:tc>
        <w:tc>
          <w:tcPr>
            <w:tcW w:w="1500" w:type="dxa"/>
            <w:gridSpan w:val="2"/>
            <w:vAlign w:val="center"/>
          </w:tcPr>
          <w:p>
            <w:pPr>
              <w:spacing w:line="232" w:lineRule="exac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在幼儿园、中小学校、少年宫、儿童福利机构等以未成年人为主要活动人群的场所吸烟</w:t>
            </w:r>
          </w:p>
        </w:tc>
        <w:tc>
          <w:tcPr>
            <w:tcW w:w="2789" w:type="dxa"/>
            <w:gridSpan w:val="3"/>
            <w:vAlign w:val="center"/>
          </w:tcPr>
          <w:p>
            <w:pPr>
              <w:spacing w:line="232" w:lineRule="exac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《北京市控制吸烟条例》违反条款：第十四条；处罚条款：第二十五条第一款，责令改正，给予警告，可以并处200元以上500以下罚款。</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警告，可以并处200元以上（含）500元以下（含）罚款。</w:t>
            </w:r>
          </w:p>
        </w:tc>
        <w:tc>
          <w:tcPr>
            <w:tcW w:w="2385" w:type="dxa"/>
            <w:gridSpan w:val="3"/>
            <w:vAlign w:val="center"/>
          </w:tcPr>
          <w:p>
            <w:pPr>
              <w:spacing w:line="232" w:lineRule="exact"/>
              <w:rPr>
                <w:rFonts w:cs="仿宋_GB2312" w:asciiTheme="minorEastAsia" w:hAnsiTheme="minorEastAsia" w:eastAsiaTheme="minorEastAsia"/>
                <w:sz w:val="15"/>
                <w:szCs w:val="15"/>
              </w:rPr>
            </w:pPr>
          </w:p>
        </w:tc>
        <w:tc>
          <w:tcPr>
            <w:tcW w:w="1208" w:type="dxa"/>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504" w:hRule="atLeast"/>
        </w:trPr>
        <w:tc>
          <w:tcPr>
            <w:tcW w:w="14329" w:type="dxa"/>
            <w:gridSpan w:val="15"/>
            <w:vAlign w:val="center"/>
          </w:tcPr>
          <w:p>
            <w:pPr>
              <w:pStyle w:val="2"/>
              <w:bidi w:val="0"/>
              <w:rPr>
                <w:rFonts w:hint="eastAsia" w:asciiTheme="minorEastAsia" w:hAnsiTheme="minorEastAsia" w:eastAsiaTheme="minorEastAsia"/>
                <w:color w:val="000000" w:themeColor="text1"/>
                <w:szCs w:val="15"/>
                <w:lang w:eastAsia="zh-CN"/>
                <w14:textFill>
                  <w14:solidFill>
                    <w14:schemeClr w14:val="tx1"/>
                  </w14:solidFill>
                </w14:textFill>
              </w:rPr>
            </w:pPr>
            <w:bookmarkStart w:id="13" w:name="_Toc979026322"/>
            <w:r>
              <w:rPr>
                <w:rFonts w:hint="eastAsia"/>
                <w:sz w:val="21"/>
                <w:szCs w:val="21"/>
                <w:lang w:eastAsia="zh-CN"/>
              </w:rPr>
              <w:t>住建部门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372" w:hRule="atLeast"/>
        </w:trPr>
        <w:tc>
          <w:tcPr>
            <w:tcW w:w="14329" w:type="dxa"/>
            <w:gridSpan w:val="15"/>
            <w:vAlign w:val="center"/>
          </w:tcPr>
          <w:p>
            <w:pPr>
              <w:pStyle w:val="3"/>
              <w:bidi w:val="0"/>
              <w:jc w:val="center"/>
              <w:rPr>
                <w:rFonts w:hint="default"/>
                <w:szCs w:val="21"/>
                <w:lang w:val="en-US" w:eastAsia="zh-CN"/>
              </w:rPr>
            </w:pPr>
            <w:bookmarkStart w:id="14" w:name="_Toc1056450575"/>
            <w:r>
              <w:rPr>
                <w:rFonts w:hint="eastAsia"/>
                <w:sz w:val="15"/>
                <w:szCs w:val="15"/>
                <w:lang w:eastAsia="zh-CN"/>
              </w:rPr>
              <w:t>《北京市住房租赁条例》案由</w:t>
            </w:r>
            <w:r>
              <w:rPr>
                <w:rFonts w:hint="eastAsia"/>
                <w:sz w:val="15"/>
                <w:szCs w:val="15"/>
                <w:lang w:val="en-US" w:eastAsia="zh-CN"/>
              </w:rPr>
              <w:t>1项</w:t>
            </w:r>
            <w:bookmarkEnd w:id="1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8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职权编号</w:t>
            </w:r>
          </w:p>
        </w:tc>
        <w:tc>
          <w:tcPr>
            <w:tcW w:w="12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职权名称</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违法行为认定依据</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违法行为处罚依据</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基准编号</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违法情形</w:t>
            </w:r>
          </w:p>
        </w:tc>
        <w:tc>
          <w:tcPr>
            <w:tcW w:w="2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裁量基准</w:t>
            </w:r>
          </w:p>
        </w:tc>
        <w:tc>
          <w:tcPr>
            <w:tcW w:w="12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违法行为分类</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处罚公示期限</w:t>
            </w:r>
          </w:p>
        </w:tc>
        <w:tc>
          <w:tcPr>
            <w:tcW w:w="14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可依申请缩短公示期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794" w:hRule="atLeast"/>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1</w:t>
            </w:r>
          </w:p>
        </w:tc>
        <w:tc>
          <w:tcPr>
            <w:tcW w:w="103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C1672300</w:t>
            </w:r>
          </w:p>
        </w:tc>
        <w:tc>
          <w:tcPr>
            <w:tcW w:w="122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对未按照规定出租住房的行为进行处罚</w:t>
            </w:r>
          </w:p>
        </w:tc>
        <w:tc>
          <w:tcPr>
            <w:tcW w:w="12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《北京市住房租赁条例》 第十三条第一款第（三）项至第（五）项</w:t>
            </w:r>
          </w:p>
        </w:tc>
        <w:tc>
          <w:tcPr>
            <w:tcW w:w="11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《北京市住房租赁条例》第六十三条第三款</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C1672300-1</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发现违法行为</w:t>
            </w:r>
          </w:p>
        </w:tc>
        <w:tc>
          <w:tcPr>
            <w:tcW w:w="2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责令改正</w:t>
            </w:r>
          </w:p>
        </w:tc>
        <w:tc>
          <w:tcPr>
            <w:tcW w:w="12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4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794"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03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22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5"/>
                <w:szCs w:val="15"/>
                <w:u w:val="none"/>
              </w:rPr>
            </w:pPr>
          </w:p>
        </w:tc>
        <w:tc>
          <w:tcPr>
            <w:tcW w:w="12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5"/>
                <w:szCs w:val="15"/>
                <w:u w:val="none"/>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C1672300T</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2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不予行政处罚</w:t>
            </w:r>
          </w:p>
        </w:tc>
        <w:tc>
          <w:tcPr>
            <w:tcW w:w="12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4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794"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03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22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5"/>
                <w:szCs w:val="15"/>
                <w:u w:val="none"/>
              </w:rPr>
            </w:pPr>
          </w:p>
        </w:tc>
        <w:tc>
          <w:tcPr>
            <w:tcW w:w="12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5"/>
                <w:szCs w:val="15"/>
                <w:u w:val="none"/>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C1672300A010</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2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12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12个月</w:t>
            </w:r>
          </w:p>
        </w:tc>
        <w:tc>
          <w:tcPr>
            <w:tcW w:w="14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794"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03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22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5"/>
                <w:szCs w:val="15"/>
                <w:u w:val="none"/>
              </w:rPr>
            </w:pPr>
          </w:p>
        </w:tc>
        <w:tc>
          <w:tcPr>
            <w:tcW w:w="12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5"/>
                <w:szCs w:val="15"/>
                <w:u w:val="none"/>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C1672300A020</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2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12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12个月</w:t>
            </w:r>
          </w:p>
        </w:tc>
        <w:tc>
          <w:tcPr>
            <w:tcW w:w="14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794"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03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22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5"/>
                <w:szCs w:val="15"/>
                <w:u w:val="none"/>
              </w:rPr>
            </w:pPr>
          </w:p>
        </w:tc>
        <w:tc>
          <w:tcPr>
            <w:tcW w:w="12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5"/>
                <w:szCs w:val="15"/>
                <w:u w:val="none"/>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C1672300A030</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2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12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严重</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24个月</w:t>
            </w:r>
          </w:p>
        </w:tc>
        <w:tc>
          <w:tcPr>
            <w:tcW w:w="14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794"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03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22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5"/>
                <w:szCs w:val="15"/>
                <w:u w:val="none"/>
              </w:rPr>
            </w:pPr>
          </w:p>
        </w:tc>
        <w:tc>
          <w:tcPr>
            <w:tcW w:w="12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5"/>
                <w:szCs w:val="15"/>
                <w:u w:val="none"/>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C1672300A040</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逾期3日内改正的</w:t>
            </w:r>
          </w:p>
        </w:tc>
        <w:tc>
          <w:tcPr>
            <w:tcW w:w="2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12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严重</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24个月</w:t>
            </w:r>
          </w:p>
        </w:tc>
        <w:tc>
          <w:tcPr>
            <w:tcW w:w="14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794"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03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22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5"/>
                <w:szCs w:val="15"/>
                <w:u w:val="none"/>
              </w:rPr>
            </w:pPr>
          </w:p>
        </w:tc>
        <w:tc>
          <w:tcPr>
            <w:tcW w:w="12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5"/>
                <w:szCs w:val="15"/>
                <w:u w:val="none"/>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C1672300A050</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2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12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严重</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24个月</w:t>
            </w:r>
          </w:p>
        </w:tc>
        <w:tc>
          <w:tcPr>
            <w:tcW w:w="14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794"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03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22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5"/>
                <w:szCs w:val="15"/>
                <w:u w:val="none"/>
              </w:rPr>
            </w:pPr>
          </w:p>
        </w:tc>
        <w:tc>
          <w:tcPr>
            <w:tcW w:w="12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5"/>
                <w:szCs w:val="15"/>
                <w:u w:val="none"/>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C1672300A060</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2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12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严重</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36个月</w:t>
            </w:r>
          </w:p>
        </w:tc>
        <w:tc>
          <w:tcPr>
            <w:tcW w:w="14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bl>
    <w:p>
      <w:pPr>
        <w:pStyle w:val="21"/>
        <w:rPr>
          <w:rFonts w:hint="eastAsia" w:ascii="宋体" w:hAnsi="宋体" w:eastAsia="宋体" w:cs="宋体"/>
          <w:sz w:val="13"/>
          <w:szCs w:val="13"/>
        </w:rPr>
      </w:pPr>
    </w:p>
    <w:sectPr>
      <w:pgSz w:w="16840" w:h="11850" w:orient="landscape"/>
      <w:pgMar w:top="1134" w:right="907" w:bottom="1134" w:left="907" w:header="851" w:footer="624" w:gutter="0"/>
      <w:pgNumType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Calibri Light">
    <w:altName w:val="DejaVu Sans"/>
    <w:panose1 w:val="020F0302020204030204"/>
    <w:charset w:val="00"/>
    <w:family w:val="swiss"/>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Batang">
    <w:altName w:val="宋体"/>
    <w:panose1 w:val="02030600000101010101"/>
    <w:charset w:val="81"/>
    <w:family w:val="roman"/>
    <w:pitch w:val="default"/>
    <w:sig w:usb0="00000000" w:usb1="00000000" w:usb2="00000030" w:usb3="00000000" w:csb0="4008009F" w:csb1="DFD7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CF3C52" w:usb2="00000016" w:usb3="00000000" w:csb0="0004001F" w:csb1="00000000"/>
  </w:font>
  <w:font w:name="Noto Sans CJK JP Bold">
    <w:panose1 w:val="020B0800000000000000"/>
    <w:charset w:val="86"/>
    <w:family w:val="auto"/>
    <w:pitch w:val="default"/>
    <w:sig w:usb0="30000003" w:usb1="2BDF3C10" w:usb2="00000016" w:usb3="00000000" w:csb0="602E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bordersDoNotSurroundHeader w:val="true"/>
  <w:bordersDoNotSurroundFooter w:val="true"/>
  <w:hideSpellingErrors/>
  <w:documentProtection w:enforcement="0"/>
  <w:defaultTabStop w:val="420"/>
  <w:drawingGridHorizontalSpacing w:val="95"/>
  <w:drawingGridVerticalSpacing w:val="317"/>
  <w:displayHorizontalDrawingGridEvery w:val="2"/>
  <w:displayVerticalDrawingGridEvery w:val="2"/>
  <w:doNotShadeFormData w:val="true"/>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xZTM1MjYxYTEzYmFkZWMyYWE0MDc4OTg0ZDY0MTM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9F64F97"/>
    <w:rsid w:val="0A0D460E"/>
    <w:rsid w:val="0AEF46DA"/>
    <w:rsid w:val="0B9F92F6"/>
    <w:rsid w:val="0BF216FD"/>
    <w:rsid w:val="0C14055E"/>
    <w:rsid w:val="0DB203EF"/>
    <w:rsid w:val="0EA6FEA5"/>
    <w:rsid w:val="0EC7610D"/>
    <w:rsid w:val="0FBFF7C9"/>
    <w:rsid w:val="0FC138D0"/>
    <w:rsid w:val="1126007C"/>
    <w:rsid w:val="11443462"/>
    <w:rsid w:val="11AE7893"/>
    <w:rsid w:val="12EF1C78"/>
    <w:rsid w:val="13391315"/>
    <w:rsid w:val="13EE4AF4"/>
    <w:rsid w:val="142313E0"/>
    <w:rsid w:val="15BFBDD0"/>
    <w:rsid w:val="15D74C1C"/>
    <w:rsid w:val="15FF6BF6"/>
    <w:rsid w:val="17515270"/>
    <w:rsid w:val="17746151"/>
    <w:rsid w:val="178B26DA"/>
    <w:rsid w:val="17CEEBA9"/>
    <w:rsid w:val="17FFDA05"/>
    <w:rsid w:val="19376D81"/>
    <w:rsid w:val="1B644773"/>
    <w:rsid w:val="1B7D324B"/>
    <w:rsid w:val="1BEF7657"/>
    <w:rsid w:val="1BF35E59"/>
    <w:rsid w:val="1BFE9E91"/>
    <w:rsid w:val="1C0F2D2D"/>
    <w:rsid w:val="1C4C4F36"/>
    <w:rsid w:val="1CDEA6F5"/>
    <w:rsid w:val="1D56F24F"/>
    <w:rsid w:val="1D916302"/>
    <w:rsid w:val="1DF7C2DA"/>
    <w:rsid w:val="1E3C30A0"/>
    <w:rsid w:val="1EC60A0F"/>
    <w:rsid w:val="1EC77D42"/>
    <w:rsid w:val="1ECEB824"/>
    <w:rsid w:val="1ED33082"/>
    <w:rsid w:val="1F56FFA1"/>
    <w:rsid w:val="1FA61EEB"/>
    <w:rsid w:val="1FBD9899"/>
    <w:rsid w:val="1FEC0A29"/>
    <w:rsid w:val="22C62F3A"/>
    <w:rsid w:val="23415B68"/>
    <w:rsid w:val="23F10D53"/>
    <w:rsid w:val="245E2EB0"/>
    <w:rsid w:val="261563B9"/>
    <w:rsid w:val="271E9C29"/>
    <w:rsid w:val="272E548B"/>
    <w:rsid w:val="273F7E17"/>
    <w:rsid w:val="27532774"/>
    <w:rsid w:val="27720C4C"/>
    <w:rsid w:val="27B6DF63"/>
    <w:rsid w:val="27C70235"/>
    <w:rsid w:val="27D30408"/>
    <w:rsid w:val="284B6909"/>
    <w:rsid w:val="286379F8"/>
    <w:rsid w:val="2959155B"/>
    <w:rsid w:val="29CE0AFE"/>
    <w:rsid w:val="2A050A46"/>
    <w:rsid w:val="2A6D712E"/>
    <w:rsid w:val="2BD27518"/>
    <w:rsid w:val="2D860E5E"/>
    <w:rsid w:val="2D88708D"/>
    <w:rsid w:val="2D9E7B63"/>
    <w:rsid w:val="2DDBB70C"/>
    <w:rsid w:val="2E04154E"/>
    <w:rsid w:val="2E6F47F6"/>
    <w:rsid w:val="2F776DEB"/>
    <w:rsid w:val="2F8215FD"/>
    <w:rsid w:val="2FB7E173"/>
    <w:rsid w:val="2FBD937F"/>
    <w:rsid w:val="2FE1EA2D"/>
    <w:rsid w:val="2FF78CBA"/>
    <w:rsid w:val="30921B85"/>
    <w:rsid w:val="32D103B5"/>
    <w:rsid w:val="335F5F1A"/>
    <w:rsid w:val="335FA238"/>
    <w:rsid w:val="337FEAF9"/>
    <w:rsid w:val="3475285E"/>
    <w:rsid w:val="34790FFC"/>
    <w:rsid w:val="35913FBB"/>
    <w:rsid w:val="362B56C3"/>
    <w:rsid w:val="375EA094"/>
    <w:rsid w:val="37705CED"/>
    <w:rsid w:val="379234A4"/>
    <w:rsid w:val="37BFE79D"/>
    <w:rsid w:val="37DF2DD6"/>
    <w:rsid w:val="39A91B73"/>
    <w:rsid w:val="39B23F7D"/>
    <w:rsid w:val="3AB89792"/>
    <w:rsid w:val="3AEF7D57"/>
    <w:rsid w:val="3AFF2AC7"/>
    <w:rsid w:val="3B4448CF"/>
    <w:rsid w:val="3B4CE5B0"/>
    <w:rsid w:val="3B7F89B9"/>
    <w:rsid w:val="3B8A0DC3"/>
    <w:rsid w:val="3BB1D3AC"/>
    <w:rsid w:val="3BCF19F8"/>
    <w:rsid w:val="3BDF8995"/>
    <w:rsid w:val="3BE9ECFC"/>
    <w:rsid w:val="3BFA26FF"/>
    <w:rsid w:val="3BFBF558"/>
    <w:rsid w:val="3D1D3248"/>
    <w:rsid w:val="3D323C74"/>
    <w:rsid w:val="3D7E3DA3"/>
    <w:rsid w:val="3DEFACC2"/>
    <w:rsid w:val="3E6C5DD9"/>
    <w:rsid w:val="3E8F2131"/>
    <w:rsid w:val="3EAE9719"/>
    <w:rsid w:val="3EB0A816"/>
    <w:rsid w:val="3EB542D6"/>
    <w:rsid w:val="3EEB4BED"/>
    <w:rsid w:val="3EEC4AB3"/>
    <w:rsid w:val="3EFF20E1"/>
    <w:rsid w:val="3F1EA5F2"/>
    <w:rsid w:val="3F36279F"/>
    <w:rsid w:val="3F4F4430"/>
    <w:rsid w:val="3F4F5A12"/>
    <w:rsid w:val="3F800E58"/>
    <w:rsid w:val="3F8CBFBD"/>
    <w:rsid w:val="3FBBDC6F"/>
    <w:rsid w:val="3FDDEA02"/>
    <w:rsid w:val="3FE9E51A"/>
    <w:rsid w:val="3FEF1047"/>
    <w:rsid w:val="3FEF1726"/>
    <w:rsid w:val="3FFABA1D"/>
    <w:rsid w:val="40286339"/>
    <w:rsid w:val="40A34EF9"/>
    <w:rsid w:val="41094798"/>
    <w:rsid w:val="42B2E90B"/>
    <w:rsid w:val="43EFAB43"/>
    <w:rsid w:val="44DC6497"/>
    <w:rsid w:val="44DE5A4E"/>
    <w:rsid w:val="454D2DE0"/>
    <w:rsid w:val="45D16686"/>
    <w:rsid w:val="462F5951"/>
    <w:rsid w:val="479F083A"/>
    <w:rsid w:val="47BA6DDE"/>
    <w:rsid w:val="47FFB319"/>
    <w:rsid w:val="4A0B2A82"/>
    <w:rsid w:val="4B240373"/>
    <w:rsid w:val="4C9630E6"/>
    <w:rsid w:val="4D796D4B"/>
    <w:rsid w:val="4DA78014"/>
    <w:rsid w:val="4E9D1594"/>
    <w:rsid w:val="4ED5FB2D"/>
    <w:rsid w:val="4EE40807"/>
    <w:rsid w:val="4EFEFE41"/>
    <w:rsid w:val="4EFFCC04"/>
    <w:rsid w:val="4F3E1289"/>
    <w:rsid w:val="4F4E3BCE"/>
    <w:rsid w:val="4F6715EE"/>
    <w:rsid w:val="4F7FAC37"/>
    <w:rsid w:val="4FAB1773"/>
    <w:rsid w:val="4FFB8451"/>
    <w:rsid w:val="50450572"/>
    <w:rsid w:val="51624E8A"/>
    <w:rsid w:val="521F3E4B"/>
    <w:rsid w:val="53E7DABE"/>
    <w:rsid w:val="53EE158E"/>
    <w:rsid w:val="54F115E0"/>
    <w:rsid w:val="55447A06"/>
    <w:rsid w:val="555BA0AF"/>
    <w:rsid w:val="557F36C1"/>
    <w:rsid w:val="55FA15B7"/>
    <w:rsid w:val="562D8241"/>
    <w:rsid w:val="567F53D9"/>
    <w:rsid w:val="57014352"/>
    <w:rsid w:val="57670A95"/>
    <w:rsid w:val="576E940A"/>
    <w:rsid w:val="57AFC138"/>
    <w:rsid w:val="57DBE7AC"/>
    <w:rsid w:val="582A60AC"/>
    <w:rsid w:val="58841836"/>
    <w:rsid w:val="594F9F96"/>
    <w:rsid w:val="598F29B3"/>
    <w:rsid w:val="599FD232"/>
    <w:rsid w:val="59CD9A52"/>
    <w:rsid w:val="5AEC2D3D"/>
    <w:rsid w:val="5B3336B2"/>
    <w:rsid w:val="5B5642E6"/>
    <w:rsid w:val="5B7E9F71"/>
    <w:rsid w:val="5B9A48BE"/>
    <w:rsid w:val="5BD7D220"/>
    <w:rsid w:val="5BF3A74E"/>
    <w:rsid w:val="5BF8AA04"/>
    <w:rsid w:val="5BFC5027"/>
    <w:rsid w:val="5BFD3CB7"/>
    <w:rsid w:val="5C6FBA19"/>
    <w:rsid w:val="5D7F530F"/>
    <w:rsid w:val="5D8CAEE6"/>
    <w:rsid w:val="5D953CD4"/>
    <w:rsid w:val="5DBF23B5"/>
    <w:rsid w:val="5DC67B8B"/>
    <w:rsid w:val="5DF5385C"/>
    <w:rsid w:val="5DF7A785"/>
    <w:rsid w:val="5E336754"/>
    <w:rsid w:val="5E3B697E"/>
    <w:rsid w:val="5E60746C"/>
    <w:rsid w:val="5E937489"/>
    <w:rsid w:val="5EBE7485"/>
    <w:rsid w:val="5ECB379A"/>
    <w:rsid w:val="5EF7A60A"/>
    <w:rsid w:val="5EFD709E"/>
    <w:rsid w:val="5EFEADE1"/>
    <w:rsid w:val="5F1F1CEB"/>
    <w:rsid w:val="5F3F32A1"/>
    <w:rsid w:val="5F3F4069"/>
    <w:rsid w:val="5F585F83"/>
    <w:rsid w:val="5F7D9EDD"/>
    <w:rsid w:val="5F7E2721"/>
    <w:rsid w:val="5FAA78F5"/>
    <w:rsid w:val="5FEB83AD"/>
    <w:rsid w:val="5FEF519A"/>
    <w:rsid w:val="5FF980EC"/>
    <w:rsid w:val="5FF98146"/>
    <w:rsid w:val="5FFBE073"/>
    <w:rsid w:val="5FFC2FA4"/>
    <w:rsid w:val="5FFDD2DA"/>
    <w:rsid w:val="61B31169"/>
    <w:rsid w:val="61D35B82"/>
    <w:rsid w:val="62C73DF1"/>
    <w:rsid w:val="62FFDDCB"/>
    <w:rsid w:val="638377A8"/>
    <w:rsid w:val="63FC607C"/>
    <w:rsid w:val="63FF7A03"/>
    <w:rsid w:val="6417516A"/>
    <w:rsid w:val="648835C7"/>
    <w:rsid w:val="653B7765"/>
    <w:rsid w:val="655B3FD7"/>
    <w:rsid w:val="65C37738"/>
    <w:rsid w:val="670C1F82"/>
    <w:rsid w:val="677DC604"/>
    <w:rsid w:val="678E41F3"/>
    <w:rsid w:val="67CE9F02"/>
    <w:rsid w:val="67DE850A"/>
    <w:rsid w:val="67EAE887"/>
    <w:rsid w:val="694D1DDC"/>
    <w:rsid w:val="697E3C46"/>
    <w:rsid w:val="69FE0A5F"/>
    <w:rsid w:val="6A4515FF"/>
    <w:rsid w:val="6A723F09"/>
    <w:rsid w:val="6A860352"/>
    <w:rsid w:val="6AEC4A2D"/>
    <w:rsid w:val="6BDC5CA0"/>
    <w:rsid w:val="6BE73003"/>
    <w:rsid w:val="6BFD7552"/>
    <w:rsid w:val="6CBB95F6"/>
    <w:rsid w:val="6CFEDE13"/>
    <w:rsid w:val="6D57DC9A"/>
    <w:rsid w:val="6D6B4986"/>
    <w:rsid w:val="6D6E17C5"/>
    <w:rsid w:val="6DFB684D"/>
    <w:rsid w:val="6DFF8FE4"/>
    <w:rsid w:val="6E182A45"/>
    <w:rsid w:val="6E4E3658"/>
    <w:rsid w:val="6E5969EA"/>
    <w:rsid w:val="6EBBEFC4"/>
    <w:rsid w:val="6EDF3A8D"/>
    <w:rsid w:val="6EEEA5EE"/>
    <w:rsid w:val="6EEF3DBB"/>
    <w:rsid w:val="6EF7BA2F"/>
    <w:rsid w:val="6EFEF699"/>
    <w:rsid w:val="6F5ECC87"/>
    <w:rsid w:val="6F7E0090"/>
    <w:rsid w:val="6FA58BCC"/>
    <w:rsid w:val="6FBF8E07"/>
    <w:rsid w:val="6FDEFEF9"/>
    <w:rsid w:val="6FE644E1"/>
    <w:rsid w:val="7077A43F"/>
    <w:rsid w:val="708B3515"/>
    <w:rsid w:val="70DE537D"/>
    <w:rsid w:val="70F9B025"/>
    <w:rsid w:val="70FBCB2C"/>
    <w:rsid w:val="712B3822"/>
    <w:rsid w:val="71692C8E"/>
    <w:rsid w:val="717DD7B3"/>
    <w:rsid w:val="71844044"/>
    <w:rsid w:val="71884B08"/>
    <w:rsid w:val="71EF1ABB"/>
    <w:rsid w:val="71FB4449"/>
    <w:rsid w:val="7273247D"/>
    <w:rsid w:val="72C07827"/>
    <w:rsid w:val="737B0ED8"/>
    <w:rsid w:val="737EE920"/>
    <w:rsid w:val="73B51EF9"/>
    <w:rsid w:val="73ED6581"/>
    <w:rsid w:val="73F67713"/>
    <w:rsid w:val="7474F750"/>
    <w:rsid w:val="74D487E0"/>
    <w:rsid w:val="75150BCE"/>
    <w:rsid w:val="754D1B9A"/>
    <w:rsid w:val="75AC1E99"/>
    <w:rsid w:val="75BBBC97"/>
    <w:rsid w:val="75C441C0"/>
    <w:rsid w:val="75F6C1F4"/>
    <w:rsid w:val="75FAB8AE"/>
    <w:rsid w:val="76206228"/>
    <w:rsid w:val="767FD516"/>
    <w:rsid w:val="76BB9CA5"/>
    <w:rsid w:val="775F8ADC"/>
    <w:rsid w:val="776EFD4D"/>
    <w:rsid w:val="7797CA11"/>
    <w:rsid w:val="77B2FF19"/>
    <w:rsid w:val="77C7E874"/>
    <w:rsid w:val="77D0BF8E"/>
    <w:rsid w:val="77DB4BD1"/>
    <w:rsid w:val="77F26746"/>
    <w:rsid w:val="77F58A90"/>
    <w:rsid w:val="77F775FB"/>
    <w:rsid w:val="77F7F1BE"/>
    <w:rsid w:val="77F95BD2"/>
    <w:rsid w:val="77FE7B4F"/>
    <w:rsid w:val="786C74ED"/>
    <w:rsid w:val="78FB78D2"/>
    <w:rsid w:val="78FBA2ED"/>
    <w:rsid w:val="78FD27C7"/>
    <w:rsid w:val="78FE5A63"/>
    <w:rsid w:val="791668EE"/>
    <w:rsid w:val="795F75BD"/>
    <w:rsid w:val="798FDD30"/>
    <w:rsid w:val="79F11DD0"/>
    <w:rsid w:val="79F346E7"/>
    <w:rsid w:val="79FF3494"/>
    <w:rsid w:val="7AB7FBA4"/>
    <w:rsid w:val="7ABD431C"/>
    <w:rsid w:val="7B15E767"/>
    <w:rsid w:val="7B5E6D67"/>
    <w:rsid w:val="7B7D0951"/>
    <w:rsid w:val="7B7F93E2"/>
    <w:rsid w:val="7B7FBFEB"/>
    <w:rsid w:val="7BBA1DF7"/>
    <w:rsid w:val="7BBB13C9"/>
    <w:rsid w:val="7BBF1625"/>
    <w:rsid w:val="7BBFFAA8"/>
    <w:rsid w:val="7BD734A3"/>
    <w:rsid w:val="7BE44CF8"/>
    <w:rsid w:val="7BEA6A05"/>
    <w:rsid w:val="7BF3BF39"/>
    <w:rsid w:val="7BF5B9F7"/>
    <w:rsid w:val="7BF70AB0"/>
    <w:rsid w:val="7BF767AD"/>
    <w:rsid w:val="7BFE72B7"/>
    <w:rsid w:val="7BFEEFEC"/>
    <w:rsid w:val="7D1F3A6B"/>
    <w:rsid w:val="7D7C255C"/>
    <w:rsid w:val="7D7F7F4D"/>
    <w:rsid w:val="7DBBB1D2"/>
    <w:rsid w:val="7DBDC376"/>
    <w:rsid w:val="7DBFBEF4"/>
    <w:rsid w:val="7DCCA112"/>
    <w:rsid w:val="7DDF9BC5"/>
    <w:rsid w:val="7DEB9A91"/>
    <w:rsid w:val="7DF5F05D"/>
    <w:rsid w:val="7DF790F9"/>
    <w:rsid w:val="7DF9B896"/>
    <w:rsid w:val="7DFA7BD2"/>
    <w:rsid w:val="7DFB7837"/>
    <w:rsid w:val="7DFE5EBD"/>
    <w:rsid w:val="7DFFB292"/>
    <w:rsid w:val="7DFFE009"/>
    <w:rsid w:val="7E131720"/>
    <w:rsid w:val="7E5FDE9C"/>
    <w:rsid w:val="7E884CE2"/>
    <w:rsid w:val="7EAD171A"/>
    <w:rsid w:val="7EBA6A5F"/>
    <w:rsid w:val="7EDF0B49"/>
    <w:rsid w:val="7EED2D5B"/>
    <w:rsid w:val="7EEE9E16"/>
    <w:rsid w:val="7EF2E440"/>
    <w:rsid w:val="7EF34A6F"/>
    <w:rsid w:val="7EFBDC7D"/>
    <w:rsid w:val="7EFF1433"/>
    <w:rsid w:val="7EFF16F6"/>
    <w:rsid w:val="7EFFCE13"/>
    <w:rsid w:val="7F2DF10F"/>
    <w:rsid w:val="7F37AFE3"/>
    <w:rsid w:val="7F37D14E"/>
    <w:rsid w:val="7F3E124F"/>
    <w:rsid w:val="7F3FBDFD"/>
    <w:rsid w:val="7F5A1869"/>
    <w:rsid w:val="7F5D4CA1"/>
    <w:rsid w:val="7F66564B"/>
    <w:rsid w:val="7F759B80"/>
    <w:rsid w:val="7F7FE757"/>
    <w:rsid w:val="7F7FEA65"/>
    <w:rsid w:val="7F8DE414"/>
    <w:rsid w:val="7F9509F6"/>
    <w:rsid w:val="7F979FD3"/>
    <w:rsid w:val="7F9A9519"/>
    <w:rsid w:val="7F9BBFCF"/>
    <w:rsid w:val="7FA906A8"/>
    <w:rsid w:val="7FAF0973"/>
    <w:rsid w:val="7FBC285B"/>
    <w:rsid w:val="7FBF0F57"/>
    <w:rsid w:val="7FBF1CE7"/>
    <w:rsid w:val="7FBFE2FD"/>
    <w:rsid w:val="7FD232CF"/>
    <w:rsid w:val="7FD500EF"/>
    <w:rsid w:val="7FD5DB77"/>
    <w:rsid w:val="7FD71EF4"/>
    <w:rsid w:val="7FD7DCD4"/>
    <w:rsid w:val="7FDDDA05"/>
    <w:rsid w:val="7FDF62F6"/>
    <w:rsid w:val="7FE7D156"/>
    <w:rsid w:val="7FED05D8"/>
    <w:rsid w:val="7FEF779A"/>
    <w:rsid w:val="7FEFE316"/>
    <w:rsid w:val="7FF3C790"/>
    <w:rsid w:val="7FF7AD73"/>
    <w:rsid w:val="7FF95C95"/>
    <w:rsid w:val="7FFB0B36"/>
    <w:rsid w:val="7FFBB955"/>
    <w:rsid w:val="7FFEDEBC"/>
    <w:rsid w:val="7FFF38E2"/>
    <w:rsid w:val="89CF1D98"/>
    <w:rsid w:val="8ED7C19A"/>
    <w:rsid w:val="8EEEF1E8"/>
    <w:rsid w:val="8F7E7D85"/>
    <w:rsid w:val="97BBDB9E"/>
    <w:rsid w:val="97FDE061"/>
    <w:rsid w:val="9B7F74AA"/>
    <w:rsid w:val="9B9ECE6A"/>
    <w:rsid w:val="9BCF3212"/>
    <w:rsid w:val="9BDAE751"/>
    <w:rsid w:val="9D1D3CE9"/>
    <w:rsid w:val="9EECD5E1"/>
    <w:rsid w:val="9FD5BB96"/>
    <w:rsid w:val="9FD7768C"/>
    <w:rsid w:val="9FEF9D75"/>
    <w:rsid w:val="9FF7D87B"/>
    <w:rsid w:val="9FFF9EED"/>
    <w:rsid w:val="A38E863A"/>
    <w:rsid w:val="A57EDA5E"/>
    <w:rsid w:val="A7FF913D"/>
    <w:rsid w:val="A9DBD770"/>
    <w:rsid w:val="AAFD4DA8"/>
    <w:rsid w:val="AB1F4437"/>
    <w:rsid w:val="AB9F2C54"/>
    <w:rsid w:val="ABBFA497"/>
    <w:rsid w:val="ABC79617"/>
    <w:rsid w:val="ABFE4843"/>
    <w:rsid w:val="AD970582"/>
    <w:rsid w:val="AF6CC4AE"/>
    <w:rsid w:val="AFD7123F"/>
    <w:rsid w:val="AFEA9A4C"/>
    <w:rsid w:val="AFFED56E"/>
    <w:rsid w:val="B33C0D29"/>
    <w:rsid w:val="B3F148B5"/>
    <w:rsid w:val="B5B576AC"/>
    <w:rsid w:val="B69BA5DD"/>
    <w:rsid w:val="B763EBBC"/>
    <w:rsid w:val="B76EFA11"/>
    <w:rsid w:val="B7EDC966"/>
    <w:rsid w:val="B7F386E3"/>
    <w:rsid w:val="B7FB4C34"/>
    <w:rsid w:val="B7FC70DB"/>
    <w:rsid w:val="B7FFB16E"/>
    <w:rsid w:val="B7FFD648"/>
    <w:rsid w:val="B9DE29B9"/>
    <w:rsid w:val="B9FF7F8E"/>
    <w:rsid w:val="BAEE8A21"/>
    <w:rsid w:val="BAEF907E"/>
    <w:rsid w:val="BBEFF16C"/>
    <w:rsid w:val="BD3F42D7"/>
    <w:rsid w:val="BD7F915C"/>
    <w:rsid w:val="BDBD2207"/>
    <w:rsid w:val="BDBFD108"/>
    <w:rsid w:val="BDFBC3F4"/>
    <w:rsid w:val="BDFFAC50"/>
    <w:rsid w:val="BE16CC4E"/>
    <w:rsid w:val="BE3BE464"/>
    <w:rsid w:val="BE5F612F"/>
    <w:rsid w:val="BEB746B8"/>
    <w:rsid w:val="BEBB3B93"/>
    <w:rsid w:val="BEDE62FB"/>
    <w:rsid w:val="BEEFA20C"/>
    <w:rsid w:val="BEEFB08B"/>
    <w:rsid w:val="BEFD8481"/>
    <w:rsid w:val="BF7F3043"/>
    <w:rsid w:val="BFA69F1D"/>
    <w:rsid w:val="BFB3220D"/>
    <w:rsid w:val="BFB71D93"/>
    <w:rsid w:val="BFBBE20F"/>
    <w:rsid w:val="BFED66DB"/>
    <w:rsid w:val="BFEFCAFA"/>
    <w:rsid w:val="BFFA9525"/>
    <w:rsid w:val="BFFFD7C6"/>
    <w:rsid w:val="C22D1432"/>
    <w:rsid w:val="C6F79AA3"/>
    <w:rsid w:val="CD3FEDD1"/>
    <w:rsid w:val="CD43FCA8"/>
    <w:rsid w:val="CDD3856C"/>
    <w:rsid w:val="CDE3ACC7"/>
    <w:rsid w:val="CEEF2283"/>
    <w:rsid w:val="CFB765EE"/>
    <w:rsid w:val="CFFD05AF"/>
    <w:rsid w:val="CFFF87B9"/>
    <w:rsid w:val="CFFFD98E"/>
    <w:rsid w:val="D3AF74CA"/>
    <w:rsid w:val="D427A4B1"/>
    <w:rsid w:val="D5080E33"/>
    <w:rsid w:val="D5E8B31C"/>
    <w:rsid w:val="D5E8D377"/>
    <w:rsid w:val="D67F4E7E"/>
    <w:rsid w:val="D6DF4AEF"/>
    <w:rsid w:val="D6EB6563"/>
    <w:rsid w:val="D787430D"/>
    <w:rsid w:val="D79D7F56"/>
    <w:rsid w:val="D7EBD1A5"/>
    <w:rsid w:val="D7FDE049"/>
    <w:rsid w:val="D7FF623E"/>
    <w:rsid w:val="DADB344B"/>
    <w:rsid w:val="DB370689"/>
    <w:rsid w:val="DB3F8FB7"/>
    <w:rsid w:val="DB5D723C"/>
    <w:rsid w:val="DB6FB61A"/>
    <w:rsid w:val="DB73D7DF"/>
    <w:rsid w:val="DB7920D3"/>
    <w:rsid w:val="DBEAF5C3"/>
    <w:rsid w:val="DBEAFEFE"/>
    <w:rsid w:val="DBFBF72A"/>
    <w:rsid w:val="DCEFDE86"/>
    <w:rsid w:val="DDFF957E"/>
    <w:rsid w:val="DE6F166E"/>
    <w:rsid w:val="DE7EE9F8"/>
    <w:rsid w:val="DEED798E"/>
    <w:rsid w:val="DEF5439C"/>
    <w:rsid w:val="DEF773E0"/>
    <w:rsid w:val="DEFFF55F"/>
    <w:rsid w:val="DF1FFAD4"/>
    <w:rsid w:val="DF2C3AB6"/>
    <w:rsid w:val="DF758D7C"/>
    <w:rsid w:val="DF7DECCB"/>
    <w:rsid w:val="DF7FB3AB"/>
    <w:rsid w:val="DF9EA8A9"/>
    <w:rsid w:val="DFADB1E4"/>
    <w:rsid w:val="DFBF3DB0"/>
    <w:rsid w:val="DFBFB69D"/>
    <w:rsid w:val="DFDF25CB"/>
    <w:rsid w:val="DFE71C10"/>
    <w:rsid w:val="DFE734D9"/>
    <w:rsid w:val="DFF7BB33"/>
    <w:rsid w:val="DFF7D1B1"/>
    <w:rsid w:val="DFFA2D74"/>
    <w:rsid w:val="DFFDA77F"/>
    <w:rsid w:val="DFFF1FED"/>
    <w:rsid w:val="E1BE4097"/>
    <w:rsid w:val="E1F7CD63"/>
    <w:rsid w:val="E2FF1653"/>
    <w:rsid w:val="E385F030"/>
    <w:rsid w:val="E5B5433D"/>
    <w:rsid w:val="E5D8E41E"/>
    <w:rsid w:val="E5DBD33F"/>
    <w:rsid w:val="E6E3C5F0"/>
    <w:rsid w:val="E6FF1BD9"/>
    <w:rsid w:val="E779E75A"/>
    <w:rsid w:val="E78FF6AA"/>
    <w:rsid w:val="E7CFD029"/>
    <w:rsid w:val="E7FF9A1A"/>
    <w:rsid w:val="E7FFCEF3"/>
    <w:rsid w:val="E9B838B1"/>
    <w:rsid w:val="E9D36EAE"/>
    <w:rsid w:val="E9D78029"/>
    <w:rsid w:val="E9FCF86D"/>
    <w:rsid w:val="E9FD3D14"/>
    <w:rsid w:val="E9FEB65B"/>
    <w:rsid w:val="EAB7969D"/>
    <w:rsid w:val="EAF627E0"/>
    <w:rsid w:val="EAF66968"/>
    <w:rsid w:val="EAF74962"/>
    <w:rsid w:val="EB560F3D"/>
    <w:rsid w:val="EB7781B6"/>
    <w:rsid w:val="EBABBC6B"/>
    <w:rsid w:val="ED457A82"/>
    <w:rsid w:val="EDFBC016"/>
    <w:rsid w:val="EDFF379D"/>
    <w:rsid w:val="EE1E7BE7"/>
    <w:rsid w:val="EE8E1C73"/>
    <w:rsid w:val="EEE7829C"/>
    <w:rsid w:val="EEF3B7B9"/>
    <w:rsid w:val="EEFCD448"/>
    <w:rsid w:val="EF780C29"/>
    <w:rsid w:val="EFB747A0"/>
    <w:rsid w:val="EFBFE406"/>
    <w:rsid w:val="EFDA80BF"/>
    <w:rsid w:val="EFDDE47A"/>
    <w:rsid w:val="EFDEB539"/>
    <w:rsid w:val="EFE6ECB7"/>
    <w:rsid w:val="EFF934BE"/>
    <w:rsid w:val="EFFDB996"/>
    <w:rsid w:val="EFFF6748"/>
    <w:rsid w:val="EFFF9B30"/>
    <w:rsid w:val="F0F94EE3"/>
    <w:rsid w:val="F0FB4779"/>
    <w:rsid w:val="F1BFDF14"/>
    <w:rsid w:val="F1FFB93C"/>
    <w:rsid w:val="F27FA38A"/>
    <w:rsid w:val="F2BB2614"/>
    <w:rsid w:val="F2CFD35C"/>
    <w:rsid w:val="F2FF12B4"/>
    <w:rsid w:val="F36F20A8"/>
    <w:rsid w:val="F3BE45FB"/>
    <w:rsid w:val="F3C7602B"/>
    <w:rsid w:val="F3FE868E"/>
    <w:rsid w:val="F49B07CE"/>
    <w:rsid w:val="F4B95111"/>
    <w:rsid w:val="F57F4DA8"/>
    <w:rsid w:val="F5BDD1EE"/>
    <w:rsid w:val="F5CF8F43"/>
    <w:rsid w:val="F5F58577"/>
    <w:rsid w:val="F5FE5C2F"/>
    <w:rsid w:val="F6BF00C6"/>
    <w:rsid w:val="F6F5656B"/>
    <w:rsid w:val="F6FBD95B"/>
    <w:rsid w:val="F73FC669"/>
    <w:rsid w:val="F77570B5"/>
    <w:rsid w:val="F7792F0B"/>
    <w:rsid w:val="F7BEC53E"/>
    <w:rsid w:val="F7CB21F0"/>
    <w:rsid w:val="F7CFDD56"/>
    <w:rsid w:val="F7D72319"/>
    <w:rsid w:val="F7D9F7D4"/>
    <w:rsid w:val="F7F6422D"/>
    <w:rsid w:val="F7FEBB66"/>
    <w:rsid w:val="F7FF14E5"/>
    <w:rsid w:val="F7FF49A9"/>
    <w:rsid w:val="F7FF5CC8"/>
    <w:rsid w:val="F83DD696"/>
    <w:rsid w:val="F8F4F377"/>
    <w:rsid w:val="F967DB1B"/>
    <w:rsid w:val="F9AF55C0"/>
    <w:rsid w:val="F9ED89BC"/>
    <w:rsid w:val="FA3F6127"/>
    <w:rsid w:val="FA7AB7E2"/>
    <w:rsid w:val="FA7D18E6"/>
    <w:rsid w:val="FAAEE65C"/>
    <w:rsid w:val="FACF824A"/>
    <w:rsid w:val="FADF9EA9"/>
    <w:rsid w:val="FAF7D8F9"/>
    <w:rsid w:val="FB5DC626"/>
    <w:rsid w:val="FB9D1143"/>
    <w:rsid w:val="FBBB2238"/>
    <w:rsid w:val="FBFB84EF"/>
    <w:rsid w:val="FBFBF83A"/>
    <w:rsid w:val="FBFD7869"/>
    <w:rsid w:val="FBFD8001"/>
    <w:rsid w:val="FC5FD9DF"/>
    <w:rsid w:val="FC9C2D2D"/>
    <w:rsid w:val="FCFF8C19"/>
    <w:rsid w:val="FD2FA174"/>
    <w:rsid w:val="FD4FBB59"/>
    <w:rsid w:val="FD5B514F"/>
    <w:rsid w:val="FD5C5889"/>
    <w:rsid w:val="FD6F0E90"/>
    <w:rsid w:val="FD764F83"/>
    <w:rsid w:val="FDF3BDC8"/>
    <w:rsid w:val="FDF7CEDC"/>
    <w:rsid w:val="FDFB1A6C"/>
    <w:rsid w:val="FDFF3652"/>
    <w:rsid w:val="FE3DA7DA"/>
    <w:rsid w:val="FE3FEC7B"/>
    <w:rsid w:val="FE5F61A1"/>
    <w:rsid w:val="FE5F66F2"/>
    <w:rsid w:val="FEAF6FD6"/>
    <w:rsid w:val="FED20F90"/>
    <w:rsid w:val="FED6F92A"/>
    <w:rsid w:val="FEE79552"/>
    <w:rsid w:val="FEFA9585"/>
    <w:rsid w:val="FEFDD817"/>
    <w:rsid w:val="FEFF7496"/>
    <w:rsid w:val="FEFF7F8E"/>
    <w:rsid w:val="FEFFA731"/>
    <w:rsid w:val="FF5B3711"/>
    <w:rsid w:val="FF5D1C8A"/>
    <w:rsid w:val="FF5FC543"/>
    <w:rsid w:val="FF776516"/>
    <w:rsid w:val="FF7CDF6E"/>
    <w:rsid w:val="FF7D304A"/>
    <w:rsid w:val="FF7FE124"/>
    <w:rsid w:val="FF7FE4B1"/>
    <w:rsid w:val="FF9F4B0B"/>
    <w:rsid w:val="FF9F5B82"/>
    <w:rsid w:val="FFAB6C8F"/>
    <w:rsid w:val="FFBF6300"/>
    <w:rsid w:val="FFCFE9D8"/>
    <w:rsid w:val="FFD714EB"/>
    <w:rsid w:val="FFDD0FCC"/>
    <w:rsid w:val="FFDFBB40"/>
    <w:rsid w:val="FFEF91AF"/>
    <w:rsid w:val="FFEFC1C4"/>
    <w:rsid w:val="FFF7028F"/>
    <w:rsid w:val="FFF7B7CB"/>
    <w:rsid w:val="FFF7F70D"/>
    <w:rsid w:val="FFF9A206"/>
    <w:rsid w:val="FFF9EC50"/>
    <w:rsid w:val="FFFA217D"/>
    <w:rsid w:val="FFFBB370"/>
    <w:rsid w:val="FFFC6607"/>
    <w:rsid w:val="FFFCC141"/>
    <w:rsid w:val="FFFDDEAA"/>
    <w:rsid w:val="FFFE9DAC"/>
    <w:rsid w:val="FFFEFA9C"/>
    <w:rsid w:val="FFFF24A9"/>
    <w:rsid w:val="FFFFA4D8"/>
    <w:rsid w:val="FFFFB5C8"/>
    <w:rsid w:val="FFFFCA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1"/>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3"/>
    <w:qFormat/>
    <w:uiPriority w:val="0"/>
    <w:pPr>
      <w:keepNext/>
      <w:keepLines/>
      <w:spacing w:before="240" w:after="64" w:line="320" w:lineRule="auto"/>
      <w:outlineLvl w:val="8"/>
    </w:pPr>
    <w:rPr>
      <w:rFonts w:ascii="Calibri Light" w:hAnsi="Calibri Light"/>
      <w:szCs w:val="21"/>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7"/>
    <w:qFormat/>
    <w:uiPriority w:val="0"/>
    <w:pPr>
      <w:shd w:val="clear" w:color="auto" w:fill="000080"/>
    </w:pPr>
  </w:style>
  <w:style w:type="paragraph" w:styleId="7">
    <w:name w:val="annotation text"/>
    <w:basedOn w:val="1"/>
    <w:link w:val="32"/>
    <w:qFormat/>
    <w:uiPriority w:val="0"/>
    <w:pPr>
      <w:jc w:val="left"/>
    </w:pPr>
  </w:style>
  <w:style w:type="paragraph" w:styleId="8">
    <w:name w:val="Body Text"/>
    <w:basedOn w:val="1"/>
    <w:qFormat/>
    <w:uiPriority w:val="0"/>
    <w:rPr>
      <w:rFonts w:ascii="仿宋_GB2312" w:eastAsia="仿宋_GB2312"/>
      <w:sz w:val="30"/>
      <w:szCs w:val="20"/>
    </w:rPr>
  </w:style>
  <w:style w:type="paragraph" w:styleId="9">
    <w:name w:val="Body Text Indent"/>
    <w:basedOn w:val="1"/>
    <w:unhideWhenUsed/>
    <w:qFormat/>
    <w:uiPriority w:val="99"/>
    <w:pPr>
      <w:spacing w:after="120"/>
      <w:ind w:left="420" w:leftChars="200"/>
    </w:pPr>
  </w:style>
  <w:style w:type="paragraph" w:styleId="10">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1">
    <w:name w:val="Plain Text"/>
    <w:basedOn w:val="1"/>
    <w:qFormat/>
    <w:uiPriority w:val="0"/>
    <w:rPr>
      <w:rFonts w:ascii="宋体" w:hAnsi="Courier New" w:cs="Courier New"/>
      <w:szCs w:val="21"/>
    </w:rPr>
  </w:style>
  <w:style w:type="paragraph" w:styleId="12">
    <w:name w:val="Date"/>
    <w:basedOn w:val="1"/>
    <w:next w:val="1"/>
    <w:qFormat/>
    <w:uiPriority w:val="0"/>
    <w:rPr>
      <w:rFonts w:ascii="黑体" w:eastAsia="仿宋_GB2312"/>
      <w:sz w:val="32"/>
      <w:szCs w:val="20"/>
    </w:rPr>
  </w:style>
  <w:style w:type="paragraph" w:styleId="13">
    <w:name w:val="Balloon Text"/>
    <w:basedOn w:val="1"/>
    <w:link w:val="58"/>
    <w:qFormat/>
    <w:uiPriority w:val="0"/>
    <w:rPr>
      <w:sz w:val="18"/>
      <w:szCs w:val="18"/>
    </w:rPr>
  </w:style>
  <w:style w:type="paragraph" w:styleId="14">
    <w:name w:val="footer"/>
    <w:basedOn w:val="1"/>
    <w:link w:val="29"/>
    <w:qFormat/>
    <w:uiPriority w:val="0"/>
    <w:pPr>
      <w:tabs>
        <w:tab w:val="center" w:pos="4153"/>
        <w:tab w:val="right" w:pos="8306"/>
      </w:tabs>
      <w:snapToGrid w:val="0"/>
      <w:jc w:val="left"/>
    </w:pPr>
    <w:rPr>
      <w:sz w:val="18"/>
      <w:szCs w:val="18"/>
    </w:rPr>
  </w:style>
  <w:style w:type="paragraph" w:styleId="15">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59" w:lineRule="auto"/>
      <w:jc w:val="left"/>
    </w:pPr>
    <w:rPr>
      <w:rFonts w:ascii="Calibri" w:hAnsi="Calibri"/>
      <w:kern w:val="0"/>
      <w:sz w:val="22"/>
      <w:szCs w:val="22"/>
    </w:rPr>
  </w:style>
  <w:style w:type="paragraph" w:styleId="17">
    <w:name w:val="Body Text Indent 3"/>
    <w:basedOn w:val="1"/>
    <w:qFormat/>
    <w:uiPriority w:val="0"/>
    <w:pPr>
      <w:spacing w:after="120"/>
      <w:ind w:left="420" w:leftChars="200"/>
    </w:pPr>
    <w:rPr>
      <w:sz w:val="16"/>
      <w:szCs w:val="16"/>
    </w:rPr>
  </w:style>
  <w:style w:type="paragraph" w:styleId="18">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19">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0">
    <w:name w:val="annotation subject"/>
    <w:basedOn w:val="7"/>
    <w:next w:val="7"/>
    <w:link w:val="39"/>
    <w:qFormat/>
    <w:uiPriority w:val="0"/>
    <w:rPr>
      <w:b/>
      <w:bCs/>
    </w:rPr>
  </w:style>
  <w:style w:type="paragraph" w:styleId="21">
    <w:name w:val="Body Text First Indent 2"/>
    <w:basedOn w:val="9"/>
    <w:unhideWhenUsed/>
    <w:qFormat/>
    <w:uiPriority w:val="99"/>
    <w:pPr>
      <w:ind w:firstLine="420" w:firstLineChars="200"/>
    </w:pPr>
  </w:style>
  <w:style w:type="character" w:styleId="24">
    <w:name w:val="page number"/>
    <w:qFormat/>
    <w:uiPriority w:val="0"/>
    <w:rPr>
      <w:rFonts w:ascii="Times New Roman" w:hAnsi="Times New Roman" w:eastAsia="宋体" w:cs="Times New Roman"/>
    </w:rPr>
  </w:style>
  <w:style w:type="character" w:styleId="25">
    <w:name w:val="FollowedHyperlink"/>
    <w:qFormat/>
    <w:uiPriority w:val="0"/>
    <w:rPr>
      <w:rFonts w:ascii="Times New Roman" w:hAnsi="Times New Roman" w:eastAsia="宋体" w:cs="Times New Roman"/>
      <w:color w:val="954F72"/>
      <w:u w:val="single"/>
    </w:rPr>
  </w:style>
  <w:style w:type="character" w:styleId="26">
    <w:name w:val="Emphasis"/>
    <w:qFormat/>
    <w:uiPriority w:val="0"/>
    <w:rPr>
      <w:rFonts w:ascii="Times New Roman" w:hAnsi="Times New Roman" w:eastAsia="宋体" w:cs="Times New Roman"/>
      <w:i/>
      <w:iCs/>
    </w:rPr>
  </w:style>
  <w:style w:type="character" w:styleId="27">
    <w:name w:val="Hyperlink"/>
    <w:qFormat/>
    <w:uiPriority w:val="99"/>
    <w:rPr>
      <w:rFonts w:ascii="Times New Roman" w:hAnsi="Times New Roman" w:eastAsia="宋体" w:cs="Times New Roman"/>
      <w:color w:val="0563C1"/>
      <w:u w:val="single"/>
    </w:rPr>
  </w:style>
  <w:style w:type="character" w:styleId="28">
    <w:name w:val="annotation reference"/>
    <w:qFormat/>
    <w:uiPriority w:val="0"/>
    <w:rPr>
      <w:sz w:val="21"/>
    </w:rPr>
  </w:style>
  <w:style w:type="character" w:customStyle="1" w:styleId="29">
    <w:name w:val="页脚 字符"/>
    <w:link w:val="14"/>
    <w:qFormat/>
    <w:uiPriority w:val="0"/>
    <w:rPr>
      <w:rFonts w:ascii="Times New Roman" w:hAnsi="Times New Roman" w:eastAsia="宋体" w:cs="Times New Roman"/>
      <w:kern w:val="2"/>
      <w:sz w:val="18"/>
      <w:szCs w:val="18"/>
      <w:lang w:val="en-US" w:eastAsia="zh-CN" w:bidi="ar-SA"/>
    </w:rPr>
  </w:style>
  <w:style w:type="character" w:customStyle="1" w:styleId="30">
    <w:name w:val="标题 1 字符"/>
    <w:link w:val="2"/>
    <w:qFormat/>
    <w:uiPriority w:val="0"/>
    <w:rPr>
      <w:rFonts w:ascii="Times New Roman" w:hAnsi="Times New Roman" w:eastAsia="方正小标宋简体" w:cs="Times New Roman"/>
      <w:b/>
      <w:bCs/>
      <w:kern w:val="44"/>
      <w:sz w:val="36"/>
      <w:szCs w:val="44"/>
    </w:rPr>
  </w:style>
  <w:style w:type="character" w:customStyle="1" w:styleId="31">
    <w:name w:val="标题 2 字符"/>
    <w:link w:val="3"/>
    <w:qFormat/>
    <w:uiPriority w:val="0"/>
    <w:rPr>
      <w:rFonts w:ascii="宋体" w:hAnsi="宋体" w:eastAsia="宋体" w:cs="宋体"/>
      <w:b/>
      <w:bCs/>
      <w:sz w:val="30"/>
      <w:szCs w:val="36"/>
    </w:rPr>
  </w:style>
  <w:style w:type="character" w:customStyle="1" w:styleId="32">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3">
    <w:name w:val="标题 9 字符"/>
    <w:link w:val="4"/>
    <w:qFormat/>
    <w:uiPriority w:val="0"/>
    <w:rPr>
      <w:rFonts w:ascii="Calibri Light" w:hAnsi="Calibri Light" w:eastAsia="宋体" w:cs="Times New Roman"/>
      <w:kern w:val="2"/>
      <w:sz w:val="21"/>
      <w:szCs w:val="21"/>
    </w:rPr>
  </w:style>
  <w:style w:type="paragraph" w:customStyle="1" w:styleId="34">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6">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7">
    <w:name w:val="p121"/>
    <w:qFormat/>
    <w:uiPriority w:val="0"/>
    <w:rPr>
      <w:rFonts w:hint="default" w:eastAsia="宋体" w:cs="Times New Roman"/>
      <w:sz w:val="24"/>
      <w:szCs w:val="24"/>
    </w:rPr>
  </w:style>
  <w:style w:type="paragraph" w:customStyle="1" w:styleId="38">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39">
    <w:name w:val="批注主题 字符"/>
    <w:link w:val="20"/>
    <w:qFormat/>
    <w:uiPriority w:val="0"/>
    <w:rPr>
      <w:rFonts w:ascii="Times New Roman" w:hAnsi="Times New Roman" w:eastAsia="宋体" w:cs="Times New Roman"/>
      <w:b/>
      <w:bCs/>
      <w:kern w:val="2"/>
      <w:sz w:val="21"/>
      <w:szCs w:val="24"/>
      <w:lang w:val="en-US" w:eastAsia="zh-CN" w:bidi="ar-SA"/>
    </w:rPr>
  </w:style>
  <w:style w:type="paragraph" w:customStyle="1" w:styleId="4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
    <w:name w:val="Char1 Char Char Char"/>
    <w:basedOn w:val="1"/>
    <w:qFormat/>
    <w:uiPriority w:val="0"/>
    <w:rPr>
      <w:rFonts w:ascii="Tahoma" w:hAnsi="Tahoma"/>
      <w:sz w:val="24"/>
      <w:szCs w:val="20"/>
    </w:rPr>
  </w:style>
  <w:style w:type="paragraph" w:customStyle="1" w:styleId="42">
    <w:name w:val="Char1 Char Char Char1"/>
    <w:basedOn w:val="1"/>
    <w:qFormat/>
    <w:uiPriority w:val="0"/>
    <w:rPr>
      <w:rFonts w:ascii="Tahoma" w:hAnsi="Tahoma"/>
      <w:sz w:val="24"/>
      <w:szCs w:val="20"/>
    </w:rPr>
  </w:style>
  <w:style w:type="paragraph" w:customStyle="1" w:styleId="43">
    <w:name w:val="Char1"/>
    <w:basedOn w:val="1"/>
    <w:qFormat/>
    <w:uiPriority w:val="0"/>
    <w:rPr>
      <w:rFonts w:ascii="Tahoma" w:hAnsi="Tahoma"/>
      <w:sz w:val="24"/>
      <w:szCs w:val="20"/>
    </w:rPr>
  </w:style>
  <w:style w:type="paragraph" w:customStyle="1" w:styleId="44">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4">
    <w:name w:val="列表段落1"/>
    <w:basedOn w:val="1"/>
    <w:qFormat/>
    <w:uiPriority w:val="34"/>
    <w:pPr>
      <w:ind w:firstLine="420" w:firstLineChars="200"/>
    </w:pPr>
  </w:style>
  <w:style w:type="character" w:customStyle="1" w:styleId="55">
    <w:name w:val="页眉 字符"/>
    <w:basedOn w:val="23"/>
    <w:link w:val="15"/>
    <w:qFormat/>
    <w:uiPriority w:val="0"/>
    <w:rPr>
      <w:kern w:val="2"/>
      <w:sz w:val="18"/>
      <w:szCs w:val="18"/>
    </w:rPr>
  </w:style>
  <w:style w:type="character" w:customStyle="1" w:styleId="56">
    <w:name w:val="oalinshistyle21"/>
    <w:qFormat/>
    <w:uiPriority w:val="0"/>
    <w:rPr>
      <w:rFonts w:hint="default" w:ascii="Arial" w:hAnsi="Arial" w:cs="Arial"/>
      <w:sz w:val="27"/>
      <w:szCs w:val="27"/>
    </w:rPr>
  </w:style>
  <w:style w:type="character" w:customStyle="1" w:styleId="57">
    <w:name w:val="文档结构图 字符"/>
    <w:basedOn w:val="23"/>
    <w:link w:val="6"/>
    <w:qFormat/>
    <w:uiPriority w:val="0"/>
    <w:rPr>
      <w:kern w:val="2"/>
      <w:sz w:val="21"/>
      <w:szCs w:val="24"/>
      <w:shd w:val="clear" w:color="auto" w:fill="000080"/>
    </w:rPr>
  </w:style>
  <w:style w:type="character" w:customStyle="1" w:styleId="58">
    <w:name w:val="批注框文本 字符"/>
    <w:basedOn w:val="23"/>
    <w:link w:val="13"/>
    <w:qFormat/>
    <w:uiPriority w:val="0"/>
    <w:rPr>
      <w:kern w:val="2"/>
      <w:sz w:val="18"/>
      <w:szCs w:val="18"/>
    </w:rPr>
  </w:style>
  <w:style w:type="paragraph" w:customStyle="1" w:styleId="59">
    <w:name w:val="列出段落1"/>
    <w:basedOn w:val="1"/>
    <w:qFormat/>
    <w:uiPriority w:val="0"/>
    <w:pPr>
      <w:ind w:firstLine="420" w:firstLineChars="200"/>
    </w:pPr>
  </w:style>
  <w:style w:type="paragraph" w:styleId="6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134</Pages>
  <Words>124895</Words>
  <Characters>131914</Characters>
  <Lines>1186</Lines>
  <Paragraphs>334</Paragraphs>
  <TotalTime>14</TotalTime>
  <ScaleCrop>false</ScaleCrop>
  <LinksUpToDate>false</LinksUpToDate>
  <CharactersWithSpaces>134862</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2022-08-12T02:35:00Z</dcterms:created>
  <dc:creator>张通</dc:creator>
  <cp:lastModifiedBy>user</cp:lastModifiedBy>
  <cp:lastPrinted>2022-09-13T02:45:00Z</cp:lastPrinted>
  <dcterms:modified xsi:type="dcterms:W3CDTF">2024-03-13T14:10:37Z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21CB7F7E36F44B2887F6D29F03788F44</vt:lpwstr>
  </property>
</Properties>
</file>