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1A" w:rsidRPr="000C3B1A" w:rsidRDefault="000C3B1A" w:rsidP="000C3B1A">
      <w:pPr>
        <w:widowControl/>
        <w:pBdr>
          <w:bottom w:val="single" w:sz="6" w:space="0" w:color="C51000"/>
        </w:pBdr>
        <w:spacing w:line="720" w:lineRule="atLeast"/>
        <w:jc w:val="center"/>
        <w:textAlignment w:val="baseline"/>
        <w:outlineLvl w:val="4"/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7"/>
          <w:szCs w:val="27"/>
        </w:rPr>
      </w:pPr>
      <w:r w:rsidRPr="000C3B1A"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7"/>
          <w:szCs w:val="27"/>
        </w:rPr>
        <w:t>北京市住房和城乡建设委员会关于印发《北京市住房城乡建设系统行政处罚裁量基准》</w:t>
      </w:r>
      <w:r>
        <w:rPr>
          <w:rFonts w:ascii="微软雅黑" w:eastAsia="微软雅黑" w:hAnsi="微软雅黑" w:cs="宋体" w:hint="eastAsia"/>
          <w:b/>
          <w:bCs/>
          <w:color w:val="000000"/>
          <w:spacing w:val="30"/>
          <w:kern w:val="0"/>
          <w:sz w:val="27"/>
          <w:szCs w:val="27"/>
        </w:rPr>
        <w:t>的</w:t>
      </w:r>
      <w:r>
        <w:rPr>
          <w:rFonts w:ascii="微软雅黑" w:eastAsia="微软雅黑" w:hAnsi="微软雅黑" w:cs="宋体"/>
          <w:b/>
          <w:bCs/>
          <w:color w:val="000000"/>
          <w:spacing w:val="30"/>
          <w:kern w:val="0"/>
          <w:sz w:val="27"/>
          <w:szCs w:val="27"/>
        </w:rPr>
        <w:t>通知</w:t>
      </w:r>
    </w:p>
    <w:p w:rsidR="000C3B1A" w:rsidRPr="000C3B1A" w:rsidRDefault="000C3B1A" w:rsidP="000C3B1A">
      <w:pPr>
        <w:pStyle w:val="a3"/>
        <w:spacing w:before="0" w:beforeAutospacing="0" w:after="300" w:afterAutospacing="0" w:line="480" w:lineRule="atLeast"/>
        <w:jc w:val="center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京建法</w:t>
      </w:r>
      <w:r>
        <w:rPr>
          <w:rFonts w:ascii="微软雅黑" w:eastAsia="微软雅黑" w:hAnsi="微软雅黑"/>
          <w:color w:val="000000"/>
          <w:spacing w:val="15"/>
          <w:sz w:val="21"/>
          <w:szCs w:val="21"/>
        </w:rPr>
        <w:t>【</w:t>
      </w: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2019</w:t>
      </w:r>
      <w:r>
        <w:rPr>
          <w:rFonts w:ascii="微软雅黑" w:eastAsia="微软雅黑" w:hAnsi="微软雅黑"/>
          <w:color w:val="000000"/>
          <w:spacing w:val="15"/>
          <w:sz w:val="21"/>
          <w:szCs w:val="21"/>
        </w:rPr>
        <w:t>】</w:t>
      </w: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8号文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各机关处室、直属事业单位，各区住房城乡建设委（房管局），东城、西城区住房城市建设委（房管局），经济技术开发区建设局（房地局）：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为进一步规范本市住房城乡建设系统行政处罚裁量权的行使，我委修订了《北京市住房城乡建设系统行政处罚裁量基准》（以下简称《行政处罚裁量基准》）,现印发给你们。《行政处罚裁量基准》适用于北京市住房城乡建设领域行政处罚职权，执行主体为市、区住房城乡建设系统两级执法机构。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为统一规范《行政处罚裁量基准》与《关于规范北京市住房城乡建设系统行政处罚裁量权的规定》（京建发〔2011〕216号，以下简称《行政处罚裁量权规定》）相关表述，决定将《行政处罚裁量权规定》部分条款同步修订。其中，《行政处罚裁量权规定》第六条“以下情形作为从轻处罚的</w:t>
      </w:r>
      <w:proofErr w:type="gramStart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因素”修改为“以下情形作为违法情节较轻的</w:t>
      </w:r>
      <w:proofErr w:type="gramStart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因素”；第七条“以下情形作为从重处罚的</w:t>
      </w:r>
      <w:proofErr w:type="gramStart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因素”修改为“以下情形作为违法情节严重的</w:t>
      </w:r>
      <w:proofErr w:type="gramStart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因素”，删除第七条第（三）项，后续项数编码依次递补。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依据《中华人民共和国行政处罚法》第二十三条“行政机关实施行政处罚时，应当责令当事人改正或者限期改正违法行为”的规定，新修订的《行政处罚裁量基准》增设了责令改正一栏，作为执法机关发现违法行为实施行政处罚时应当履行的法定职责，不作为处罚裁量分档；同时，根据《中华人民共和国</w:t>
      </w: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lastRenderedPageBreak/>
        <w:t>行政处罚法》中不予处罚的情形，设定了不予处罚分档。请各单位在行使行政处罚职权时，依据《中华人民共和国行政处罚法》《北京市关于规范行政处罚自由裁量权的若干规定》（京政发〔2007〕17号）和《行政处罚裁量权规定》，全面</w:t>
      </w:r>
      <w:proofErr w:type="gramStart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考量</w:t>
      </w:r>
      <w:proofErr w:type="gramEnd"/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当事人违法行为的事实、性质、情节及危害程度等相关因素，严格按照《行政处罚裁量基准》执行。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本通知自2019年4月15日起施行，《北京市住房城乡建设系统行政处罚裁量基准》（2015年版）自本通知施行之日起不再执行。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特此通知。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> 　　附件：《北京市住房城乡建设系统行政处罚裁量基准》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                                                                                                              北京市住房和城乡建设委员会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5"/>
          <w:sz w:val="21"/>
          <w:szCs w:val="21"/>
        </w:rPr>
        <w:t xml:space="preserve">　　                                                                                                                    2019年1月2日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inherit" w:eastAsia="微软雅黑" w:hAnsi="inherit" w:hint="eastAsia"/>
          <w:color w:val="000000"/>
          <w:spacing w:val="15"/>
          <w:sz w:val="21"/>
          <w:szCs w:val="21"/>
        </w:rPr>
      </w:pPr>
      <w:r>
        <w:rPr>
          <w:rFonts w:ascii="inherit" w:eastAsia="微软雅黑" w:hAnsi="inherit"/>
          <w:color w:val="000000"/>
          <w:spacing w:val="15"/>
          <w:sz w:val="21"/>
          <w:szCs w:val="21"/>
        </w:rPr>
        <w:t xml:space="preserve">　　（此件公开发布）</w:t>
      </w:r>
    </w:p>
    <w:p w:rsidR="00A156AE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inherit" w:eastAsia="微软雅黑" w:hAnsi="inherit"/>
          <w:color w:val="000000"/>
          <w:spacing w:val="15"/>
          <w:sz w:val="21"/>
          <w:szCs w:val="21"/>
        </w:rPr>
      </w:pPr>
      <w:r>
        <w:rPr>
          <w:rFonts w:ascii="inherit" w:eastAsia="微软雅黑" w:hAnsi="inherit"/>
          <w:color w:val="000000"/>
          <w:spacing w:val="15"/>
          <w:sz w:val="21"/>
          <w:szCs w:val="21"/>
        </w:rPr>
        <w:t>北京市住房和城乡建设委员会办公</w:t>
      </w:r>
      <w:r w:rsidR="00A156AE">
        <w:rPr>
          <w:rFonts w:ascii="inherit" w:eastAsia="微软雅黑" w:hAnsi="inherit" w:hint="eastAsia"/>
          <w:color w:val="000000"/>
          <w:spacing w:val="15"/>
          <w:sz w:val="21"/>
          <w:szCs w:val="21"/>
        </w:rPr>
        <w:t>室</w:t>
      </w:r>
    </w:p>
    <w:p w:rsidR="000C3B1A" w:rsidRDefault="000C3B1A" w:rsidP="000C3B1A">
      <w:pPr>
        <w:pStyle w:val="a3"/>
        <w:spacing w:before="0" w:beforeAutospacing="0" w:after="300" w:afterAutospacing="0" w:line="480" w:lineRule="atLeast"/>
        <w:textAlignment w:val="baseline"/>
        <w:rPr>
          <w:rFonts w:ascii="inherit" w:eastAsia="微软雅黑" w:hAnsi="inherit"/>
          <w:color w:val="000000"/>
          <w:spacing w:val="15"/>
          <w:sz w:val="21"/>
          <w:szCs w:val="21"/>
        </w:rPr>
      </w:pPr>
      <w:r>
        <w:rPr>
          <w:rFonts w:ascii="inherit" w:eastAsia="微软雅黑" w:hAnsi="inherit"/>
          <w:color w:val="000000"/>
          <w:spacing w:val="15"/>
          <w:sz w:val="21"/>
          <w:szCs w:val="21"/>
        </w:rPr>
        <w:t xml:space="preserve">　　　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                                                                        2019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年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4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月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2</w:t>
      </w:r>
      <w:r>
        <w:rPr>
          <w:rFonts w:ascii="inherit" w:eastAsia="微软雅黑" w:hAnsi="inherit"/>
          <w:color w:val="000000"/>
          <w:spacing w:val="15"/>
          <w:sz w:val="21"/>
          <w:szCs w:val="21"/>
        </w:rPr>
        <w:t>日印发</w:t>
      </w:r>
    </w:p>
    <w:p w:rsidR="00CC5830" w:rsidRPr="000C3B1A" w:rsidRDefault="00CC5830">
      <w:pPr>
        <w:rPr>
          <w:rFonts w:hint="eastAsia"/>
        </w:rPr>
      </w:pPr>
      <w:bookmarkStart w:id="0" w:name="_GoBack"/>
      <w:bookmarkEnd w:id="0"/>
    </w:p>
    <w:sectPr w:rsidR="00CC5830" w:rsidRPr="000C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F8"/>
    <w:rsid w:val="000C3B1A"/>
    <w:rsid w:val="002348F8"/>
    <w:rsid w:val="00A156AE"/>
    <w:rsid w:val="00C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C5E"/>
  <w15:chartTrackingRefBased/>
  <w15:docId w15:val="{326E1090-C913-4168-A9EB-457B2BB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B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2019-05-08T03:44:00Z</dcterms:created>
  <dcterms:modified xsi:type="dcterms:W3CDTF">2019-05-08T03:47:00Z</dcterms:modified>
</cp:coreProperties>
</file>