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atLeast"/>
        <w:ind w:left="105" w:leftChars="50" w:right="105" w:rightChars="50"/>
        <w:jc w:val="distribute"/>
        <w:rPr>
          <w:rFonts w:eastAsia="小标宋"/>
          <w:b/>
          <w:bCs/>
          <w:color w:val="FF0000"/>
          <w:spacing w:val="-30"/>
          <w:w w:val="80"/>
          <w:sz w:val="98"/>
          <w:szCs w:val="98"/>
        </w:rPr>
      </w:pPr>
      <w:r>
        <w:rPr>
          <w:rFonts w:hint="eastAsia" w:ascii="仿宋_GB2312" w:hAnsi="仿宋_GB2312" w:eastAsia="小标宋"/>
          <w:b/>
          <w:bCs/>
          <w:color w:val="FF0000"/>
          <w:spacing w:val="-30"/>
          <w:w w:val="80"/>
          <w:sz w:val="98"/>
          <w:szCs w:val="98"/>
        </w:rPr>
        <w:t>北京市通州区体育局</w:t>
      </w:r>
    </w:p>
    <w:p>
      <w:pPr>
        <w:spacing w:line="240" w:lineRule="exact"/>
        <w:rPr>
          <w:b/>
          <w:color w:val="FF0000"/>
          <w:sz w:val="32"/>
          <w:szCs w:val="32"/>
          <w:u w:val="thick"/>
        </w:rPr>
      </w:pPr>
    </w:p>
    <w:p>
      <w:pPr>
        <w:spacing w:line="180" w:lineRule="exact"/>
        <w:rPr>
          <w:rFonts w:ascii="Calibri" w:hAnsi="Calibri"/>
          <w:b/>
          <w:color w:val="FF0000"/>
          <w:sz w:val="32"/>
          <w:szCs w:val="32"/>
          <w:u w:val="thick"/>
        </w:rPr>
      </w:pPr>
      <w:r>
        <w:rPr>
          <w:b/>
          <w:color w:val="FF0000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480" w:lineRule="exact"/>
        <w:rPr>
          <w:rFonts w:ascii="仿宋_GB2312" w:hAnsi="仿宋_GB2312" w:eastAsia="仿宋_GB2312"/>
          <w:sz w:val="32"/>
        </w:rPr>
      </w:pP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北京市通州区体育局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</w:rPr>
        <w:t>4年执法检查计划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履行行业监管职责，确保全区体育运动项目经营单位安全平稳运营，有效防范重、特大安全生产事故发生，根据北京市通州区体育局工作计划要求，结合全区体育运动项目经营单位实际情况，制订通州区体育局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4年执法检查工作计划。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  <w:szCs w:val="32"/>
        </w:rPr>
        <w:t>指导思想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黑体" w:hAnsi="宋体" w:eastAsia="黑体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认真贯彻落实习近平总书记关于安全生产的重要论述和市、区两级政府有关安全生产工作部署，严格履行行业安全生产监管职责，坚持年度执法计划与随机抽查工作相结合，通过强化执法检查力度，提高行政执法效能，进一步督促企业落实安全生产主体责任，有效防范和遏制较大以上事故、压减一般事故，为全区体育运动项目经营单位安全运营提供安全生产保障。</w:t>
      </w:r>
    </w:p>
    <w:p>
      <w:pPr>
        <w:pStyle w:val="12"/>
        <w:spacing w:line="4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中华人民共和国《安全生产法》、国家体育总局《经营高危险性体育项目许可管理办法》、《北京市全民健身条例》、《北京市体育运动项目经营单位安全生产规定》及《北京市单用途预付卡管理条例》等法律、法规及执法依据，坚持“安全第一、预防为主、综合治理”的方针，加强安全生产红线意识，强化政治自觉和责任自觉，加强对全区体育运动项目经营单位安全生产监督管理工作。按照“党政同责、一岗双责、失职追责”的要求，进一步推动、完善和细化安全稳定责任，认真履行行业安全监管职责，通过开展各项安全生产大检查和隐患排查整治，加强对全区体育运动项目经营单位的安全生产监管，遏制安全生产违法违规行为，消除安全隐患，落实防控措施，确保全区体育运动项目经营单位安全生产形势稳定。</w:t>
      </w: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三、执法工作计划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（一）工作日计算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4年全年共</w:t>
      </w:r>
      <w:r>
        <w:rPr>
          <w:rFonts w:ascii="仿宋_GB2312" w:eastAsia="仿宋_GB2312"/>
          <w:sz w:val="32"/>
          <w:szCs w:val="32"/>
        </w:rPr>
        <w:t>366</w:t>
      </w:r>
      <w:r>
        <w:rPr>
          <w:rFonts w:hint="eastAsia" w:ascii="仿宋_GB2312" w:eastAsia="仿宋_GB2312"/>
          <w:sz w:val="32"/>
          <w:szCs w:val="32"/>
        </w:rPr>
        <w:t>天，有</w:t>
      </w:r>
      <w:r>
        <w:rPr>
          <w:rFonts w:ascii="仿宋_GB2312" w:eastAsia="仿宋_GB2312"/>
          <w:sz w:val="32"/>
          <w:szCs w:val="32"/>
        </w:rPr>
        <w:t>53</w:t>
      </w:r>
      <w:r>
        <w:rPr>
          <w:rFonts w:hint="eastAsia" w:ascii="仿宋_GB2312" w:eastAsia="仿宋_GB2312"/>
          <w:sz w:val="32"/>
          <w:szCs w:val="32"/>
        </w:rPr>
        <w:t>周，国家法定工作日</w:t>
      </w:r>
      <w:r>
        <w:rPr>
          <w:rFonts w:ascii="仿宋_GB2312" w:eastAsia="仿宋_GB2312"/>
          <w:sz w:val="32"/>
          <w:szCs w:val="32"/>
        </w:rPr>
        <w:t>251</w:t>
      </w:r>
      <w:r>
        <w:rPr>
          <w:rFonts w:hint="eastAsia" w:ascii="仿宋_GB2312" w:eastAsia="仿宋_GB2312"/>
          <w:sz w:val="32"/>
          <w:szCs w:val="32"/>
        </w:rPr>
        <w:t>天，休息日</w:t>
      </w:r>
      <w:r>
        <w:rPr>
          <w:rFonts w:ascii="仿宋_GB2312" w:eastAsia="仿宋_GB2312"/>
          <w:sz w:val="32"/>
          <w:szCs w:val="32"/>
        </w:rPr>
        <w:t>115</w:t>
      </w:r>
      <w:r>
        <w:rPr>
          <w:rFonts w:hint="eastAsia" w:ascii="仿宋_GB2312" w:eastAsia="仿宋_GB2312"/>
          <w:sz w:val="32"/>
          <w:szCs w:val="32"/>
        </w:rPr>
        <w:t>天。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计划每周安全执法检查</w:t>
      </w:r>
      <w:r>
        <w:rPr>
          <w:rFonts w:ascii="仿宋_GB2312" w:eastAsia="仿宋_GB2312"/>
          <w:sz w:val="32"/>
          <w:szCs w:val="32"/>
        </w:rPr>
        <w:t>2到</w:t>
      </w:r>
      <w:r>
        <w:rPr>
          <w:rFonts w:hint="eastAsia" w:ascii="仿宋_GB2312" w:eastAsia="仿宋_GB2312"/>
          <w:sz w:val="32"/>
          <w:szCs w:val="32"/>
        </w:rPr>
        <w:t>3次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每次出动执法人员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人次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重要节点、重点时段加强执法检查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次，每月开展高危险性体育项目经营单位随机抽查2家次，年度开展部门联合双随机抽查20家次（部门联合抽查户数不低于本部门双随机抽查总户数的50%），全年实现在册体育运动项目经营单位安全执法检查全覆盖率100%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检查方式：日常执法检查、专项执法检查、全面执法检查。</w:t>
      </w:r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行政执法重点工作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通州区现有340家体育项目经营单位，含游泳场馆53家、青少年体育培训机构179家。涵盖体育健身、青少年体能、围棋、轮滑等多种项目，地理位置涵盖小区周边、商业综合体、文创产业园等各类经营场所。</w:t>
      </w:r>
    </w:p>
    <w:p>
      <w:pPr>
        <w:pStyle w:val="12"/>
        <w:spacing w:line="48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1</w:t>
      </w:r>
      <w:r>
        <w:rPr>
          <w:rFonts w:hint="eastAsia" w:ascii="仿宋_GB2312" w:eastAsia="仿宋_GB2312"/>
          <w:sz w:val="32"/>
          <w:szCs w:val="32"/>
        </w:rPr>
        <w:t>、根据季节特点加强安全生产检查工作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加强春、秋、冬季各体育运动项目经营单位防火、用电、燃气管道等的安全执法检查工作。重点加强对“多合一”、“三合一”、地下空间从事经营的体育运动项目单位安全执法检查工作。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加强夏季各游泳场馆的安全执法检查工作。重点检查全区游泳场馆游泳减溺工作，尤其是特种人员持证上岗情况。</w:t>
      </w:r>
    </w:p>
    <w:p>
      <w:pPr>
        <w:pStyle w:val="12"/>
        <w:spacing w:line="48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、根据市体育局、区安委会及防火安全委员会等相关部门要求，加强各类专项执法检查工作。</w:t>
      </w:r>
    </w:p>
    <w:p>
      <w:pPr>
        <w:pStyle w:val="12"/>
        <w:spacing w:line="48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</w:t>
      </w:r>
      <w:r>
        <w:rPr>
          <w:rFonts w:hint="eastAsia" w:ascii="仿宋_GB2312" w:eastAsia="仿宋_GB2312"/>
          <w:sz w:val="32"/>
          <w:szCs w:val="32"/>
        </w:rPr>
        <w:t>、强化各体育运动项目经营单位节假日及重要时段安全管理工作。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加强“元旦”、“春节”等传统节假日以及重要政治活动期间、重点时段的安全生产检查工作。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4、加强开展单预付卡日常监督检查。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5、加强与各职能部门联动协调，强化安全执法检查工作。</w:t>
      </w:r>
    </w:p>
    <w:p>
      <w:pPr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根据市体育局、区安委会、防火安全委员会等专项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督导检查工作结合全区体育运动项目经营单位实际情况，拟全年组织3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4次联合执法检查，解决执法检查工作中的重点、难点问题。</w:t>
      </w:r>
    </w:p>
    <w:p>
      <w:pPr>
        <w:pStyle w:val="12"/>
        <w:spacing w:line="480" w:lineRule="exact"/>
        <w:ind w:firstLine="0" w:firstLineChars="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四、加大安全生产宣传教育力度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《安全生产法》、《经营高危险性体育项目许可管理办法》、《北京市全民健身条例》、《北京市体育运动项目经营单位安全生产规定》、《北京市单用途预付卡管理条例》等法律、法规的宣传，依托区安委会“安全生产月”平台，深入各乡镇、街道办事处进行集中宣传，加强日常执法过程中的安全生产宣传教育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不断强化安全生产工作宣传力度。</w:t>
      </w:r>
    </w:p>
    <w:p>
      <w:pPr>
        <w:pStyle w:val="12"/>
        <w:spacing w:line="48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2"/>
        <w:spacing w:line="48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2"/>
        <w:spacing w:line="480" w:lineRule="exact"/>
        <w:ind w:left="1305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北京市通州区体育局</w:t>
      </w:r>
    </w:p>
    <w:p>
      <w:pPr>
        <w:pStyle w:val="12"/>
        <w:spacing w:line="480" w:lineRule="exact"/>
        <w:ind w:left="1305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</w:rPr>
        <w:t>4年1</w:t>
      </w:r>
      <w:r>
        <w:rPr>
          <w:rFonts w:ascii="仿宋_GB2312" w:eastAsia="仿宋_GB2312"/>
          <w:sz w:val="32"/>
          <w:szCs w:val="32"/>
        </w:rPr>
        <w:t>月</w:t>
      </w:r>
    </w:p>
    <w:p>
      <w:pPr>
        <w:pStyle w:val="2"/>
        <w:spacing w:line="600" w:lineRule="exact"/>
        <w:jc w:val="both"/>
        <w:rPr>
          <w:rFonts w:hAnsi="仿宋_GB2312"/>
          <w:sz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09" w:y="39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1658"/>
    <w:multiLevelType w:val="singleLevel"/>
    <w:tmpl w:val="58BE1658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8729A"/>
    <w:rsid w:val="000908EF"/>
    <w:rsid w:val="000C1993"/>
    <w:rsid w:val="001C76C2"/>
    <w:rsid w:val="00206118"/>
    <w:rsid w:val="002265EC"/>
    <w:rsid w:val="002C4E82"/>
    <w:rsid w:val="00300251"/>
    <w:rsid w:val="00306871"/>
    <w:rsid w:val="00395410"/>
    <w:rsid w:val="004028CD"/>
    <w:rsid w:val="004A3C2E"/>
    <w:rsid w:val="00580F88"/>
    <w:rsid w:val="005C58F5"/>
    <w:rsid w:val="00601379"/>
    <w:rsid w:val="006051FE"/>
    <w:rsid w:val="006C4050"/>
    <w:rsid w:val="006E2469"/>
    <w:rsid w:val="007F0A2E"/>
    <w:rsid w:val="00885AAA"/>
    <w:rsid w:val="008A36B9"/>
    <w:rsid w:val="008D6355"/>
    <w:rsid w:val="008D7154"/>
    <w:rsid w:val="00A248D4"/>
    <w:rsid w:val="00AC340B"/>
    <w:rsid w:val="00B8420B"/>
    <w:rsid w:val="00BD11E8"/>
    <w:rsid w:val="00C46882"/>
    <w:rsid w:val="00C91C7A"/>
    <w:rsid w:val="00CD3BC0"/>
    <w:rsid w:val="00D135DF"/>
    <w:rsid w:val="00DF2AA0"/>
    <w:rsid w:val="00E478C1"/>
    <w:rsid w:val="00E84BAC"/>
    <w:rsid w:val="00F110AB"/>
    <w:rsid w:val="00FC5681"/>
    <w:rsid w:val="11B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pPr>
      <w:jc w:val="center"/>
    </w:pPr>
    <w:rPr>
      <w:rFonts w:ascii="仿宋_GB2312" w:eastAsia="仿宋_GB2312"/>
      <w:sz w:val="4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uiPriority w:val="99"/>
    <w:rPr>
      <w:rFonts w:cs="Times New Roman"/>
    </w:rPr>
  </w:style>
  <w:style w:type="paragraph" w:styleId="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脚 Char"/>
    <w:link w:val="3"/>
    <w:locked/>
    <w:uiPriority w:val="99"/>
    <w:rPr>
      <w:rFonts w:ascii="Times New Roman" w:hAnsi="Times New Roman" w:eastAsia="宋体" w:cs="Times New Roman"/>
      <w:spacing w:val="0"/>
      <w:sz w:val="20"/>
      <w:szCs w:val="20"/>
    </w:rPr>
  </w:style>
  <w:style w:type="character" w:customStyle="1" w:styleId="11">
    <w:name w:val="正文文本 Char"/>
    <w:link w:val="2"/>
    <w:locked/>
    <w:uiPriority w:val="99"/>
    <w:rPr>
      <w:rFonts w:ascii="仿宋_GB2312" w:hAnsi="Times New Roman" w:cs="Times New Roman"/>
      <w:spacing w:val="0"/>
      <w:sz w:val="20"/>
      <w:szCs w:val="20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  <w:style w:type="character" w:customStyle="1" w:styleId="13">
    <w:name w:val="页眉 Char"/>
    <w:basedOn w:val="7"/>
    <w:link w:val="4"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2024-03-11T09:49:00Z</dcterms:created>
  <dc:creator>薛静</dc:creator>
  <cp:lastModifiedBy>勿著</cp:lastModifiedBy>
  <cp:lastPrinted>2020-01-14T02:26:00Z</cp:lastPrinted>
  <dcterms:modified xsi:type="dcterms:W3CDTF">2024-03-12T06:00:56Z</dcterms:modified>
  <dc:title>北京市通州区体育局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