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方正小标宋简体" w:hAnsi="方正小标宋简体" w:eastAsia="方正小标宋简体" w:cs="方正小标宋简体"/>
          <w:b w:val="0"/>
          <w:i w:val="0"/>
          <w:caps w:val="0"/>
          <w:color w:val="000000"/>
          <w:spacing w:val="0"/>
          <w:sz w:val="36"/>
          <w:szCs w:val="36"/>
          <w:shd w:val="clear" w:color="auto" w:fill="FFFFFF"/>
        </w:rPr>
      </w:pPr>
      <w:r>
        <w:rPr>
          <w:rFonts w:hint="eastAsia" w:ascii="方正小标宋简体" w:hAnsi="方正小标宋简体" w:eastAsia="方正小标宋简体" w:cs="方正小标宋简体"/>
          <w:b w:val="0"/>
          <w:i w:val="0"/>
          <w:caps w:val="0"/>
          <w:color w:val="000000"/>
          <w:spacing w:val="0"/>
          <w:sz w:val="36"/>
          <w:szCs w:val="36"/>
          <w:shd w:val="clear" w:color="auto" w:fill="FFFFFF"/>
        </w:rPr>
        <w:t>关于印发《</w:t>
      </w:r>
      <w:r>
        <w:rPr>
          <w:rFonts w:hint="eastAsia" w:ascii="方正小标宋简体" w:hAnsi="方正小标宋简体" w:eastAsia="方正小标宋简体" w:cs="方正小标宋简体"/>
          <w:b w:val="0"/>
          <w:i w:val="0"/>
          <w:caps w:val="0"/>
          <w:color w:val="000000"/>
          <w:spacing w:val="0"/>
          <w:sz w:val="36"/>
          <w:szCs w:val="36"/>
          <w:shd w:val="clear" w:color="auto" w:fill="FFFFFF"/>
          <w:lang w:eastAsia="zh-CN"/>
        </w:rPr>
        <w:t>北京城市副中心</w:t>
      </w:r>
      <w:r>
        <w:rPr>
          <w:rFonts w:hint="eastAsia" w:ascii="方正小标宋简体" w:hAnsi="方正小标宋简体" w:eastAsia="方正小标宋简体" w:cs="方正小标宋简体"/>
          <w:b w:val="0"/>
          <w:i w:val="0"/>
          <w:caps w:val="0"/>
          <w:color w:val="000000"/>
          <w:spacing w:val="0"/>
          <w:sz w:val="36"/>
          <w:szCs w:val="36"/>
          <w:shd w:val="clear" w:color="auto" w:fill="FFFFFF"/>
        </w:rPr>
        <w:t>企业安全生产标准化建设“</w:t>
      </w:r>
      <w:r>
        <w:rPr>
          <w:rFonts w:hint="eastAsia" w:ascii="方正小标宋简体" w:hAnsi="方正小标宋简体" w:eastAsia="方正小标宋简体" w:cs="方正小标宋简体"/>
          <w:b w:val="0"/>
          <w:i w:val="0"/>
          <w:caps w:val="0"/>
          <w:color w:val="000000"/>
          <w:spacing w:val="0"/>
          <w:sz w:val="36"/>
          <w:szCs w:val="36"/>
          <w:shd w:val="clear" w:color="auto" w:fill="FFFFFF"/>
          <w:lang w:eastAsia="zh-CN"/>
        </w:rPr>
        <w:t>十二条</w:t>
      </w:r>
      <w:r>
        <w:rPr>
          <w:rFonts w:hint="eastAsia" w:ascii="方正小标宋简体" w:hAnsi="方正小标宋简体" w:eastAsia="方正小标宋简体" w:cs="方正小标宋简体"/>
          <w:b w:val="0"/>
          <w:i w:val="0"/>
          <w:caps w:val="0"/>
          <w:color w:val="000000"/>
          <w:spacing w:val="0"/>
          <w:sz w:val="36"/>
          <w:szCs w:val="36"/>
          <w:shd w:val="clear" w:color="auto" w:fill="FFFFFF"/>
        </w:rPr>
        <w:t>”激励措施》的通知</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jc w:val="center"/>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（报审稿）</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420"/>
        <w:jc w:val="both"/>
        <w:textAlignment w:val="auto"/>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 </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FFFFFF"/>
        </w:rPr>
        <w:t>为进一步优化</w:t>
      </w:r>
      <w:r>
        <w:rPr>
          <w:rFonts w:hint="eastAsia" w:ascii="仿宋_GB2312" w:hAnsi="仿宋_GB2312" w:eastAsia="仿宋_GB2312" w:cs="仿宋_GB2312"/>
          <w:b w:val="0"/>
          <w:i w:val="0"/>
          <w:caps w:val="0"/>
          <w:color w:val="000000"/>
          <w:spacing w:val="0"/>
          <w:sz w:val="32"/>
          <w:szCs w:val="32"/>
          <w:shd w:val="clear" w:color="auto" w:fill="FFFFFF"/>
          <w:lang w:eastAsia="zh-CN"/>
        </w:rPr>
        <w:t>北京城市副中心</w:t>
      </w:r>
      <w:r>
        <w:rPr>
          <w:rFonts w:hint="eastAsia" w:ascii="仿宋_GB2312" w:hAnsi="仿宋_GB2312" w:eastAsia="仿宋_GB2312" w:cs="仿宋_GB2312"/>
          <w:b w:val="0"/>
          <w:i w:val="0"/>
          <w:caps w:val="0"/>
          <w:color w:val="000000"/>
          <w:spacing w:val="0"/>
          <w:sz w:val="32"/>
          <w:szCs w:val="32"/>
          <w:shd w:val="clear" w:color="auto" w:fill="FFFFFF"/>
        </w:rPr>
        <w:t>安全生产领域营商环境，全面推进企业安全生产标准化建设，</w:t>
      </w:r>
      <w:r>
        <w:rPr>
          <w:rFonts w:hint="eastAsia" w:ascii="仿宋_GB2312" w:hAnsi="仿宋_GB2312" w:eastAsia="仿宋_GB2312" w:cs="仿宋_GB2312"/>
          <w:b w:val="0"/>
          <w:i w:val="0"/>
          <w:caps w:val="0"/>
          <w:color w:val="000000"/>
          <w:spacing w:val="0"/>
          <w:sz w:val="32"/>
          <w:szCs w:val="32"/>
          <w:shd w:val="clear" w:color="auto" w:fill="FFFFFF"/>
          <w:lang w:eastAsia="zh-CN"/>
        </w:rPr>
        <w:t>有效</w:t>
      </w:r>
      <w:r>
        <w:rPr>
          <w:rFonts w:hint="eastAsia" w:ascii="仿宋_GB2312" w:hAnsi="仿宋_GB2312" w:eastAsia="仿宋_GB2312" w:cs="仿宋_GB2312"/>
          <w:b w:val="0"/>
          <w:i w:val="0"/>
          <w:caps w:val="0"/>
          <w:color w:val="000000"/>
          <w:spacing w:val="0"/>
          <w:sz w:val="32"/>
          <w:szCs w:val="32"/>
          <w:shd w:val="clear" w:color="auto" w:fill="FFFFFF"/>
        </w:rPr>
        <w:t>调动企业达标创建积极性，提高企业本质安全水平，</w:t>
      </w:r>
      <w:r>
        <w:rPr>
          <w:rFonts w:hint="eastAsia" w:ascii="仿宋_GB2312" w:hAnsi="仿宋_GB2312" w:eastAsia="仿宋_GB2312" w:cs="仿宋_GB2312"/>
          <w:b w:val="0"/>
          <w:i w:val="0"/>
          <w:caps w:val="0"/>
          <w:color w:val="000000"/>
          <w:spacing w:val="0"/>
          <w:sz w:val="32"/>
          <w:szCs w:val="32"/>
          <w:shd w:val="clear" w:color="auto" w:fill="FFFFFF"/>
          <w:lang w:eastAsia="zh-CN"/>
        </w:rPr>
        <w:t>促进北京城市副中心高质量发展，结合工作实际，</w:t>
      </w:r>
      <w:r>
        <w:rPr>
          <w:rFonts w:hint="eastAsia" w:ascii="仿宋_GB2312" w:hAnsi="仿宋_GB2312" w:eastAsia="仿宋_GB2312" w:cs="仿宋_GB2312"/>
          <w:b w:val="0"/>
          <w:i w:val="0"/>
          <w:caps w:val="0"/>
          <w:color w:val="000000"/>
          <w:spacing w:val="0"/>
          <w:sz w:val="32"/>
          <w:szCs w:val="32"/>
          <w:shd w:val="clear" w:color="auto" w:fill="FFFFFF"/>
        </w:rPr>
        <w:t>制定以下激励政策：</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b w:val="0"/>
          <w:i w:val="0"/>
          <w:caps w:val="0"/>
          <w:color w:val="000000"/>
          <w:spacing w:val="0"/>
          <w:sz w:val="32"/>
          <w:szCs w:val="32"/>
          <w:shd w:val="clear" w:color="auto" w:fill="FFFFFF"/>
          <w:lang w:eastAsia="zh-CN"/>
        </w:rPr>
        <w:t>一</w:t>
      </w:r>
      <w:r>
        <w:rPr>
          <w:rFonts w:hint="eastAsia" w:ascii="黑体" w:hAnsi="黑体" w:eastAsia="黑体" w:cs="黑体"/>
          <w:b w:val="0"/>
          <w:i w:val="0"/>
          <w:caps w:val="0"/>
          <w:color w:val="000000"/>
          <w:spacing w:val="0"/>
          <w:sz w:val="32"/>
          <w:szCs w:val="32"/>
          <w:shd w:val="clear" w:color="auto" w:fill="FFFFFF"/>
        </w:rPr>
        <w:t>、</w:t>
      </w:r>
      <w:r>
        <w:rPr>
          <w:rStyle w:val="8"/>
          <w:rFonts w:hint="eastAsia" w:ascii="黑体" w:hAnsi="黑体" w:eastAsia="黑体" w:cs="黑体"/>
          <w:i w:val="0"/>
          <w:caps w:val="0"/>
          <w:color w:val="000000"/>
          <w:spacing w:val="0"/>
          <w:sz w:val="32"/>
          <w:szCs w:val="32"/>
          <w:shd w:val="clear" w:color="auto" w:fill="FFFFFF"/>
        </w:rPr>
        <w:t>将企业安全生产标准化达标情况与工伤保险费率相挂钩</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default" w:ascii="仿宋_GB2312" w:hAnsi="仿宋_GB2312" w:eastAsia="仿宋_GB2312" w:cs="仿宋_GB2312"/>
          <w:b w:val="0"/>
          <w:i w:val="0"/>
          <w:caps w:val="0"/>
          <w:color w:val="000000"/>
          <w:spacing w:val="0"/>
          <w:sz w:val="32"/>
          <w:szCs w:val="32"/>
          <w:shd w:val="clear" w:color="auto" w:fill="FFFFFF"/>
          <w:lang w:val="en-US" w:eastAsia="zh-CN"/>
        </w:rPr>
        <w:t>用人单位在被评为一级、二级安全生产标准化企业后，连续三年工伤保险基金支付费用零增长的，缴费费率下浮一档</w:t>
      </w:r>
      <w:r>
        <w:rPr>
          <w:rFonts w:hint="eastAsia" w:ascii="仿宋_GB2312" w:hAnsi="仿宋_GB2312" w:eastAsia="仿宋_GB2312" w:cs="仿宋_GB2312"/>
          <w:b w:val="0"/>
          <w:i w:val="0"/>
          <w:caps w:val="0"/>
          <w:color w:val="000000"/>
          <w:spacing w:val="0"/>
          <w:sz w:val="32"/>
          <w:szCs w:val="32"/>
          <w:shd w:val="clear" w:color="auto" w:fill="FFFFFF"/>
          <w:lang w:val="en-US" w:eastAsia="zh-CN"/>
        </w:rPr>
        <w:t>。</w:t>
      </w:r>
      <w:r>
        <w:rPr>
          <w:rFonts w:hint="default" w:ascii="仿宋_GB2312" w:hAnsi="仿宋_GB2312" w:eastAsia="仿宋_GB2312" w:cs="仿宋_GB2312"/>
          <w:b w:val="0"/>
          <w:i w:val="0"/>
          <w:caps w:val="0"/>
          <w:color w:val="000000"/>
          <w:spacing w:val="0"/>
          <w:sz w:val="32"/>
          <w:szCs w:val="32"/>
          <w:shd w:val="clear" w:color="auto" w:fill="FFFFFF"/>
          <w:lang w:val="en-US" w:eastAsia="zh-CN"/>
        </w:rPr>
        <w:t>缴费费率下浮后，发生工伤保险基金支付费用增长的，恢复原缴费费率。</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w:t>
      </w:r>
      <w:r>
        <w:rPr>
          <w:rFonts w:hint="default" w:ascii="仿宋_GB2312" w:hAnsi="仿宋_GB2312" w:eastAsia="仿宋_GB2312" w:cs="仿宋_GB2312"/>
          <w:color w:val="auto"/>
          <w:sz w:val="32"/>
          <w:szCs w:val="32"/>
          <w:u w:val="none"/>
          <w:lang w:val="en-US" w:eastAsia="zh-CN"/>
        </w:rPr>
        <w:t>区人力资源社会保障局</w:t>
      </w:r>
      <w:r>
        <w:rPr>
          <w:rFonts w:hint="eastAsia" w:ascii="仿宋_GB2312" w:hAnsi="仿宋_GB2312" w:eastAsia="仿宋_GB2312" w:cs="仿宋_GB2312"/>
          <w:b w:val="0"/>
          <w:i w:val="0"/>
          <w:caps w:val="0"/>
          <w:color w:val="000000"/>
          <w:spacing w:val="0"/>
          <w:sz w:val="32"/>
          <w:szCs w:val="32"/>
          <w:shd w:val="clear" w:color="auto" w:fill="FFFFFF"/>
          <w:lang w:val="en-US" w:eastAsia="zh-CN"/>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Style w:val="8"/>
          <w:rFonts w:hint="eastAsia" w:ascii="黑体" w:hAnsi="黑体" w:eastAsia="黑体" w:cs="黑体"/>
          <w:i w:val="0"/>
          <w:caps w:val="0"/>
          <w:color w:val="000000"/>
          <w:spacing w:val="0"/>
          <w:sz w:val="32"/>
          <w:szCs w:val="32"/>
          <w:shd w:val="clear" w:color="auto" w:fill="FFFFFF"/>
        </w:rPr>
      </w:pPr>
      <w:r>
        <w:rPr>
          <w:rStyle w:val="8"/>
          <w:rFonts w:hint="eastAsia" w:ascii="黑体" w:hAnsi="黑体" w:eastAsia="黑体" w:cs="黑体"/>
          <w:i w:val="0"/>
          <w:caps w:val="0"/>
          <w:color w:val="000000"/>
          <w:spacing w:val="0"/>
          <w:sz w:val="32"/>
          <w:szCs w:val="32"/>
          <w:shd w:val="clear" w:color="auto" w:fill="FFFFFF"/>
          <w:lang w:eastAsia="zh-CN"/>
        </w:rPr>
        <w:t>二</w:t>
      </w:r>
      <w:r>
        <w:rPr>
          <w:rStyle w:val="8"/>
          <w:rFonts w:hint="eastAsia" w:ascii="黑体" w:hAnsi="黑体" w:eastAsia="黑体" w:cs="黑体"/>
          <w:i w:val="0"/>
          <w:caps w:val="0"/>
          <w:color w:val="000000"/>
          <w:spacing w:val="0"/>
          <w:sz w:val="32"/>
          <w:szCs w:val="32"/>
          <w:shd w:val="clear" w:color="auto" w:fill="FFFFFF"/>
        </w:rPr>
        <w:t>、将企业安全生产标准化达标情况与</w:t>
      </w:r>
      <w:r>
        <w:rPr>
          <w:rStyle w:val="8"/>
          <w:rFonts w:hint="eastAsia" w:ascii="黑体" w:hAnsi="黑体" w:eastAsia="黑体" w:cs="黑体"/>
          <w:i w:val="0"/>
          <w:caps w:val="0"/>
          <w:color w:val="000000"/>
          <w:spacing w:val="0"/>
          <w:sz w:val="32"/>
          <w:szCs w:val="32"/>
          <w:shd w:val="clear" w:color="auto" w:fill="FFFFFF"/>
          <w:lang w:eastAsia="zh-CN"/>
        </w:rPr>
        <w:t>安责险</w:t>
      </w:r>
      <w:r>
        <w:rPr>
          <w:rStyle w:val="8"/>
          <w:rFonts w:hint="eastAsia" w:ascii="黑体" w:hAnsi="黑体" w:eastAsia="黑体" w:cs="黑体"/>
          <w:i w:val="0"/>
          <w:caps w:val="0"/>
          <w:color w:val="000000"/>
          <w:spacing w:val="0"/>
          <w:sz w:val="32"/>
          <w:szCs w:val="32"/>
          <w:shd w:val="clear" w:color="auto" w:fill="FFFFFF"/>
        </w:rPr>
        <w:t>保险费率</w:t>
      </w:r>
      <w:r>
        <w:rPr>
          <w:rStyle w:val="8"/>
          <w:rFonts w:hint="eastAsia" w:ascii="黑体" w:hAnsi="黑体" w:eastAsia="黑体" w:cs="黑体"/>
          <w:i w:val="0"/>
          <w:caps w:val="0"/>
          <w:color w:val="000000"/>
          <w:spacing w:val="0"/>
          <w:sz w:val="32"/>
          <w:szCs w:val="32"/>
          <w:shd w:val="clear" w:color="auto" w:fill="FFFFFF"/>
          <w:lang w:eastAsia="zh-CN"/>
        </w:rPr>
        <w:t>相</w:t>
      </w:r>
      <w:r>
        <w:rPr>
          <w:rStyle w:val="8"/>
          <w:rFonts w:hint="eastAsia" w:ascii="黑体" w:hAnsi="黑体" w:eastAsia="黑体" w:cs="黑体"/>
          <w:i w:val="0"/>
          <w:caps w:val="0"/>
          <w:color w:val="000000"/>
          <w:spacing w:val="0"/>
          <w:sz w:val="32"/>
          <w:szCs w:val="32"/>
          <w:shd w:val="clear" w:color="auto" w:fill="FFFFFF"/>
        </w:rPr>
        <w:t>挂钩</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rPr>
        <w:t>对安全生产标准化达标企业购买安全生产责任保险的，根据企业标准化不同等级相应下浮保险费率，原则上一级、二级、三级标准化达标企业分别下浮</w:t>
      </w:r>
      <w:r>
        <w:rPr>
          <w:rFonts w:hint="eastAsia" w:ascii="仿宋_GB2312" w:hAnsi="仿宋_GB2312" w:eastAsia="仿宋_GB2312" w:cs="仿宋_GB2312"/>
          <w:b w:val="0"/>
          <w:i w:val="0"/>
          <w:caps w:val="0"/>
          <w:color w:val="000000"/>
          <w:spacing w:val="0"/>
          <w:sz w:val="32"/>
          <w:szCs w:val="32"/>
          <w:shd w:val="clear" w:color="auto" w:fill="FFFFFF"/>
          <w:lang w:val="en-US" w:eastAsia="zh-CN"/>
        </w:rPr>
        <w:t>20%、15%、10%</w:t>
      </w:r>
      <w:r>
        <w:rPr>
          <w:rFonts w:hint="eastAsia" w:ascii="仿宋_GB2312" w:hAnsi="仿宋_GB2312" w:eastAsia="仿宋_GB2312" w:cs="仿宋_GB2312"/>
          <w:b w:val="0"/>
          <w:i w:val="0"/>
          <w:caps w:val="0"/>
          <w:color w:val="000000"/>
          <w:spacing w:val="0"/>
          <w:sz w:val="32"/>
          <w:szCs w:val="32"/>
          <w:shd w:val="clear" w:color="auto" w:fill="FFFFFF"/>
          <w:lang w:eastAsia="zh-CN"/>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420"/>
        <w:jc w:val="both"/>
        <w:textAlignment w:val="auto"/>
        <w:rPr>
          <w:rFonts w:hint="eastAsia" w:ascii="仿宋" w:hAnsi="仿宋" w:eastAsia="仿宋" w:cs="仿宋"/>
          <w:b/>
          <w:bCs/>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Style w:val="8"/>
          <w:rFonts w:hint="eastAsia" w:ascii="黑体" w:hAnsi="黑体" w:eastAsia="黑体" w:cs="黑体"/>
          <w:i w:val="0"/>
          <w:caps w:val="0"/>
          <w:color w:val="000000"/>
          <w:spacing w:val="0"/>
          <w:sz w:val="32"/>
          <w:szCs w:val="32"/>
          <w:shd w:val="clear" w:color="auto" w:fill="FFFFFF"/>
        </w:rPr>
      </w:pPr>
      <w:r>
        <w:rPr>
          <w:rStyle w:val="8"/>
          <w:rFonts w:hint="eastAsia" w:ascii="黑体" w:hAnsi="黑体" w:eastAsia="黑体" w:cs="黑体"/>
          <w:i w:val="0"/>
          <w:caps w:val="0"/>
          <w:color w:val="000000"/>
          <w:spacing w:val="0"/>
          <w:sz w:val="32"/>
          <w:szCs w:val="32"/>
          <w:shd w:val="clear" w:color="auto" w:fill="FFFFFF"/>
          <w:lang w:eastAsia="zh-CN"/>
        </w:rPr>
        <w:t>三</w:t>
      </w:r>
      <w:r>
        <w:rPr>
          <w:rStyle w:val="8"/>
          <w:rFonts w:hint="eastAsia" w:ascii="黑体" w:hAnsi="黑体" w:eastAsia="黑体" w:cs="黑体"/>
          <w:i w:val="0"/>
          <w:caps w:val="0"/>
          <w:color w:val="000000"/>
          <w:spacing w:val="0"/>
          <w:sz w:val="32"/>
          <w:szCs w:val="32"/>
          <w:shd w:val="clear" w:color="auto" w:fill="FFFFFF"/>
        </w:rPr>
        <w:t>、将企业安全生产标准化达标情况与税收抵免</w:t>
      </w:r>
      <w:r>
        <w:rPr>
          <w:rStyle w:val="8"/>
          <w:rFonts w:hint="eastAsia" w:ascii="黑体" w:hAnsi="黑体" w:eastAsia="黑体" w:cs="黑体"/>
          <w:i w:val="0"/>
          <w:caps w:val="0"/>
          <w:color w:val="000000"/>
          <w:spacing w:val="0"/>
          <w:sz w:val="32"/>
          <w:szCs w:val="32"/>
          <w:shd w:val="clear" w:color="auto" w:fill="FFFFFF"/>
          <w:lang w:eastAsia="zh-CN"/>
        </w:rPr>
        <w:t>相</w:t>
      </w:r>
      <w:r>
        <w:rPr>
          <w:rStyle w:val="8"/>
          <w:rFonts w:hint="eastAsia" w:ascii="黑体" w:hAnsi="黑体" w:eastAsia="黑体" w:cs="黑体"/>
          <w:i w:val="0"/>
          <w:caps w:val="0"/>
          <w:color w:val="000000"/>
          <w:spacing w:val="0"/>
          <w:sz w:val="32"/>
          <w:szCs w:val="32"/>
          <w:shd w:val="clear" w:color="auto" w:fill="FFFFFF"/>
        </w:rPr>
        <w:t>挂钩</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安全生产标准化达标企业因安全管理工作需要，购置并实际使用《安全生产专用设备企业所得税优惠目录（2018版）》明确的安全生产专用设备，按专用设备投资额的10%抵免当年企业所得税应纳税额，企业当年应纳税额不足抵免的，可在以后5个纳税年度结转抵免；2024年1月1日-2027年12月31日期间对《安全生产专用设备企业所得税优惠目录（2018版）》明确的安全生产专用设备进行数字化智能化改造投入，不超过该专用设备购置时原计税基础50%的部分，可按照10%比例抵免企业当年应纳税额；企业当年应纳税额不足抵免的，可在5个纳税年度内结转抵免。</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责任单位：国家税务总局北京市通州区税务局</w:t>
      </w:r>
      <w:r>
        <w:rPr>
          <w:rFonts w:hint="eastAsia" w:ascii="仿宋_GB2312" w:hAnsi="仿宋_GB2312" w:eastAsia="仿宋_GB2312" w:cs="仿宋_GB2312"/>
          <w:b w:val="0"/>
          <w:i w:val="0"/>
          <w:caps w:val="0"/>
          <w:color w:val="000000"/>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sz w:val="32"/>
          <w:szCs w:val="32"/>
        </w:rPr>
      </w:pPr>
      <w:r>
        <w:rPr>
          <w:rStyle w:val="8"/>
          <w:rFonts w:hint="eastAsia" w:ascii="黑体" w:hAnsi="黑体" w:eastAsia="黑体" w:cs="黑体"/>
          <w:i w:val="0"/>
          <w:caps w:val="0"/>
          <w:color w:val="000000"/>
          <w:spacing w:val="0"/>
          <w:sz w:val="32"/>
          <w:szCs w:val="32"/>
          <w:shd w:val="clear" w:color="auto" w:fill="FFFFFF"/>
          <w:lang w:eastAsia="zh-CN"/>
        </w:rPr>
        <w:t>四</w:t>
      </w:r>
      <w:r>
        <w:rPr>
          <w:rStyle w:val="8"/>
          <w:rFonts w:hint="eastAsia" w:ascii="黑体" w:hAnsi="黑体" w:eastAsia="黑体" w:cs="黑体"/>
          <w:i w:val="0"/>
          <w:caps w:val="0"/>
          <w:color w:val="000000"/>
          <w:spacing w:val="0"/>
          <w:sz w:val="32"/>
          <w:szCs w:val="32"/>
          <w:shd w:val="clear" w:color="auto" w:fill="FFFFFF"/>
        </w:rPr>
        <w:t>、将企业安全生产标准化达标情况与企业信用管理相</w:t>
      </w:r>
      <w:r>
        <w:rPr>
          <w:rStyle w:val="8"/>
          <w:rFonts w:hint="eastAsia" w:ascii="黑体" w:hAnsi="黑体" w:eastAsia="黑体" w:cs="黑体"/>
          <w:i w:val="0"/>
          <w:caps w:val="0"/>
          <w:color w:val="000000"/>
          <w:spacing w:val="0"/>
          <w:kern w:val="0"/>
          <w:sz w:val="32"/>
          <w:szCs w:val="32"/>
          <w:shd w:val="clear" w:color="auto" w:fill="FFFFFF"/>
          <w:lang w:val="en-US" w:eastAsia="zh-CN" w:bidi="ar-SA"/>
        </w:rPr>
        <w:t>挂钩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FF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将企业安全生产</w:t>
      </w:r>
      <w:r>
        <w:rPr>
          <w:rFonts w:hint="eastAsia" w:ascii="仿宋_GB2312" w:hAnsi="仿宋_GB2312" w:eastAsia="仿宋_GB2312" w:cs="仿宋_GB2312"/>
          <w:b w:val="0"/>
          <w:i w:val="0"/>
          <w:caps w:val="0"/>
          <w:color w:val="000000"/>
          <w:spacing w:val="0"/>
          <w:sz w:val="32"/>
          <w:szCs w:val="32"/>
          <w:shd w:val="clear" w:color="auto" w:fill="FFFFFF"/>
          <w:lang w:eastAsia="zh-CN"/>
        </w:rPr>
        <w:t>标准化</w:t>
      </w:r>
      <w:r>
        <w:rPr>
          <w:rFonts w:hint="eastAsia" w:ascii="仿宋_GB2312" w:hAnsi="仿宋_GB2312" w:eastAsia="仿宋_GB2312" w:cs="仿宋_GB2312"/>
          <w:b w:val="0"/>
          <w:i w:val="0"/>
          <w:caps w:val="0"/>
          <w:color w:val="000000"/>
          <w:spacing w:val="0"/>
          <w:sz w:val="32"/>
          <w:szCs w:val="32"/>
          <w:shd w:val="clear" w:color="auto" w:fill="FFFFFF"/>
        </w:rPr>
        <w:t>达标情况纳入</w:t>
      </w:r>
      <w:r>
        <w:rPr>
          <w:rFonts w:hint="eastAsia" w:ascii="仿宋_GB2312" w:hAnsi="仿宋_GB2312" w:eastAsia="仿宋_GB2312" w:cs="仿宋_GB2312"/>
          <w:b w:val="0"/>
          <w:i w:val="0"/>
          <w:caps w:val="0"/>
          <w:color w:val="000000"/>
          <w:spacing w:val="0"/>
          <w:sz w:val="32"/>
          <w:szCs w:val="32"/>
          <w:shd w:val="clear" w:color="auto" w:fill="FFFFFF"/>
          <w:lang w:eastAsia="zh-CN"/>
        </w:rPr>
        <w:t>北京市企业信用信息网（北京市企业信用信息公示系统）</w:t>
      </w:r>
      <w:r>
        <w:rPr>
          <w:rFonts w:hint="eastAsia" w:ascii="仿宋_GB2312" w:hAnsi="仿宋_GB2312" w:eastAsia="仿宋_GB2312" w:cs="仿宋_GB2312"/>
          <w:b w:val="0"/>
          <w:i w:val="0"/>
          <w:caps w:val="0"/>
          <w:color w:val="000000"/>
          <w:spacing w:val="0"/>
          <w:sz w:val="32"/>
          <w:szCs w:val="32"/>
          <w:shd w:val="clear" w:color="auto" w:fill="FFFFFF"/>
          <w:lang w:val="en" w:eastAsia="zh-CN"/>
        </w:rPr>
        <w:t>，</w:t>
      </w:r>
      <w:r>
        <w:rPr>
          <w:rFonts w:hint="eastAsia" w:ascii="仿宋_GB2312" w:hAnsi="仿宋_GB2312" w:eastAsia="仿宋_GB2312" w:cs="仿宋_GB2312"/>
          <w:b w:val="0"/>
          <w:i w:val="0"/>
          <w:caps w:val="0"/>
          <w:color w:val="000000"/>
          <w:spacing w:val="0"/>
          <w:sz w:val="32"/>
          <w:szCs w:val="32"/>
          <w:shd w:val="clear" w:color="auto" w:fill="FFFFFF"/>
          <w:lang w:eastAsia="zh-CN"/>
        </w:rPr>
        <w:t>作为事中事后监管的重要参考和依据。在北京市通州区人民政府门户网站和北京市企业信用信息网实时公布企业安全生产标准化</w:t>
      </w:r>
      <w:r>
        <w:rPr>
          <w:rFonts w:hint="eastAsia" w:ascii="仿宋_GB2312" w:hAnsi="仿宋_GB2312" w:eastAsia="仿宋_GB2312" w:cs="仿宋_GB2312"/>
          <w:b w:val="0"/>
          <w:i w:val="0"/>
          <w:caps w:val="0"/>
          <w:color w:val="000000"/>
          <w:spacing w:val="0"/>
          <w:sz w:val="32"/>
          <w:szCs w:val="32"/>
          <w:shd w:val="clear" w:color="auto" w:fill="FFFFFF"/>
        </w:rPr>
        <w:t>达标信息，实现信息查询、公示服务、许可协同和监管联动。</w:t>
      </w:r>
      <w:r>
        <w:rPr>
          <w:rFonts w:hint="eastAsia" w:ascii="仿宋_GB2312" w:hAnsi="仿宋_GB2312" w:eastAsia="仿宋_GB2312" w:cs="仿宋_GB2312"/>
          <w:b w:val="0"/>
          <w:i w:val="0"/>
          <w:caps w:val="0"/>
          <w:color w:val="auto"/>
          <w:spacing w:val="0"/>
          <w:sz w:val="32"/>
          <w:szCs w:val="32"/>
          <w:shd w:val="clear" w:color="auto" w:fill="auto"/>
          <w:lang w:eastAsia="zh-CN"/>
        </w:rPr>
        <w:t>对安全生产标准化达标企业符合信用修复条件的，按规定程序办理。</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责任单位：区市场监管局、区经济和信息化局、区应急管理局</w:t>
      </w:r>
      <w:r>
        <w:rPr>
          <w:rFonts w:hint="eastAsia" w:ascii="仿宋_GB2312" w:hAnsi="仿宋_GB2312" w:eastAsia="仿宋_GB2312" w:cs="仿宋_GB2312"/>
          <w:b w:val="0"/>
          <w:i w:val="0"/>
          <w:caps w:val="0"/>
          <w:color w:val="000000"/>
          <w:spacing w:val="0"/>
          <w:sz w:val="32"/>
          <w:szCs w:val="32"/>
          <w:shd w:val="clear" w:color="auto" w:fill="FFFFFF"/>
          <w:lang w:eastAsia="zh-CN"/>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i w:val="0"/>
          <w:caps w:val="0"/>
          <w:color w:val="000000"/>
          <w:spacing w:val="0"/>
          <w:sz w:val="32"/>
          <w:szCs w:val="32"/>
          <w:shd w:val="clear" w:color="auto" w:fill="FFFFFF"/>
          <w:lang w:eastAsia="zh-CN"/>
        </w:rPr>
        <w:t>五</w:t>
      </w:r>
      <w:r>
        <w:rPr>
          <w:rStyle w:val="8"/>
          <w:rFonts w:hint="eastAsia" w:ascii="黑体" w:hAnsi="黑体" w:eastAsia="黑体" w:cs="黑体"/>
          <w:i w:val="0"/>
          <w:caps w:val="0"/>
          <w:color w:val="000000"/>
          <w:spacing w:val="0"/>
          <w:sz w:val="32"/>
          <w:szCs w:val="32"/>
          <w:shd w:val="clear" w:color="auto" w:fill="FFFFFF"/>
        </w:rPr>
        <w:t>、将企业安全生产标准化达标情况与评先创优相挂钩</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b w:val="0"/>
          <w:i w:val="0"/>
          <w:caps w:val="0"/>
          <w:color w:val="000000"/>
          <w:spacing w:val="0"/>
          <w:sz w:val="32"/>
          <w:szCs w:val="32"/>
          <w:shd w:val="clear" w:color="auto" w:fill="FFFFFF"/>
        </w:rPr>
        <w:t>在评选推荐各类先进单位（集体）</w:t>
      </w:r>
      <w:r>
        <w:rPr>
          <w:rFonts w:hint="eastAsia" w:ascii="仿宋_GB2312" w:hAnsi="仿宋_GB2312" w:eastAsia="仿宋_GB2312" w:cs="仿宋_GB2312"/>
          <w:b w:val="0"/>
          <w:i w:val="0"/>
          <w:caps w:val="0"/>
          <w:color w:val="000000"/>
          <w:spacing w:val="0"/>
          <w:sz w:val="32"/>
          <w:szCs w:val="32"/>
          <w:shd w:val="clear" w:color="auto" w:fill="FFFFFF"/>
          <w:lang w:eastAsia="zh-CN"/>
        </w:rPr>
        <w:t>及先进个人</w:t>
      </w:r>
      <w:r>
        <w:rPr>
          <w:rFonts w:hint="eastAsia" w:ascii="仿宋_GB2312" w:hAnsi="仿宋_GB2312" w:eastAsia="仿宋_GB2312" w:cs="仿宋_GB2312"/>
          <w:b w:val="0"/>
          <w:i w:val="0"/>
          <w:caps w:val="0"/>
          <w:color w:val="000000"/>
          <w:spacing w:val="0"/>
          <w:sz w:val="32"/>
          <w:szCs w:val="32"/>
          <w:shd w:val="clear" w:color="auto" w:fill="FFFFFF"/>
        </w:rPr>
        <w:t>时，凡涉及企业的，优先推荐安全生产标准化达标企业。发挥国有企业集团排头兵作用，鼓励有条件的企业集团整体达标。国有企业集团要将所属企业安全生产标准化达标情况纳入企业负责人的年度履职考核,对所属企业未按期达标的，“一票否决”其年度考核先进、评优等资格，将所属企业达标级别纳入集团企业负责人的重点任务考核中。抓好示范企业创建工作，对达标示范企业优先推荐市安全生产先进单位和先进个人</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auto"/>
          <w:lang w:eastAsia="zh-CN"/>
        </w:rPr>
        <w:t>安全文化示范企业等</w:t>
      </w:r>
      <w:r>
        <w:rPr>
          <w:rFonts w:hint="eastAsia" w:ascii="仿宋_GB2312" w:hAnsi="仿宋_GB2312" w:eastAsia="仿宋_GB2312" w:cs="仿宋_GB2312"/>
          <w:b w:val="0"/>
          <w:i w:val="0"/>
          <w:caps w:val="0"/>
          <w:color w:val="000000"/>
          <w:spacing w:val="0"/>
          <w:sz w:val="32"/>
          <w:szCs w:val="32"/>
          <w:shd w:val="clear" w:color="auto" w:fill="auto"/>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（责任单位：区总工会、区国资委、区应急管理局）</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i w:val="0"/>
          <w:caps w:val="0"/>
          <w:color w:val="000000"/>
          <w:spacing w:val="0"/>
          <w:sz w:val="32"/>
          <w:szCs w:val="32"/>
          <w:shd w:val="clear" w:color="auto" w:fill="FFFFFF"/>
          <w:lang w:eastAsia="zh-CN"/>
        </w:rPr>
        <w:t>六</w:t>
      </w:r>
      <w:r>
        <w:rPr>
          <w:rStyle w:val="8"/>
          <w:rFonts w:hint="eastAsia" w:ascii="黑体" w:hAnsi="黑体" w:eastAsia="黑体" w:cs="黑体"/>
          <w:i w:val="0"/>
          <w:caps w:val="0"/>
          <w:color w:val="000000"/>
          <w:spacing w:val="0"/>
          <w:sz w:val="32"/>
          <w:szCs w:val="32"/>
          <w:shd w:val="clear" w:color="auto" w:fill="FFFFFF"/>
        </w:rPr>
        <w:t>、将企业安全生产标准化达标情况与安全生产许可证相挂钩</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将企业安全生产标准化达标作为相关安全生产许可的前置条件。</w:t>
      </w:r>
      <w:r>
        <w:rPr>
          <w:rFonts w:hint="eastAsia" w:ascii="仿宋_GB2312" w:hAnsi="仿宋_GB2312" w:eastAsia="仿宋_GB2312" w:cs="仿宋_GB2312"/>
          <w:b w:val="0"/>
          <w:i w:val="0"/>
          <w:caps w:val="0"/>
          <w:color w:val="000000"/>
          <w:spacing w:val="0"/>
          <w:sz w:val="32"/>
          <w:szCs w:val="32"/>
          <w:shd w:val="clear" w:color="auto" w:fill="FFFFFF"/>
          <w:lang w:val="en-US" w:eastAsia="zh-CN"/>
        </w:rPr>
        <w:t>为安全生产标准化达标企业在办理安全生产许可相关手续时，给予专业指导，全力保障企业生产经营需求。</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Style w:val="8"/>
          <w:rFonts w:hint="eastAsia" w:ascii="黑体" w:hAnsi="黑体" w:eastAsia="黑体" w:cs="黑体"/>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i w:val="0"/>
          <w:caps w:val="0"/>
          <w:color w:val="000000"/>
          <w:spacing w:val="0"/>
          <w:sz w:val="32"/>
          <w:szCs w:val="32"/>
          <w:shd w:val="clear" w:color="auto" w:fill="FFFFFF"/>
          <w:lang w:eastAsia="zh-CN"/>
        </w:rPr>
        <w:t>七</w:t>
      </w:r>
      <w:r>
        <w:rPr>
          <w:rStyle w:val="8"/>
          <w:rFonts w:hint="eastAsia" w:ascii="黑体" w:hAnsi="黑体" w:eastAsia="黑体" w:cs="黑体"/>
          <w:i w:val="0"/>
          <w:caps w:val="0"/>
          <w:color w:val="000000"/>
          <w:spacing w:val="0"/>
          <w:sz w:val="32"/>
          <w:szCs w:val="32"/>
          <w:shd w:val="clear" w:color="auto" w:fill="FFFFFF"/>
        </w:rPr>
        <w:t>、将企业安全生产标准化达标情况与执法检查相挂钩</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执法部门</w:t>
      </w:r>
      <w:r>
        <w:rPr>
          <w:rFonts w:hint="eastAsia" w:ascii="仿宋_GB2312" w:hAnsi="仿宋_GB2312" w:eastAsia="仿宋_GB2312" w:cs="仿宋_GB2312"/>
          <w:b w:val="0"/>
          <w:i w:val="0"/>
          <w:caps w:val="0"/>
          <w:color w:val="000000"/>
          <w:spacing w:val="0"/>
          <w:sz w:val="32"/>
          <w:szCs w:val="32"/>
          <w:shd w:val="clear" w:color="auto" w:fill="FFFFFF"/>
          <w:lang w:eastAsia="zh-CN"/>
        </w:rPr>
        <w:t>相应减少安全生产标准化达标企业年度执法检查频次，对首次检查发现的安全生产轻微违法行为依法不予行政处罚，其他违法行为依法采取从轻、减轻行政处罚措施。</w:t>
      </w:r>
      <w:r>
        <w:rPr>
          <w:rFonts w:hint="eastAsia" w:ascii="仿宋_GB2312" w:hAnsi="仿宋_GB2312" w:eastAsia="仿宋_GB2312" w:cs="仿宋_GB2312"/>
          <w:b w:val="0"/>
          <w:i w:val="0"/>
          <w:caps w:val="0"/>
          <w:color w:val="000000"/>
          <w:spacing w:val="0"/>
          <w:sz w:val="32"/>
          <w:szCs w:val="32"/>
          <w:shd w:val="clear" w:color="auto" w:fill="FFFFFF"/>
        </w:rPr>
        <w:t>对未按期达标的企业，加大执法检查力度，督促其按期达标。</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Style w:val="8"/>
          <w:rFonts w:hint="eastAsia" w:ascii="黑体" w:hAnsi="黑体" w:eastAsia="黑体" w:cs="黑体"/>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Fonts w:hint="eastAsia" w:ascii="黑体" w:hAnsi="黑体" w:eastAsia="黑体" w:cs="黑体"/>
          <w:sz w:val="32"/>
          <w:szCs w:val="32"/>
          <w:lang w:eastAsia="zh-CN"/>
        </w:rPr>
      </w:pPr>
      <w:r>
        <w:rPr>
          <w:rStyle w:val="8"/>
          <w:rFonts w:hint="eastAsia" w:ascii="黑体" w:hAnsi="黑体" w:eastAsia="黑体" w:cs="黑体"/>
          <w:i w:val="0"/>
          <w:caps w:val="0"/>
          <w:color w:val="000000"/>
          <w:spacing w:val="0"/>
          <w:sz w:val="32"/>
          <w:szCs w:val="32"/>
          <w:shd w:val="clear" w:color="auto" w:fill="FFFFFF"/>
          <w:lang w:eastAsia="zh-CN"/>
        </w:rPr>
        <w:t>八</w:t>
      </w:r>
      <w:r>
        <w:rPr>
          <w:rStyle w:val="8"/>
          <w:rFonts w:hint="eastAsia" w:ascii="黑体" w:hAnsi="黑体" w:eastAsia="黑体" w:cs="黑体"/>
          <w:i w:val="0"/>
          <w:caps w:val="0"/>
          <w:color w:val="000000"/>
          <w:spacing w:val="0"/>
          <w:sz w:val="32"/>
          <w:szCs w:val="32"/>
          <w:shd w:val="clear" w:color="auto" w:fill="FFFFFF"/>
        </w:rPr>
        <w:t>、将企业安全生产标准化达标情况与加大安全生产标准化资金保障</w:t>
      </w:r>
      <w:r>
        <w:rPr>
          <w:rStyle w:val="8"/>
          <w:rFonts w:hint="eastAsia" w:ascii="黑体" w:hAnsi="黑体" w:eastAsia="黑体" w:cs="黑体"/>
          <w:i w:val="0"/>
          <w:caps w:val="0"/>
          <w:color w:val="000000"/>
          <w:spacing w:val="0"/>
          <w:sz w:val="32"/>
          <w:szCs w:val="32"/>
          <w:shd w:val="clear" w:color="auto" w:fill="FFFFFF"/>
          <w:lang w:eastAsia="zh-CN"/>
        </w:rPr>
        <w:t>相挂钩</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加大对安全生产标准化工作的财政预算保障。将安全生产标准化达标工作纳入我</w:t>
      </w:r>
      <w:r>
        <w:rPr>
          <w:rFonts w:hint="eastAsia" w:ascii="仿宋_GB2312" w:hAnsi="仿宋_GB2312" w:eastAsia="仿宋_GB2312" w:cs="仿宋_GB2312"/>
          <w:b w:val="0"/>
          <w:i w:val="0"/>
          <w:caps w:val="0"/>
          <w:color w:val="000000"/>
          <w:spacing w:val="0"/>
          <w:sz w:val="32"/>
          <w:szCs w:val="32"/>
          <w:shd w:val="clear" w:color="auto" w:fill="FFFFFF"/>
          <w:lang w:eastAsia="zh-CN"/>
        </w:rPr>
        <w:t>区</w:t>
      </w:r>
      <w:r>
        <w:rPr>
          <w:rFonts w:hint="eastAsia" w:ascii="仿宋_GB2312" w:hAnsi="仿宋_GB2312" w:eastAsia="仿宋_GB2312" w:cs="仿宋_GB2312"/>
          <w:b w:val="0"/>
          <w:i w:val="0"/>
          <w:caps w:val="0"/>
          <w:color w:val="000000"/>
          <w:spacing w:val="0"/>
          <w:sz w:val="32"/>
          <w:szCs w:val="32"/>
          <w:shd w:val="clear" w:color="auto" w:fill="FFFFFF"/>
        </w:rPr>
        <w:t>安全生产隐患排查治理工作的重要内容，保障标准化达标工作经费，用于评审标准制定、宣传培训、三级标准化企业评审和小微企业岗位达标评审等工作。</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Style w:val="8"/>
          <w:rFonts w:hint="eastAsia" w:ascii="黑体" w:hAnsi="黑体" w:eastAsia="黑体" w:cs="黑体"/>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（责任单位：区财政局）</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firstLine="643" w:firstLineChars="200"/>
        <w:jc w:val="both"/>
        <w:textAlignment w:val="auto"/>
        <w:rPr>
          <w:rStyle w:val="8"/>
          <w:rFonts w:hint="eastAsia" w:ascii="黑体" w:hAnsi="黑体" w:eastAsia="黑体" w:cs="黑体"/>
          <w:i w:val="0"/>
          <w:caps w:val="0"/>
          <w:color w:val="000000"/>
          <w:spacing w:val="0"/>
          <w:sz w:val="32"/>
          <w:szCs w:val="32"/>
          <w:shd w:val="clear" w:color="auto" w:fill="FFFFFF"/>
          <w:lang w:eastAsia="zh-CN"/>
        </w:rPr>
      </w:pPr>
      <w:r>
        <w:rPr>
          <w:rStyle w:val="8"/>
          <w:rFonts w:hint="eastAsia" w:ascii="黑体" w:hAnsi="黑体" w:eastAsia="黑体" w:cs="黑体"/>
          <w:i w:val="0"/>
          <w:caps w:val="0"/>
          <w:color w:val="000000"/>
          <w:spacing w:val="0"/>
          <w:sz w:val="32"/>
          <w:szCs w:val="32"/>
          <w:shd w:val="clear" w:color="auto" w:fill="FFFFFF"/>
          <w:lang w:eastAsia="zh-CN"/>
        </w:rPr>
        <w:t>九、将企业安全生产标准化达标情况与复产验收相挂钩</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因安全生产等政策性原因，对相关企业实施区域限产、停产措施的，原则上一级标准化达标企业不纳入范围；重点行业企业停产后申请复工复产时，原则上优先安排标准化达标企业，及时做好复产验收工作。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hint="eastAsia" w:ascii="黑体" w:hAnsi="黑体" w:eastAsia="黑体" w:cs="黑体"/>
          <w:i w:val="0"/>
          <w:caps w:val="0"/>
          <w:color w:val="000000"/>
          <w:spacing w:val="0"/>
          <w:kern w:val="0"/>
          <w:sz w:val="32"/>
          <w:szCs w:val="32"/>
          <w:shd w:val="clear" w:color="auto" w:fill="FFFFFF"/>
          <w:lang w:val="en-US" w:eastAsia="zh-CN" w:bidi="ar-SA"/>
        </w:rPr>
      </w:pPr>
      <w:r>
        <w:rPr>
          <w:rStyle w:val="8"/>
          <w:rFonts w:hint="eastAsia" w:ascii="黑体" w:hAnsi="黑体" w:eastAsia="黑体" w:cs="黑体"/>
          <w:i w:val="0"/>
          <w:caps w:val="0"/>
          <w:color w:val="000000"/>
          <w:spacing w:val="0"/>
          <w:sz w:val="32"/>
          <w:szCs w:val="32"/>
          <w:shd w:val="clear" w:color="auto" w:fill="FFFFFF"/>
          <w:lang w:eastAsia="zh-CN"/>
        </w:rPr>
        <w:t>十、将企业安全生产标准化达标情况</w:t>
      </w:r>
      <w:r>
        <w:rPr>
          <w:rStyle w:val="8"/>
          <w:rFonts w:hint="eastAsia" w:ascii="黑体" w:hAnsi="黑体" w:eastAsia="黑体" w:cs="黑体"/>
          <w:i w:val="0"/>
          <w:caps w:val="0"/>
          <w:color w:val="000000"/>
          <w:spacing w:val="0"/>
          <w:kern w:val="0"/>
          <w:sz w:val="32"/>
          <w:szCs w:val="32"/>
          <w:shd w:val="clear" w:color="auto" w:fill="FFFFFF"/>
          <w:lang w:val="en-US" w:eastAsia="zh-CN" w:bidi="ar-SA"/>
        </w:rPr>
        <w:t>与上市培育相挂钩</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对安全生产标准化达标且符合相关上市条件的企业纳入通州区拟上市企业资源储备库，依托上市服务基地做好培育。各监管部门对企业涉及的项目立项、用地审批、能评、环评、安评、消防等手续给予指导支持。</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（责任单位：区发改委、区市场监管局、区经济和信息化局、区生态环境局、区消防救援支队、区应急管理局、市规划自然委通州分局、区住房城乡建设委）</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hint="eastAsia" w:ascii="黑体" w:hAnsi="黑体" w:eastAsia="黑体" w:cs="黑体"/>
          <w:i w:val="0"/>
          <w:caps w:val="0"/>
          <w:color w:val="000000"/>
          <w:spacing w:val="0"/>
          <w:kern w:val="0"/>
          <w:sz w:val="32"/>
          <w:szCs w:val="32"/>
          <w:shd w:val="clear" w:color="auto" w:fill="FFFFFF"/>
          <w:lang w:val="en-US" w:eastAsia="zh-CN" w:bidi="ar-SA"/>
        </w:rPr>
      </w:pPr>
      <w:r>
        <w:rPr>
          <w:rStyle w:val="8"/>
          <w:rFonts w:hint="eastAsia" w:ascii="黑体" w:hAnsi="黑体" w:eastAsia="黑体" w:cs="黑体"/>
          <w:i w:val="0"/>
          <w:caps w:val="0"/>
          <w:color w:val="000000"/>
          <w:spacing w:val="0"/>
          <w:sz w:val="32"/>
          <w:szCs w:val="32"/>
          <w:shd w:val="clear" w:color="auto" w:fill="FFFFFF"/>
          <w:lang w:eastAsia="zh-CN"/>
        </w:rPr>
        <w:t>十一、将企业安全生产标准化达标情况</w:t>
      </w:r>
      <w:r>
        <w:rPr>
          <w:rStyle w:val="8"/>
          <w:rFonts w:hint="eastAsia" w:ascii="黑体" w:hAnsi="黑体" w:eastAsia="黑体" w:cs="黑体"/>
          <w:i w:val="0"/>
          <w:caps w:val="0"/>
          <w:color w:val="000000"/>
          <w:spacing w:val="0"/>
          <w:kern w:val="0"/>
          <w:sz w:val="32"/>
          <w:szCs w:val="32"/>
          <w:shd w:val="clear" w:color="auto" w:fill="FFFFFF"/>
          <w:lang w:val="en-US" w:eastAsia="zh-CN" w:bidi="ar-SA"/>
        </w:rPr>
        <w:t>与扶企惠企政策相挂钩</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eastAsia="zh-CN"/>
        </w:rPr>
        <w:t>将</w:t>
      </w:r>
      <w:r>
        <w:rPr>
          <w:rFonts w:hint="eastAsia" w:ascii="仿宋_GB2312" w:hAnsi="仿宋_GB2312" w:eastAsia="仿宋_GB2312" w:cs="仿宋_GB2312"/>
          <w:b w:val="0"/>
          <w:i w:val="0"/>
          <w:caps w:val="0"/>
          <w:color w:val="000000"/>
          <w:spacing w:val="0"/>
          <w:sz w:val="32"/>
          <w:szCs w:val="32"/>
          <w:shd w:val="clear" w:color="auto" w:fill="FFFFFF"/>
          <w:lang w:eastAsia="zh-CN"/>
        </w:rPr>
        <w:t>安全生产标准化达标企业纳入</w:t>
      </w:r>
      <w:r>
        <w:rPr>
          <w:rFonts w:hint="eastAsia" w:ascii="仿宋_GB2312" w:hAnsi="仿宋_GB2312" w:eastAsia="仿宋_GB2312" w:cs="仿宋_GB2312"/>
          <w:b w:val="0"/>
          <w:i w:val="0"/>
          <w:caps w:val="0"/>
          <w:color w:val="000000"/>
          <w:spacing w:val="0"/>
          <w:sz w:val="32"/>
          <w:szCs w:val="32"/>
          <w:shd w:val="clear" w:color="auto" w:fill="auto"/>
          <w:lang w:eastAsia="zh-CN"/>
        </w:rPr>
        <w:t>“我帮企业拓市场”服务对象，</w:t>
      </w:r>
      <w:r>
        <w:rPr>
          <w:rFonts w:hint="eastAsia" w:ascii="仿宋_GB2312" w:hAnsi="仿宋_GB2312" w:eastAsia="仿宋_GB2312" w:cs="仿宋_GB2312"/>
          <w:b w:val="0"/>
          <w:i w:val="0"/>
          <w:caps w:val="0"/>
          <w:color w:val="000000"/>
          <w:spacing w:val="0"/>
          <w:sz w:val="32"/>
          <w:szCs w:val="32"/>
          <w:shd w:val="clear" w:color="auto" w:fill="FFFFFF"/>
          <w:lang w:eastAsia="zh-CN"/>
        </w:rPr>
        <w:t>通过</w:t>
      </w:r>
      <w:r>
        <w:rPr>
          <w:rFonts w:hint="default" w:ascii="仿宋_GB2312" w:hAnsi="仿宋_GB2312" w:eastAsia="仿宋_GB2312" w:cs="仿宋_GB2312"/>
          <w:b w:val="0"/>
          <w:i w:val="0"/>
          <w:caps w:val="0"/>
          <w:color w:val="000000"/>
          <w:spacing w:val="0"/>
          <w:sz w:val="32"/>
          <w:szCs w:val="32"/>
          <w:shd w:val="clear" w:color="auto" w:fill="FFFFFF"/>
          <w:lang w:eastAsia="zh-CN"/>
        </w:rPr>
        <w:t>“融媒体+</w:t>
      </w:r>
      <w:r>
        <w:rPr>
          <w:rFonts w:hint="default" w:ascii="仿宋_GB2312" w:hAnsi="仿宋_GB2312" w:eastAsia="仿宋_GB2312" w:cs="仿宋_GB2312"/>
          <w:b w:val="0"/>
          <w:i w:val="0"/>
          <w:caps w:val="0"/>
          <w:color w:val="000000"/>
          <w:spacing w:val="0"/>
          <w:sz w:val="32"/>
          <w:szCs w:val="32"/>
          <w:shd w:val="clear" w:color="auto" w:fill="FFFFFF"/>
          <w:lang w:val="en-US" w:eastAsia="zh-CN"/>
        </w:rPr>
        <w:t>我帮企业拓市场</w:t>
      </w:r>
      <w:r>
        <w:rPr>
          <w:rFonts w:hint="default" w:ascii="仿宋_GB2312" w:hAnsi="仿宋_GB2312" w:eastAsia="仿宋_GB2312" w:cs="仿宋_GB2312"/>
          <w:b w:val="0"/>
          <w:i w:val="0"/>
          <w:caps w:val="0"/>
          <w:color w:val="000000"/>
          <w:spacing w:val="0"/>
          <w:sz w:val="32"/>
          <w:szCs w:val="32"/>
          <w:shd w:val="clear" w:color="auto" w:fill="FFFFFF"/>
          <w:lang w:eastAsia="zh-CN"/>
        </w:rPr>
        <w:t>”主题宣传，展示企业优质产品，提升企业</w:t>
      </w:r>
      <w:r>
        <w:rPr>
          <w:rFonts w:hint="default" w:ascii="仿宋_GB2312" w:hAnsi="仿宋_GB2312" w:eastAsia="仿宋_GB2312" w:cs="仿宋_GB2312"/>
          <w:b w:val="0"/>
          <w:i w:val="0"/>
          <w:caps w:val="0"/>
          <w:color w:val="000000"/>
          <w:spacing w:val="0"/>
          <w:kern w:val="0"/>
          <w:sz w:val="32"/>
          <w:szCs w:val="32"/>
          <w:shd w:val="clear" w:color="auto" w:fill="auto"/>
          <w:lang w:val="en-US" w:eastAsia="zh-CN" w:bidi="ar-SA"/>
        </w:rPr>
        <w:t>品牌</w:t>
      </w:r>
      <w:r>
        <w:rPr>
          <w:rFonts w:hint="default" w:ascii="仿宋_GB2312" w:hAnsi="仿宋_GB2312" w:eastAsia="仿宋_GB2312" w:cs="仿宋_GB2312"/>
          <w:b w:val="0"/>
          <w:i w:val="0"/>
          <w:caps w:val="0"/>
          <w:color w:val="000000"/>
          <w:spacing w:val="0"/>
          <w:sz w:val="32"/>
          <w:szCs w:val="32"/>
          <w:shd w:val="clear" w:color="auto" w:fill="FFFFFF"/>
          <w:lang w:eastAsia="zh-CN"/>
        </w:rPr>
        <w:t>知名度。</w:t>
      </w:r>
      <w:r>
        <w:rPr>
          <w:rFonts w:hint="eastAsia" w:ascii="仿宋_GB2312" w:hAnsi="仿宋_GB2312" w:eastAsia="仿宋_GB2312" w:cs="仿宋_GB2312"/>
          <w:b w:val="0"/>
          <w:i w:val="0"/>
          <w:caps w:val="0"/>
          <w:color w:val="000000"/>
          <w:spacing w:val="0"/>
          <w:sz w:val="32"/>
          <w:szCs w:val="32"/>
          <w:shd w:val="clear" w:color="auto" w:fill="FFFFFF"/>
          <w:lang w:eastAsia="zh-CN"/>
        </w:rPr>
        <w:t>统筹各类资源，</w:t>
      </w:r>
      <w:r>
        <w:rPr>
          <w:rFonts w:hint="default" w:ascii="仿宋_GB2312" w:hAnsi="仿宋_GB2312" w:eastAsia="仿宋_GB2312" w:cs="仿宋_GB2312"/>
          <w:b w:val="0"/>
          <w:i w:val="0"/>
          <w:caps w:val="0"/>
          <w:color w:val="000000"/>
          <w:spacing w:val="0"/>
          <w:sz w:val="32"/>
          <w:szCs w:val="32"/>
          <w:shd w:val="clear" w:color="auto" w:fill="FFFFFF"/>
          <w:lang w:val="en-US" w:eastAsia="zh-CN"/>
        </w:rPr>
        <w:t>为企业搭建沟通交流平台，鼓励企业按规定申报各项资金补贴</w:t>
      </w:r>
      <w:r>
        <w:rPr>
          <w:rFonts w:hint="eastAsia" w:ascii="仿宋_GB2312" w:hAnsi="仿宋_GB2312" w:eastAsia="仿宋_GB2312" w:cs="仿宋_GB2312"/>
          <w:b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i w:val="0"/>
          <w:caps w:val="0"/>
          <w:color w:val="000000"/>
          <w:spacing w:val="0"/>
          <w:sz w:val="32"/>
          <w:szCs w:val="32"/>
          <w:shd w:val="clear" w:color="auto" w:fill="auto"/>
          <w:lang w:eastAsia="zh-CN"/>
        </w:rPr>
        <w:t>帮助企业找订单、扶企富企。</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（责任单位：区发改委、区政务服务和数据管理局、各相关行业管理部门）</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hint="eastAsia" w:ascii="黑体" w:hAnsi="黑体" w:eastAsia="黑体" w:cs="黑体"/>
          <w:i w:val="0"/>
          <w:caps w:val="0"/>
          <w:color w:val="000000"/>
          <w:spacing w:val="0"/>
          <w:kern w:val="0"/>
          <w:sz w:val="32"/>
          <w:szCs w:val="32"/>
          <w:shd w:val="clear" w:color="auto" w:fill="FFFFFF"/>
          <w:lang w:val="en-US" w:eastAsia="zh-CN" w:bidi="ar-SA"/>
        </w:rPr>
      </w:pPr>
      <w:r>
        <w:rPr>
          <w:rStyle w:val="8"/>
          <w:rFonts w:hint="eastAsia" w:ascii="黑体" w:hAnsi="黑体" w:eastAsia="黑体" w:cs="黑体"/>
          <w:i w:val="0"/>
          <w:caps w:val="0"/>
          <w:color w:val="000000"/>
          <w:spacing w:val="0"/>
          <w:sz w:val="32"/>
          <w:szCs w:val="32"/>
          <w:shd w:val="clear" w:color="auto" w:fill="FFFFFF"/>
          <w:lang w:eastAsia="zh-CN"/>
        </w:rPr>
        <w:t>十二、将企业安全生产标准化达标情况</w:t>
      </w:r>
      <w:r>
        <w:rPr>
          <w:rStyle w:val="8"/>
          <w:rFonts w:hint="eastAsia" w:ascii="黑体" w:hAnsi="黑体" w:eastAsia="黑体" w:cs="黑体"/>
          <w:i w:val="0"/>
          <w:caps w:val="0"/>
          <w:color w:val="000000"/>
          <w:spacing w:val="0"/>
          <w:kern w:val="0"/>
          <w:sz w:val="32"/>
          <w:szCs w:val="32"/>
          <w:shd w:val="clear" w:color="auto" w:fill="FFFFFF"/>
          <w:lang w:val="en-US" w:eastAsia="zh-CN" w:bidi="ar-SA"/>
        </w:rPr>
        <w:t>与企业应急预案备案相挂钩</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auto"/>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SA"/>
        </w:rPr>
        <w:t>对安全生产标准化达标且不属于法律、法规规定的应当向县级以上人民政府应急管理部门和其他负有安全生产监督管理职责的部门进行生产安全事故应急预案备案的，可免予向相关部门进行备案。</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本激励措施适用于实际经营地位于北京市通州区的化工、医药、危险化学品、烟花爆竹、冶金、有色、建材、机械、轻工、纺织、烟草、</w:t>
      </w:r>
      <w:r>
        <w:rPr>
          <w:rFonts w:hint="default" w:ascii="仿宋_GB2312" w:hAnsi="仿宋_GB2312" w:eastAsia="仿宋_GB2312" w:cs="仿宋_GB2312"/>
          <w:color w:val="auto"/>
          <w:sz w:val="32"/>
          <w:szCs w:val="32"/>
          <w:u w:val="none"/>
          <w:lang w:val="en-US" w:eastAsia="zh-CN"/>
        </w:rPr>
        <w:t>商贸</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行业企业。自2025年1月1日起施行，有效期5年。</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02245"/>
    <w:rsid w:val="26D0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200" w:firstLineChars="200"/>
    </w:pPr>
    <w:rPr>
      <w:szCs w:val="22"/>
    </w:rPr>
  </w:style>
  <w:style w:type="paragraph" w:styleId="3">
    <w:name w:val="Body Text Indent"/>
    <w:basedOn w:val="1"/>
    <w:qFormat/>
    <w:uiPriority w:val="0"/>
    <w:pPr>
      <w:spacing w:after="120"/>
      <w:ind w:left="200" w:leftChars="20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2024-10-23T07:50:00Z</dcterms:created>
  <dc:creator>LH002</dc:creator>
  <cp:lastModifiedBy>LH002</cp:lastModifiedBy>
  <dcterms:modified xsi:type="dcterms:W3CDTF">2024-10-23T07:50:25Z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