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13D3C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《关于促进北京城市副中心绿色低碳产业高质量发展的实施细则》起草说明</w:t>
      </w:r>
    </w:p>
    <w:bookmarkEnd w:id="0"/>
    <w:p w14:paraId="5411D04A">
      <w:pPr>
        <w:rPr>
          <w:rFonts w:hint="eastAsia" w:ascii="仿宋" w:hAnsi="仿宋" w:eastAsia="仿宋" w:cs="仿宋"/>
          <w:sz w:val="32"/>
          <w:szCs w:val="32"/>
        </w:rPr>
      </w:pPr>
    </w:p>
    <w:p w14:paraId="6C4F6C87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</w:t>
      </w:r>
    </w:p>
    <w:p w14:paraId="09484934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政策背景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依据《北京城市副中心建设国家绿色发展示范区实施方案》（发改环资〔2024〕241号）及《关于加快推进北京城市副中心产业高质量发展若干措施》（通政发〔2024〕8号），为落实“双碳”战略目标，强化绿色低碳产业引领作用，推动副中心产业全方位绿色转型，制定本细则。</w:t>
      </w:r>
    </w:p>
    <w:p w14:paraId="175EAC4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当前，副中心正处于产业升级与绿色发展的关键阶段，亟需通过政策引导，激发企业创新活力，完善绿色产业链条，构建低碳生产模式。</w:t>
      </w:r>
    </w:p>
    <w:p w14:paraId="70285A54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目标定位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通过技术创新、场景应用、集群建设、生态构建四大路径，培育绿色低碳新动能，助力副中心打造全国绿色发展标杆。聚焦新能源、节能环保、绿色制造等核心领域，推动企业、园区、科研机构协同发展，形成绿色低碳产业生态闭环。</w:t>
      </w:r>
    </w:p>
    <w:p w14:paraId="40AF9ED9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必要性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现行政策对绿色低碳领域的支持力度不足，需通过资金奖励、场景开放、平台建设等组合措施，加速产业绿色化、高端化进程。本细则将填补副中心绿色低碳产业专项政策空白，强化与市级政策的衔接，形成市区联动支持体系。</w:t>
      </w:r>
    </w:p>
    <w:p w14:paraId="6717C783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二、主要内容说明</w:t>
      </w:r>
    </w:p>
    <w:p w14:paraId="5A24DA89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本细则共六章二十四条，核心内容如下：</w:t>
      </w:r>
    </w:p>
    <w:p w14:paraId="6B11397A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第一章 总则</w:t>
      </w:r>
    </w:p>
    <w:p w14:paraId="721E8FF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支持对象：覆盖工业企业、软件信息服务业企业、工业园区、科研院所等主体。</w:t>
      </w:r>
    </w:p>
    <w:p w14:paraId="2DB0014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支持方向：聚焦绿色技术创新、产业结构调整、生产方式低碳化、能源利用高效化四大领域。</w:t>
      </w:r>
    </w:p>
    <w:p w14:paraId="5BB649D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支持方式：以资金奖励为主，按项目投资比例、认定等级等差异化标准给予支持，单企业年度最高500万元。</w:t>
      </w:r>
    </w:p>
    <w:p w14:paraId="1F2FB954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第二章 绿色企业培育</w:t>
      </w:r>
    </w:p>
    <w:p w14:paraId="101F215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梯度培育：对绿色企业升规破亿（最高50万元）、专精特新认定（国家级“小巨人”80万元）给予阶梯式奖励。</w:t>
      </w:r>
    </w:p>
    <w:p w14:paraId="1E513A1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技术改造：支持制造业企业节能节水减排改造（最高500万元）及绿色诊断服务（最高5万元）。</w:t>
      </w:r>
    </w:p>
    <w:p w14:paraId="021139E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标杆创建：鼓励企业建设绿色工厂、零碳工厂等（国家级100万元/项），晋级可获差额支持。</w:t>
      </w:r>
    </w:p>
    <w:p w14:paraId="575D38A6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第三章 绿色场景应用</w:t>
      </w:r>
    </w:p>
    <w:p w14:paraId="4AE5CA3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能源替代：对绿电交易（每度电0.01元，最高100万元）、分布式光伏（最高100万元）、热泵项目（投资额10%）等可再生能源利用提供补贴。</w:t>
      </w:r>
    </w:p>
    <w:p w14:paraId="5B24F4E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技术应用：支持绿色低碳技术首次应用（最高200万元）、建筑节能改造（最高300万元）、未来能源创新（配套支持200万元）。</w:t>
      </w:r>
    </w:p>
    <w:p w14:paraId="5A0AD06E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第四章 绿色集群建设</w:t>
      </w:r>
    </w:p>
    <w:p w14:paraId="1F34949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产业集群：对CCUS、氢能等产业集群（最高500万元）、绿色能源创新平台（最高500万元）、工业园区改造（最高500万元）给予重点支持。</w:t>
      </w:r>
    </w:p>
    <w:p w14:paraId="21D89A1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平台赋能：推动共性技术研发、中试平台建设，加速成果转化与产业协同。</w:t>
      </w:r>
    </w:p>
    <w:p w14:paraId="2B34FA0D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第五章 绿色生态构建</w:t>
      </w:r>
    </w:p>
    <w:p w14:paraId="0E224CC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ESG实践：对开展ESG信息披露（最高15万元）、碳足迹认证（最高15万元）的企业给予奖励。</w:t>
      </w:r>
    </w:p>
    <w:p w14:paraId="1C92B2D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低碳转型：支持“碳中和企业”认证（最高50万元）、碳排放强度下降（最高50万元）、碳交易（最高15万元）。</w:t>
      </w:r>
    </w:p>
    <w:p w14:paraId="6C50952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生态配套：鼓励绿色会展（最高100万元）、标准编制（最高50万元）、绿色信贷（最高300万元）。</w:t>
      </w:r>
    </w:p>
    <w:p w14:paraId="14D87B74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第六章 附则</w:t>
      </w:r>
    </w:p>
    <w:p w14:paraId="6D88C9F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资金管理：明确“从优不重复”原则，单企业年度支持上限500万元，可叠加市级政策。</w:t>
      </w:r>
    </w:p>
    <w:p w14:paraId="1783DA6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解释权与时效：由通州区经信局负责解释，有效期三年，原试行政策同步废止。</w:t>
      </w:r>
    </w:p>
    <w:p w14:paraId="0BEA7188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三、实施保障</w:t>
      </w:r>
    </w:p>
    <w:p w14:paraId="1F9FB0E7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政策衔接：</w:t>
      </w:r>
      <w:r>
        <w:rPr>
          <w:rFonts w:hint="eastAsia" w:ascii="仿宋" w:hAnsi="仿宋" w:eastAsia="仿宋" w:cs="仿宋"/>
          <w:sz w:val="32"/>
          <w:szCs w:val="32"/>
        </w:rPr>
        <w:t>与市级绿色金融、产业扶持政策形成互补，构建“市区联动”支持网络。</w:t>
      </w:r>
    </w:p>
    <w:p w14:paraId="0F04AD68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动态优化：</w:t>
      </w:r>
      <w:r>
        <w:rPr>
          <w:rFonts w:hint="eastAsia" w:ascii="仿宋" w:hAnsi="仿宋" w:eastAsia="仿宋" w:cs="仿宋"/>
          <w:sz w:val="32"/>
          <w:szCs w:val="32"/>
        </w:rPr>
        <w:t>建立企业需求反馈机制，定期评估政策落地效果，适时调整支持方向与力度。</w:t>
      </w:r>
    </w:p>
    <w:p w14:paraId="1C047AD8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风险防控：</w:t>
      </w:r>
      <w:r>
        <w:rPr>
          <w:rFonts w:hint="eastAsia" w:ascii="仿宋" w:hAnsi="仿宋" w:eastAsia="仿宋" w:cs="仿宋"/>
          <w:sz w:val="32"/>
          <w:szCs w:val="32"/>
        </w:rPr>
        <w:t>严格项目审核与资金监管，确保财政投入精准高效，杜绝重复申报与套利行为。</w:t>
      </w:r>
    </w:p>
    <w:p w14:paraId="488B257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本细则的制定与实施，将系统性推动副中心绿色低碳产业高质量发展，为全国绿色发展示范区建设提供可复制的“通州模式”。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1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2025-03-14T05:47:27Z</dcterms:created>
  <dc:creator>Administrator</dc:creator>
  <cp:lastModifiedBy>侯佳炜</cp:lastModifiedBy>
  <dcterms:modified xsi:type="dcterms:W3CDTF">2025-03-14T06:01:53Z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eyJoZGlkIjoiNjJiNDcwODZiZjkwYThlMjUwMTM0ZjA0NjVmY2U0OWIiLCJ1c2VySWQiOiI0MzQ4NDYzNDcifQ==</vt:lpwstr>
  </property>
  <property fmtid="{D5CDD505-2E9C-101B-9397-08002B2CF9AE}" pid="4" name="ICV">
    <vt:lpwstr>CC6AA5FA1D1C4637B61622AFD75FD571_12</vt:lpwstr>
  </property>
</Properties>
</file>