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1E3D0">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方正小标宋简体" w:hAnsi="方正小标宋简体" w:eastAsia="方正小标宋简体" w:cs="方正小标宋简体"/>
          <w:b w:val="0"/>
          <w:bCs w:val="0"/>
          <w:color w:val="auto"/>
          <w:kern w:val="44"/>
          <w:sz w:val="72"/>
          <w:szCs w:val="72"/>
          <w:highlight w:val="none"/>
          <w:lang w:val="en-US" w:eastAsia="zh-CN" w:bidi="ar-SA"/>
        </w:rPr>
      </w:pPr>
      <w:bookmarkStart w:id="0" w:name="_Toc1287"/>
      <w:r>
        <w:rPr>
          <w:rFonts w:hint="eastAsia" w:ascii="方正小标宋简体" w:hAnsi="方正小标宋简体" w:eastAsia="方正小标宋简体" w:cs="方正小标宋简体"/>
          <w:b w:val="0"/>
          <w:bCs w:val="0"/>
          <w:color w:val="auto"/>
          <w:kern w:val="44"/>
          <w:sz w:val="72"/>
          <w:szCs w:val="72"/>
          <w:highlight w:val="none"/>
          <w:lang w:val="en-US" w:eastAsia="zh-CN" w:bidi="ar-SA"/>
        </w:rPr>
        <w:t>北京市通州区新型集体林场</w:t>
      </w:r>
    </w:p>
    <w:p w14:paraId="58BCEFA9">
      <w:pPr>
        <w:pageBreakBefore w:val="0"/>
        <w:wordWrap/>
        <w:overflowPunct/>
        <w:topLinePunct w:val="0"/>
        <w:bidi w:val="0"/>
        <w:rPr>
          <w:rFonts w:hint="eastAsia" w:eastAsia="宋体" w:cs="Times New Roman"/>
          <w:color w:val="auto"/>
          <w:highlight w:val="none"/>
        </w:rPr>
      </w:pPr>
    </w:p>
    <w:p w14:paraId="2713782C">
      <w:pPr>
        <w:pageBreakBefore w:val="0"/>
        <w:wordWrap/>
        <w:overflowPunct/>
        <w:topLinePunct w:val="0"/>
        <w:bidi w:val="0"/>
        <w:rPr>
          <w:rFonts w:hint="eastAsia" w:eastAsia="宋体" w:cs="Times New Roman"/>
          <w:color w:val="auto"/>
          <w:highlight w:val="none"/>
        </w:rPr>
      </w:pPr>
    </w:p>
    <w:p w14:paraId="55509320">
      <w:pPr>
        <w:pageBreakBefore w:val="0"/>
        <w:wordWrap/>
        <w:overflowPunct/>
        <w:topLinePunct w:val="0"/>
        <w:bidi w:val="0"/>
        <w:rPr>
          <w:rFonts w:hint="eastAsia" w:eastAsia="宋体" w:cs="Times New Roman"/>
          <w:color w:val="auto"/>
          <w:highlight w:val="none"/>
        </w:rPr>
      </w:pPr>
    </w:p>
    <w:p w14:paraId="2FA33A1D">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方正小标宋简体" w:hAnsi="方正小标宋简体" w:eastAsia="方正小标宋简体" w:cs="方正小标宋简体"/>
          <w:b w:val="0"/>
          <w:bCs w:val="0"/>
          <w:color w:val="auto"/>
          <w:kern w:val="44"/>
          <w:sz w:val="72"/>
          <w:szCs w:val="72"/>
          <w:highlight w:val="none"/>
          <w:lang w:val="en-US" w:eastAsia="zh-CN" w:bidi="ar-SA"/>
        </w:rPr>
      </w:pPr>
      <w:r>
        <w:rPr>
          <w:rFonts w:hint="eastAsia" w:ascii="方正小标宋简体" w:hAnsi="方正小标宋简体" w:eastAsia="方正小标宋简体" w:cs="方正小标宋简体"/>
          <w:b w:val="0"/>
          <w:bCs w:val="0"/>
          <w:color w:val="auto"/>
          <w:kern w:val="44"/>
          <w:sz w:val="72"/>
          <w:szCs w:val="72"/>
          <w:highlight w:val="none"/>
          <w:lang w:val="en-US" w:eastAsia="zh-CN" w:bidi="ar-SA"/>
        </w:rPr>
        <w:t>管</w:t>
      </w:r>
    </w:p>
    <w:p w14:paraId="0228B97E">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方正小标宋简体" w:hAnsi="方正小标宋简体" w:eastAsia="方正小标宋简体" w:cs="方正小标宋简体"/>
          <w:b w:val="0"/>
          <w:bCs w:val="0"/>
          <w:color w:val="auto"/>
          <w:kern w:val="44"/>
          <w:sz w:val="72"/>
          <w:szCs w:val="72"/>
          <w:highlight w:val="none"/>
          <w:lang w:val="en-US" w:eastAsia="zh-CN" w:bidi="ar-SA"/>
        </w:rPr>
      </w:pPr>
      <w:r>
        <w:rPr>
          <w:rFonts w:hint="eastAsia" w:ascii="方正小标宋简体" w:hAnsi="方正小标宋简体" w:eastAsia="方正小标宋简体" w:cs="方正小标宋简体"/>
          <w:b w:val="0"/>
          <w:bCs w:val="0"/>
          <w:color w:val="auto"/>
          <w:kern w:val="44"/>
          <w:sz w:val="72"/>
          <w:szCs w:val="72"/>
          <w:highlight w:val="none"/>
          <w:lang w:val="en-US" w:eastAsia="zh-CN" w:bidi="ar-SA"/>
        </w:rPr>
        <w:t>理</w:t>
      </w:r>
    </w:p>
    <w:p w14:paraId="10062657">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方正小标宋简体" w:hAnsi="方正小标宋简体" w:eastAsia="方正小标宋简体" w:cs="方正小标宋简体"/>
          <w:b w:val="0"/>
          <w:bCs w:val="0"/>
          <w:color w:val="auto"/>
          <w:kern w:val="44"/>
          <w:sz w:val="72"/>
          <w:szCs w:val="72"/>
          <w:highlight w:val="none"/>
          <w:lang w:val="en-US" w:eastAsia="zh-CN" w:bidi="ar-SA"/>
        </w:rPr>
      </w:pPr>
      <w:r>
        <w:rPr>
          <w:rFonts w:hint="eastAsia" w:ascii="方正小标宋简体" w:hAnsi="方正小标宋简体" w:eastAsia="方正小标宋简体" w:cs="方正小标宋简体"/>
          <w:b w:val="0"/>
          <w:bCs w:val="0"/>
          <w:color w:val="auto"/>
          <w:kern w:val="44"/>
          <w:sz w:val="72"/>
          <w:szCs w:val="72"/>
          <w:highlight w:val="none"/>
          <w:lang w:val="en-US" w:eastAsia="zh-CN" w:bidi="ar-SA"/>
        </w:rPr>
        <w:t>制</w:t>
      </w:r>
    </w:p>
    <w:p w14:paraId="7D679E81">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方正小标宋简体" w:hAnsi="方正小标宋简体" w:eastAsia="方正小标宋简体" w:cs="方正小标宋简体"/>
          <w:b w:val="0"/>
          <w:bCs w:val="0"/>
          <w:color w:val="auto"/>
          <w:kern w:val="44"/>
          <w:sz w:val="72"/>
          <w:szCs w:val="72"/>
          <w:highlight w:val="none"/>
          <w:lang w:val="en-US" w:eastAsia="zh-CN" w:bidi="ar-SA"/>
        </w:rPr>
      </w:pPr>
      <w:r>
        <w:rPr>
          <w:rFonts w:hint="eastAsia" w:ascii="方正小标宋简体" w:hAnsi="方正小标宋简体" w:eastAsia="方正小标宋简体" w:cs="方正小标宋简体"/>
          <w:b w:val="0"/>
          <w:bCs w:val="0"/>
          <w:color w:val="auto"/>
          <w:kern w:val="44"/>
          <w:sz w:val="72"/>
          <w:szCs w:val="72"/>
          <w:highlight w:val="none"/>
          <w:lang w:val="en-US" w:eastAsia="zh-CN" w:bidi="ar-SA"/>
        </w:rPr>
        <w:t>度</w:t>
      </w:r>
      <w:bookmarkEnd w:id="0"/>
    </w:p>
    <w:p w14:paraId="665D6D2C">
      <w:pPr>
        <w:pageBreakBefore w:val="0"/>
        <w:wordWrap/>
        <w:overflowPunct/>
        <w:topLinePunct w:val="0"/>
        <w:bidi w:val="0"/>
        <w:jc w:val="center"/>
        <w:rPr>
          <w:rFonts w:hint="eastAsia" w:ascii="方正小标宋简体" w:hAnsi="方正小标宋简体" w:eastAsia="方正小标宋简体" w:cs="方正小标宋简体"/>
          <w:b w:val="0"/>
          <w:bCs w:val="0"/>
          <w:color w:val="auto"/>
          <w:sz w:val="72"/>
          <w:szCs w:val="72"/>
          <w:highlight w:val="none"/>
          <w:lang w:val="en-US" w:eastAsia="zh-CN"/>
        </w:rPr>
      </w:pPr>
      <w:r>
        <w:rPr>
          <w:rFonts w:hint="eastAsia" w:ascii="方正小标宋简体" w:hAnsi="方正小标宋简体" w:eastAsia="方正小标宋简体" w:cs="方正小标宋简体"/>
          <w:b w:val="0"/>
          <w:bCs w:val="0"/>
          <w:color w:val="auto"/>
          <w:sz w:val="72"/>
          <w:szCs w:val="72"/>
          <w:highlight w:val="none"/>
          <w:lang w:val="en-US" w:eastAsia="zh-CN"/>
        </w:rPr>
        <w:t>模</w:t>
      </w:r>
    </w:p>
    <w:p w14:paraId="154F2225">
      <w:pPr>
        <w:pageBreakBefore w:val="0"/>
        <w:wordWrap/>
        <w:overflowPunct/>
        <w:topLinePunct w:val="0"/>
        <w:bidi w:val="0"/>
        <w:jc w:val="center"/>
        <w:rPr>
          <w:rFonts w:hint="eastAsia" w:ascii="方正小标宋简体" w:hAnsi="方正小标宋简体" w:eastAsia="方正小标宋简体" w:cs="方正小标宋简体"/>
          <w:b w:val="0"/>
          <w:bCs w:val="0"/>
          <w:color w:val="auto"/>
          <w:sz w:val="72"/>
          <w:szCs w:val="72"/>
          <w:highlight w:val="none"/>
          <w:lang w:val="en-US" w:eastAsia="zh-CN"/>
        </w:rPr>
      </w:pPr>
      <w:r>
        <w:rPr>
          <w:rFonts w:hint="eastAsia" w:ascii="方正小标宋简体" w:hAnsi="方正小标宋简体" w:eastAsia="方正小标宋简体" w:cs="方正小标宋简体"/>
          <w:b w:val="0"/>
          <w:bCs w:val="0"/>
          <w:color w:val="auto"/>
          <w:sz w:val="72"/>
          <w:szCs w:val="72"/>
          <w:highlight w:val="none"/>
          <w:lang w:val="en-US" w:eastAsia="zh-CN"/>
        </w:rPr>
        <w:t>板</w:t>
      </w:r>
    </w:p>
    <w:p w14:paraId="06DD5882">
      <w:pPr>
        <w:pageBreakBefore w:val="0"/>
        <w:wordWrap/>
        <w:overflowPunct/>
        <w:topLinePunct w:val="0"/>
        <w:bidi w:val="0"/>
        <w:jc w:val="center"/>
        <w:rPr>
          <w:rFonts w:hint="default" w:eastAsia="宋体" w:cs="Times New Roman"/>
          <w:color w:val="auto"/>
          <w:sz w:val="38"/>
          <w:szCs w:val="38"/>
          <w:highlight w:val="none"/>
          <w:lang w:val="en-US" w:eastAsia="zh-CN"/>
        </w:rPr>
      </w:pPr>
      <w:r>
        <w:rPr>
          <w:rFonts w:hint="eastAsia" w:ascii="方正小标宋简体" w:hAnsi="方正小标宋简体" w:eastAsia="方正小标宋简体" w:cs="方正小标宋简体"/>
          <w:b w:val="0"/>
          <w:bCs w:val="0"/>
          <w:color w:val="auto"/>
          <w:sz w:val="38"/>
          <w:szCs w:val="38"/>
          <w:highlight w:val="none"/>
          <w:lang w:val="en-US" w:eastAsia="zh-CN"/>
        </w:rPr>
        <w:t>（征求意见稿）</w:t>
      </w:r>
    </w:p>
    <w:p w14:paraId="2F655840">
      <w:pPr>
        <w:pageBreakBefore w:val="0"/>
        <w:wordWrap/>
        <w:overflowPunct/>
        <w:topLinePunct w:val="0"/>
        <w:bidi w:val="0"/>
        <w:jc w:val="both"/>
        <w:rPr>
          <w:rFonts w:hint="eastAsia" w:ascii="方正小标宋简体" w:hAnsi="方正小标宋简体" w:eastAsia="方正小标宋简体" w:cs="方正小标宋简体"/>
          <w:b w:val="0"/>
          <w:bCs w:val="0"/>
          <w:color w:val="auto"/>
          <w:sz w:val="38"/>
          <w:szCs w:val="38"/>
          <w:highlight w:val="none"/>
          <w:lang w:val="en-US" w:eastAsia="zh-CN"/>
        </w:rPr>
      </w:pPr>
    </w:p>
    <w:p w14:paraId="2417CD54">
      <w:pPr>
        <w:pageBreakBefore w:val="0"/>
        <w:wordWrap/>
        <w:overflowPunct/>
        <w:topLinePunct w:val="0"/>
        <w:bidi w:val="0"/>
        <w:jc w:val="center"/>
        <w:rPr>
          <w:rFonts w:hint="eastAsia" w:ascii="方正小标宋简体" w:hAnsi="方正小标宋简体" w:eastAsia="方正小标宋简体" w:cs="方正小标宋简体"/>
          <w:b w:val="0"/>
          <w:bCs w:val="0"/>
          <w:color w:val="auto"/>
          <w:sz w:val="38"/>
          <w:szCs w:val="38"/>
          <w:highlight w:val="none"/>
          <w:lang w:val="en-US" w:eastAsia="zh-CN"/>
        </w:rPr>
      </w:pPr>
      <w:r>
        <w:rPr>
          <w:rFonts w:hint="eastAsia" w:ascii="方正小标宋简体" w:hAnsi="方正小标宋简体" w:eastAsia="方正小标宋简体" w:cs="方正小标宋简体"/>
          <w:b w:val="0"/>
          <w:bCs w:val="0"/>
          <w:color w:val="auto"/>
          <w:sz w:val="38"/>
          <w:szCs w:val="38"/>
          <w:highlight w:val="none"/>
          <w:lang w:val="en-US" w:eastAsia="zh-CN"/>
        </w:rPr>
        <w:t>2025年01月</w:t>
      </w:r>
    </w:p>
    <w:p w14:paraId="46B3FC13">
      <w:pPr>
        <w:pageBreakBefore w:val="0"/>
        <w:wordWrap/>
        <w:overflowPunct/>
        <w:topLinePunct w:val="0"/>
        <w:bidi w:val="0"/>
        <w:rPr>
          <w:rFonts w:hint="eastAsia" w:ascii="仿宋_GB2312" w:hAnsi="仿宋_GB2312" w:eastAsia="仿宋_GB2312" w:cs="仿宋_GB2312"/>
          <w:color w:val="auto"/>
          <w:sz w:val="38"/>
          <w:szCs w:val="38"/>
          <w:highlight w:val="none"/>
          <w:lang w:eastAsia="zh-CN"/>
        </w:rPr>
        <w:sectPr>
          <w:footerReference r:id="rId4" w:type="first"/>
          <w:footerReference r:id="rId3" w:type="default"/>
          <w:pgSz w:w="11906" w:h="16838"/>
          <w:pgMar w:top="2098" w:right="1474" w:bottom="1984" w:left="1587" w:header="851" w:footer="992" w:gutter="0"/>
          <w:pgNumType w:fmt="numberInDash" w:start="1"/>
          <w:cols w:space="720" w:num="1"/>
          <w:titlePg/>
          <w:docGrid w:type="lines" w:linePitch="312" w:charSpace="0"/>
        </w:sectPr>
      </w:pPr>
    </w:p>
    <w:p w14:paraId="209F5F11">
      <w:pPr>
        <w:keepNext/>
        <w:keepLines/>
        <w:pageBreakBefore w:val="0"/>
        <w:widowControl/>
        <w:kinsoku/>
        <w:wordWrap/>
        <w:overflowPunct/>
        <w:topLinePunct w:val="0"/>
        <w:autoSpaceDE/>
        <w:autoSpaceDN/>
        <w:bidi w:val="0"/>
        <w:adjustRightInd/>
        <w:snapToGrid/>
        <w:spacing w:before="313" w:beforeLines="100" w:after="313" w:afterLines="100" w:line="600" w:lineRule="exact"/>
        <w:jc w:val="center"/>
        <w:textAlignment w:val="auto"/>
        <w:outlineLvl w:val="9"/>
        <w:rPr>
          <w:rFonts w:hint="eastAsia" w:ascii="黑体" w:hAnsi="黑体" w:eastAsia="黑体" w:cs="黑体"/>
          <w:b w:val="0"/>
          <w:color w:val="auto"/>
          <w:kern w:val="0"/>
          <w:sz w:val="32"/>
          <w:szCs w:val="32"/>
          <w:highlight w:val="none"/>
          <w:lang w:val="en-US" w:eastAsia="zh-CN" w:bidi="ar-SA"/>
        </w:rPr>
      </w:pPr>
      <w:r>
        <w:rPr>
          <w:rFonts w:hint="eastAsia" w:ascii="黑体" w:hAnsi="黑体" w:eastAsia="黑体" w:cs="黑体"/>
          <w:b w:val="0"/>
          <w:color w:val="auto"/>
          <w:kern w:val="0"/>
          <w:sz w:val="32"/>
          <w:szCs w:val="32"/>
          <w:highlight w:val="none"/>
          <w:lang w:val="zh-CN" w:eastAsia="zh-CN" w:bidi="ar-SA"/>
        </w:rPr>
        <w:t>目</w:t>
      </w:r>
      <w:r>
        <w:rPr>
          <w:rFonts w:hint="eastAsia" w:ascii="黑体" w:hAnsi="黑体" w:eastAsia="黑体" w:cs="黑体"/>
          <w:b w:val="0"/>
          <w:color w:val="auto"/>
          <w:kern w:val="0"/>
          <w:sz w:val="32"/>
          <w:szCs w:val="32"/>
          <w:highlight w:val="none"/>
          <w:lang w:val="en-US" w:eastAsia="zh-CN" w:bidi="ar-SA"/>
        </w:rPr>
        <w:t xml:space="preserve">  </w:t>
      </w:r>
      <w:r>
        <w:rPr>
          <w:rFonts w:hint="eastAsia" w:ascii="黑体" w:hAnsi="黑体" w:eastAsia="黑体" w:cs="黑体"/>
          <w:b w:val="0"/>
          <w:color w:val="auto"/>
          <w:kern w:val="0"/>
          <w:sz w:val="32"/>
          <w:szCs w:val="32"/>
          <w:highlight w:val="none"/>
          <w:lang w:val="zh-CN" w:eastAsia="zh-CN" w:bidi="ar-SA"/>
        </w:rPr>
        <w:t>录</w:t>
      </w:r>
    </w:p>
    <w:p w14:paraId="66267277">
      <w:pPr>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fldChar w:fldCharType="begin"/>
      </w:r>
      <w:r>
        <w:rPr>
          <w:rFonts w:hint="eastAsia" w:ascii="仿宋_GB2312" w:hAnsi="仿宋_GB2312" w:eastAsia="仿宋_GB2312" w:cs="仿宋_GB2312"/>
          <w:color w:val="auto"/>
          <w:kern w:val="2"/>
          <w:sz w:val="32"/>
          <w:szCs w:val="32"/>
          <w:highlight w:val="none"/>
          <w:lang w:val="en-US" w:eastAsia="zh-CN" w:bidi="ar-SA"/>
        </w:rPr>
        <w:instrText xml:space="preserve"> TOC \o "1-3" \h \z \u </w:instrText>
      </w:r>
      <w:r>
        <w:rPr>
          <w:rFonts w:hint="eastAsia" w:ascii="仿宋_GB2312" w:hAnsi="仿宋_GB2312" w:eastAsia="仿宋_GB2312" w:cs="仿宋_GB2312"/>
          <w:color w:val="auto"/>
          <w:kern w:val="2"/>
          <w:sz w:val="32"/>
          <w:szCs w:val="32"/>
          <w:highlight w:val="none"/>
          <w:lang w:val="en-US" w:eastAsia="zh-CN" w:bidi="ar-SA"/>
        </w:rPr>
        <w:fldChar w:fldCharType="separate"/>
      </w:r>
      <w:r>
        <w:rPr>
          <w:rFonts w:hint="eastAsia" w:ascii="黑体" w:hAnsi="黑体" w:eastAsia="黑体" w:cs="黑体"/>
          <w:b/>
          <w:bCs/>
          <w:color w:val="auto"/>
          <w:kern w:val="2"/>
          <w:sz w:val="32"/>
          <w:szCs w:val="32"/>
          <w:highlight w:val="none"/>
          <w:lang w:val="en-US" w:eastAsia="zh-CN" w:bidi="ar-SA"/>
        </w:rPr>
        <w:fldChar w:fldCharType="begin"/>
      </w:r>
      <w:r>
        <w:rPr>
          <w:rFonts w:hint="eastAsia" w:ascii="黑体" w:hAnsi="黑体" w:eastAsia="黑体" w:cs="黑体"/>
          <w:b/>
          <w:bCs/>
          <w:color w:val="auto"/>
          <w:kern w:val="2"/>
          <w:sz w:val="32"/>
          <w:szCs w:val="32"/>
          <w:highlight w:val="none"/>
          <w:lang w:val="en-US" w:eastAsia="zh-CN" w:bidi="ar-SA"/>
        </w:rPr>
        <w:instrText xml:space="preserve"> HYPERLINK \l _Toc24342 </w:instrText>
      </w:r>
      <w:r>
        <w:rPr>
          <w:rFonts w:hint="eastAsia" w:ascii="黑体" w:hAnsi="黑体" w:eastAsia="黑体" w:cs="黑体"/>
          <w:b/>
          <w:bCs/>
          <w:color w:val="auto"/>
          <w:kern w:val="2"/>
          <w:sz w:val="32"/>
          <w:szCs w:val="32"/>
          <w:highlight w:val="none"/>
          <w:lang w:val="en-US" w:eastAsia="zh-CN" w:bidi="ar-SA"/>
        </w:rPr>
        <w:fldChar w:fldCharType="separate"/>
      </w:r>
      <w:r>
        <w:rPr>
          <w:rFonts w:hint="eastAsia" w:ascii="黑体" w:hAnsi="黑体" w:eastAsia="黑体" w:cs="黑体"/>
          <w:b/>
          <w:bCs/>
          <w:color w:val="auto"/>
          <w:kern w:val="2"/>
          <w:sz w:val="32"/>
          <w:szCs w:val="32"/>
          <w:highlight w:val="none"/>
          <w:lang w:val="en-US" w:eastAsia="zh-CN" w:bidi="ar-SA"/>
        </w:rPr>
        <w:t>一、企业管理制度</w:t>
      </w:r>
      <w:r>
        <w:rPr>
          <w:rFonts w:hint="eastAsia" w:ascii="黑体" w:hAnsi="黑体" w:eastAsia="黑体" w:cs="黑体"/>
          <w:b/>
          <w:bCs/>
          <w:color w:val="auto"/>
          <w:kern w:val="2"/>
          <w:sz w:val="32"/>
          <w:szCs w:val="32"/>
          <w:highlight w:val="none"/>
          <w:lang w:val="en-US" w:eastAsia="zh-CN" w:bidi="ar-SA"/>
        </w:rPr>
        <w:tab/>
      </w:r>
      <w:r>
        <w:rPr>
          <w:rFonts w:hint="eastAsia" w:ascii="黑体" w:hAnsi="黑体" w:eastAsia="黑体" w:cs="黑体"/>
          <w:b/>
          <w:bCs/>
          <w:color w:val="auto"/>
          <w:kern w:val="2"/>
          <w:sz w:val="32"/>
          <w:szCs w:val="32"/>
          <w:highlight w:val="none"/>
          <w:lang w:val="en-US" w:eastAsia="zh-CN" w:bidi="ar-SA"/>
        </w:rPr>
        <w:t>3</w:t>
      </w:r>
      <w:r>
        <w:rPr>
          <w:rFonts w:hint="eastAsia" w:ascii="黑体" w:hAnsi="黑体" w:eastAsia="黑体" w:cs="黑体"/>
          <w:b/>
          <w:bCs/>
          <w:color w:val="auto"/>
          <w:kern w:val="2"/>
          <w:sz w:val="32"/>
          <w:szCs w:val="32"/>
          <w:highlight w:val="none"/>
          <w:lang w:val="en-US" w:eastAsia="zh-CN" w:bidi="ar-SA"/>
        </w:rPr>
        <w:fldChar w:fldCharType="end"/>
      </w:r>
    </w:p>
    <w:p w14:paraId="0136B165">
      <w:pPr>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bCs/>
          <w:color w:val="auto"/>
          <w:kern w:val="2"/>
          <w:sz w:val="32"/>
          <w:szCs w:val="32"/>
          <w:highlight w:val="none"/>
          <w:lang w:val="zh-CN" w:eastAsia="zh-CN" w:bidi="ar-SA"/>
        </w:rPr>
        <w:fldChar w:fldCharType="begin"/>
      </w:r>
      <w:r>
        <w:rPr>
          <w:rFonts w:hint="eastAsia" w:ascii="楷体_GB2312" w:hAnsi="楷体_GB2312" w:eastAsia="楷体_GB2312" w:cs="楷体_GB2312"/>
          <w:bCs/>
          <w:color w:val="auto"/>
          <w:kern w:val="2"/>
          <w:sz w:val="32"/>
          <w:szCs w:val="32"/>
          <w:highlight w:val="none"/>
          <w:lang w:val="zh-CN" w:eastAsia="zh-CN" w:bidi="ar-SA"/>
        </w:rPr>
        <w:instrText xml:space="preserve"> HYPERLINK \l _Toc22437 </w:instrText>
      </w:r>
      <w:r>
        <w:rPr>
          <w:rFonts w:hint="eastAsia" w:ascii="楷体_GB2312" w:hAnsi="楷体_GB2312" w:eastAsia="楷体_GB2312" w:cs="楷体_GB2312"/>
          <w:bCs/>
          <w:color w:val="auto"/>
          <w:kern w:val="2"/>
          <w:sz w:val="32"/>
          <w:szCs w:val="32"/>
          <w:highlight w:val="none"/>
          <w:lang w:val="zh-CN" w:eastAsia="zh-CN" w:bidi="ar-SA"/>
        </w:rPr>
        <w:fldChar w:fldCharType="separate"/>
      </w:r>
      <w:r>
        <w:rPr>
          <w:rFonts w:hint="eastAsia" w:ascii="楷体_GB2312" w:hAnsi="楷体_GB2312" w:eastAsia="楷体_GB2312" w:cs="楷体_GB2312"/>
          <w:color w:val="auto"/>
          <w:kern w:val="2"/>
          <w:sz w:val="32"/>
          <w:szCs w:val="32"/>
          <w:highlight w:val="none"/>
          <w:lang w:val="en-US" w:eastAsia="zh-CN" w:bidi="ar-SA"/>
        </w:rPr>
        <w:t>（一）人事管理制度模板</w:t>
      </w:r>
      <w:r>
        <w:rPr>
          <w:rFonts w:hint="eastAsia" w:ascii="楷体_GB2312" w:hAnsi="楷体_GB2312" w:eastAsia="楷体_GB2312" w:cs="楷体_GB2312"/>
          <w:color w:val="auto"/>
          <w:kern w:val="2"/>
          <w:sz w:val="32"/>
          <w:szCs w:val="32"/>
          <w:highlight w:val="none"/>
          <w:lang w:val="en-US" w:eastAsia="zh-CN" w:bidi="ar-SA"/>
        </w:rPr>
        <w:tab/>
      </w:r>
      <w:r>
        <w:rPr>
          <w:rFonts w:hint="eastAsia" w:ascii="楷体_GB2312" w:hAnsi="楷体_GB2312" w:eastAsia="楷体_GB2312" w:cs="楷体_GB2312"/>
          <w:color w:val="auto"/>
          <w:kern w:val="2"/>
          <w:sz w:val="32"/>
          <w:szCs w:val="32"/>
          <w:highlight w:val="none"/>
          <w:lang w:val="en-US" w:eastAsia="zh-CN" w:bidi="ar-SA"/>
        </w:rPr>
        <w:t>3</w:t>
      </w:r>
      <w:r>
        <w:rPr>
          <w:rFonts w:hint="eastAsia" w:ascii="楷体_GB2312" w:hAnsi="楷体_GB2312" w:eastAsia="楷体_GB2312" w:cs="楷体_GB2312"/>
          <w:bCs/>
          <w:color w:val="auto"/>
          <w:kern w:val="2"/>
          <w:sz w:val="32"/>
          <w:szCs w:val="32"/>
          <w:highlight w:val="none"/>
          <w:lang w:val="zh-CN" w:eastAsia="zh-CN" w:bidi="ar-SA"/>
        </w:rPr>
        <w:fldChar w:fldCharType="end"/>
      </w:r>
    </w:p>
    <w:p w14:paraId="2938C87A">
      <w:pPr>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bCs/>
          <w:color w:val="auto"/>
          <w:kern w:val="2"/>
          <w:sz w:val="32"/>
          <w:szCs w:val="32"/>
          <w:highlight w:val="none"/>
          <w:lang w:val="zh-CN" w:eastAsia="zh-CN" w:bidi="ar-SA"/>
        </w:rPr>
        <w:fldChar w:fldCharType="begin"/>
      </w:r>
      <w:r>
        <w:rPr>
          <w:rFonts w:hint="eastAsia" w:ascii="楷体_GB2312" w:hAnsi="楷体_GB2312" w:eastAsia="楷体_GB2312" w:cs="楷体_GB2312"/>
          <w:bCs/>
          <w:color w:val="auto"/>
          <w:kern w:val="2"/>
          <w:sz w:val="32"/>
          <w:szCs w:val="32"/>
          <w:highlight w:val="none"/>
          <w:lang w:val="zh-CN" w:eastAsia="zh-CN" w:bidi="ar-SA"/>
        </w:rPr>
        <w:instrText xml:space="preserve"> HYPERLINK \l _Toc15689 </w:instrText>
      </w:r>
      <w:r>
        <w:rPr>
          <w:rFonts w:hint="eastAsia" w:ascii="楷体_GB2312" w:hAnsi="楷体_GB2312" w:eastAsia="楷体_GB2312" w:cs="楷体_GB2312"/>
          <w:bCs/>
          <w:color w:val="auto"/>
          <w:kern w:val="2"/>
          <w:sz w:val="32"/>
          <w:szCs w:val="32"/>
          <w:highlight w:val="none"/>
          <w:lang w:val="zh-CN" w:eastAsia="zh-CN" w:bidi="ar-SA"/>
        </w:rPr>
        <w:fldChar w:fldCharType="separate"/>
      </w:r>
      <w:r>
        <w:rPr>
          <w:rFonts w:hint="eastAsia" w:ascii="楷体_GB2312" w:hAnsi="楷体_GB2312" w:eastAsia="楷体_GB2312" w:cs="楷体_GB2312"/>
          <w:color w:val="auto"/>
          <w:kern w:val="2"/>
          <w:sz w:val="32"/>
          <w:szCs w:val="32"/>
          <w:highlight w:val="none"/>
          <w:lang w:val="en-US" w:eastAsia="zh-CN" w:bidi="ar-SA"/>
        </w:rPr>
        <w:t>（二）薪酬管理制度模板</w:t>
      </w:r>
      <w:r>
        <w:rPr>
          <w:rFonts w:hint="eastAsia" w:ascii="楷体_GB2312" w:hAnsi="楷体_GB2312" w:eastAsia="楷体_GB2312" w:cs="楷体_GB2312"/>
          <w:color w:val="auto"/>
          <w:kern w:val="2"/>
          <w:sz w:val="32"/>
          <w:szCs w:val="32"/>
          <w:highlight w:val="none"/>
          <w:lang w:val="en-US" w:eastAsia="zh-CN" w:bidi="ar-SA"/>
        </w:rPr>
        <w:tab/>
      </w:r>
      <w:r>
        <w:rPr>
          <w:rFonts w:hint="eastAsia" w:ascii="楷体_GB2312" w:hAnsi="楷体_GB2312" w:eastAsia="楷体_GB2312" w:cs="楷体_GB2312"/>
          <w:color w:val="auto"/>
          <w:kern w:val="2"/>
          <w:sz w:val="32"/>
          <w:szCs w:val="32"/>
          <w:highlight w:val="none"/>
          <w:lang w:val="en-US" w:eastAsia="zh-CN" w:bidi="ar-SA"/>
        </w:rPr>
        <w:t>14</w:t>
      </w:r>
      <w:r>
        <w:rPr>
          <w:rFonts w:hint="eastAsia" w:ascii="楷体_GB2312" w:hAnsi="楷体_GB2312" w:eastAsia="楷体_GB2312" w:cs="楷体_GB2312"/>
          <w:bCs/>
          <w:color w:val="auto"/>
          <w:kern w:val="2"/>
          <w:sz w:val="32"/>
          <w:szCs w:val="32"/>
          <w:highlight w:val="none"/>
          <w:lang w:val="zh-CN" w:eastAsia="zh-CN" w:bidi="ar-SA"/>
        </w:rPr>
        <w:fldChar w:fldCharType="end"/>
      </w:r>
    </w:p>
    <w:p w14:paraId="2826AE30">
      <w:pPr>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bCs/>
          <w:color w:val="auto"/>
          <w:kern w:val="2"/>
          <w:sz w:val="32"/>
          <w:szCs w:val="32"/>
          <w:highlight w:val="none"/>
          <w:lang w:val="zh-CN" w:eastAsia="zh-CN" w:bidi="ar-SA"/>
        </w:rPr>
        <w:fldChar w:fldCharType="begin"/>
      </w:r>
      <w:r>
        <w:rPr>
          <w:rFonts w:hint="eastAsia" w:ascii="楷体_GB2312" w:hAnsi="楷体_GB2312" w:eastAsia="楷体_GB2312" w:cs="楷体_GB2312"/>
          <w:bCs/>
          <w:color w:val="auto"/>
          <w:kern w:val="2"/>
          <w:sz w:val="32"/>
          <w:szCs w:val="32"/>
          <w:highlight w:val="none"/>
          <w:lang w:val="zh-CN" w:eastAsia="zh-CN" w:bidi="ar-SA"/>
        </w:rPr>
        <w:instrText xml:space="preserve"> HYPERLINK \l _Toc31547 </w:instrText>
      </w:r>
      <w:r>
        <w:rPr>
          <w:rFonts w:hint="eastAsia" w:ascii="楷体_GB2312" w:hAnsi="楷体_GB2312" w:eastAsia="楷体_GB2312" w:cs="楷体_GB2312"/>
          <w:bCs/>
          <w:color w:val="auto"/>
          <w:kern w:val="2"/>
          <w:sz w:val="32"/>
          <w:szCs w:val="32"/>
          <w:highlight w:val="none"/>
          <w:lang w:val="zh-CN" w:eastAsia="zh-CN" w:bidi="ar-SA"/>
        </w:rPr>
        <w:fldChar w:fldCharType="separate"/>
      </w:r>
      <w:r>
        <w:rPr>
          <w:rFonts w:hint="eastAsia" w:ascii="楷体_GB2312" w:hAnsi="楷体_GB2312" w:eastAsia="楷体_GB2312" w:cs="楷体_GB2312"/>
          <w:color w:val="auto"/>
          <w:kern w:val="2"/>
          <w:sz w:val="32"/>
          <w:szCs w:val="32"/>
          <w:highlight w:val="none"/>
          <w:lang w:val="en-US" w:eastAsia="zh-CN" w:bidi="ar-SA"/>
        </w:rPr>
        <w:t>（三）财务管理制度模板</w:t>
      </w:r>
      <w:r>
        <w:rPr>
          <w:rFonts w:hint="eastAsia" w:ascii="楷体_GB2312" w:hAnsi="楷体_GB2312" w:eastAsia="楷体_GB2312" w:cs="楷体_GB2312"/>
          <w:color w:val="auto"/>
          <w:kern w:val="2"/>
          <w:sz w:val="32"/>
          <w:szCs w:val="32"/>
          <w:highlight w:val="none"/>
          <w:lang w:val="en-US" w:eastAsia="zh-CN" w:bidi="ar-SA"/>
        </w:rPr>
        <w:tab/>
      </w:r>
      <w:r>
        <w:rPr>
          <w:rFonts w:hint="eastAsia" w:ascii="楷体_GB2312" w:hAnsi="楷体_GB2312" w:eastAsia="楷体_GB2312" w:cs="楷体_GB2312"/>
          <w:color w:val="auto"/>
          <w:kern w:val="2"/>
          <w:sz w:val="32"/>
          <w:szCs w:val="32"/>
          <w:highlight w:val="none"/>
          <w:lang w:val="en-US" w:eastAsia="zh-CN" w:bidi="ar-SA"/>
        </w:rPr>
        <w:t>1</w:t>
      </w:r>
      <w:r>
        <w:rPr>
          <w:rFonts w:hint="eastAsia" w:ascii="楷体_GB2312" w:hAnsi="楷体_GB2312" w:eastAsia="楷体_GB2312" w:cs="楷体_GB2312"/>
          <w:bCs/>
          <w:color w:val="auto"/>
          <w:kern w:val="2"/>
          <w:sz w:val="32"/>
          <w:szCs w:val="32"/>
          <w:highlight w:val="none"/>
          <w:lang w:val="zh-CN" w:eastAsia="zh-CN" w:bidi="ar-SA"/>
        </w:rPr>
        <w:fldChar w:fldCharType="end"/>
      </w:r>
      <w:r>
        <w:rPr>
          <w:rFonts w:hint="eastAsia" w:ascii="楷体_GB2312" w:hAnsi="楷体_GB2312" w:eastAsia="楷体_GB2312" w:cs="楷体_GB2312"/>
          <w:bCs/>
          <w:color w:val="auto"/>
          <w:kern w:val="2"/>
          <w:sz w:val="32"/>
          <w:szCs w:val="32"/>
          <w:highlight w:val="none"/>
          <w:lang w:val="en-US" w:eastAsia="zh-CN" w:bidi="ar-SA"/>
        </w:rPr>
        <w:t>9</w:t>
      </w:r>
    </w:p>
    <w:p w14:paraId="730BDB53">
      <w:pPr>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640" w:firstLineChars="200"/>
        <w:jc w:val="both"/>
        <w:textAlignment w:val="auto"/>
        <w:rPr>
          <w:rFonts w:hint="default"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bCs/>
          <w:color w:val="auto"/>
          <w:kern w:val="2"/>
          <w:sz w:val="32"/>
          <w:szCs w:val="32"/>
          <w:highlight w:val="none"/>
          <w:lang w:val="zh-CN" w:eastAsia="zh-CN" w:bidi="ar-SA"/>
        </w:rPr>
        <w:fldChar w:fldCharType="begin"/>
      </w:r>
      <w:r>
        <w:rPr>
          <w:rFonts w:hint="eastAsia" w:ascii="楷体_GB2312" w:hAnsi="楷体_GB2312" w:eastAsia="楷体_GB2312" w:cs="楷体_GB2312"/>
          <w:bCs/>
          <w:color w:val="auto"/>
          <w:kern w:val="2"/>
          <w:sz w:val="32"/>
          <w:szCs w:val="32"/>
          <w:highlight w:val="none"/>
          <w:lang w:val="zh-CN" w:eastAsia="zh-CN" w:bidi="ar-SA"/>
        </w:rPr>
        <w:instrText xml:space="preserve"> HYPERLINK \l _Toc18654 </w:instrText>
      </w:r>
      <w:r>
        <w:rPr>
          <w:rFonts w:hint="eastAsia" w:ascii="楷体_GB2312" w:hAnsi="楷体_GB2312" w:eastAsia="楷体_GB2312" w:cs="楷体_GB2312"/>
          <w:bCs/>
          <w:color w:val="auto"/>
          <w:kern w:val="2"/>
          <w:sz w:val="32"/>
          <w:szCs w:val="32"/>
          <w:highlight w:val="none"/>
          <w:lang w:val="zh-CN" w:eastAsia="zh-CN" w:bidi="ar-SA"/>
        </w:rPr>
        <w:fldChar w:fldCharType="separate"/>
      </w:r>
      <w:r>
        <w:rPr>
          <w:rFonts w:hint="eastAsia" w:ascii="楷体_GB2312" w:hAnsi="楷体_GB2312" w:eastAsia="楷体_GB2312" w:cs="楷体_GB2312"/>
          <w:color w:val="auto"/>
          <w:kern w:val="2"/>
          <w:sz w:val="32"/>
          <w:szCs w:val="32"/>
          <w:highlight w:val="none"/>
          <w:lang w:val="en-US" w:eastAsia="zh-CN" w:bidi="ar-SA"/>
        </w:rPr>
        <w:t>（四）资产采购管理制度模板</w:t>
      </w:r>
      <w:r>
        <w:rPr>
          <w:rFonts w:hint="eastAsia" w:ascii="楷体_GB2312" w:hAnsi="楷体_GB2312" w:eastAsia="楷体_GB2312" w:cs="楷体_GB2312"/>
          <w:color w:val="auto"/>
          <w:kern w:val="2"/>
          <w:sz w:val="32"/>
          <w:szCs w:val="32"/>
          <w:highlight w:val="none"/>
          <w:lang w:val="en-US" w:eastAsia="zh-CN" w:bidi="ar-SA"/>
        </w:rPr>
        <w:tab/>
      </w:r>
      <w:r>
        <w:rPr>
          <w:rFonts w:hint="eastAsia" w:ascii="楷体_GB2312" w:hAnsi="楷体_GB2312" w:eastAsia="楷体_GB2312" w:cs="楷体_GB2312"/>
          <w:color w:val="auto"/>
          <w:kern w:val="2"/>
          <w:sz w:val="32"/>
          <w:szCs w:val="32"/>
          <w:highlight w:val="none"/>
          <w:lang w:val="en-US" w:eastAsia="zh-CN" w:bidi="ar-SA"/>
        </w:rPr>
        <w:t>32</w:t>
      </w:r>
      <w:r>
        <w:rPr>
          <w:rFonts w:hint="eastAsia" w:ascii="楷体_GB2312" w:hAnsi="楷体_GB2312" w:eastAsia="楷体_GB2312" w:cs="楷体_GB2312"/>
          <w:bCs/>
          <w:color w:val="auto"/>
          <w:kern w:val="2"/>
          <w:sz w:val="32"/>
          <w:szCs w:val="32"/>
          <w:highlight w:val="none"/>
          <w:lang w:val="zh-CN" w:eastAsia="zh-CN" w:bidi="ar-SA"/>
        </w:rPr>
        <w:fldChar w:fldCharType="end"/>
      </w:r>
    </w:p>
    <w:p w14:paraId="60312DB4">
      <w:pPr>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bCs/>
          <w:color w:val="auto"/>
          <w:kern w:val="2"/>
          <w:sz w:val="32"/>
          <w:szCs w:val="32"/>
          <w:highlight w:val="none"/>
          <w:lang w:val="zh-CN" w:eastAsia="zh-CN" w:bidi="ar-SA"/>
        </w:rPr>
        <w:fldChar w:fldCharType="begin"/>
      </w:r>
      <w:r>
        <w:rPr>
          <w:rFonts w:hint="eastAsia" w:ascii="楷体_GB2312" w:hAnsi="楷体_GB2312" w:eastAsia="楷体_GB2312" w:cs="楷体_GB2312"/>
          <w:bCs/>
          <w:color w:val="auto"/>
          <w:kern w:val="2"/>
          <w:sz w:val="32"/>
          <w:szCs w:val="32"/>
          <w:highlight w:val="none"/>
          <w:lang w:val="zh-CN" w:eastAsia="zh-CN" w:bidi="ar-SA"/>
        </w:rPr>
        <w:instrText xml:space="preserve"> HYPERLINK \l _Toc30533 </w:instrText>
      </w:r>
      <w:r>
        <w:rPr>
          <w:rFonts w:hint="eastAsia" w:ascii="楷体_GB2312" w:hAnsi="楷体_GB2312" w:eastAsia="楷体_GB2312" w:cs="楷体_GB2312"/>
          <w:bCs/>
          <w:color w:val="auto"/>
          <w:kern w:val="2"/>
          <w:sz w:val="32"/>
          <w:szCs w:val="32"/>
          <w:highlight w:val="none"/>
          <w:lang w:val="zh-CN" w:eastAsia="zh-CN" w:bidi="ar-SA"/>
        </w:rPr>
        <w:fldChar w:fldCharType="separate"/>
      </w:r>
      <w:r>
        <w:rPr>
          <w:rFonts w:hint="eastAsia" w:ascii="楷体_GB2312" w:hAnsi="楷体_GB2312" w:eastAsia="楷体_GB2312" w:cs="楷体_GB2312"/>
          <w:color w:val="auto"/>
          <w:kern w:val="2"/>
          <w:sz w:val="32"/>
          <w:szCs w:val="32"/>
          <w:highlight w:val="none"/>
          <w:lang w:val="en-US" w:eastAsia="zh-CN" w:bidi="ar-SA"/>
        </w:rPr>
        <w:t>（五）档案管理制度模板</w:t>
      </w:r>
      <w:r>
        <w:rPr>
          <w:rFonts w:hint="eastAsia" w:ascii="楷体_GB2312" w:hAnsi="楷体_GB2312" w:eastAsia="楷体_GB2312" w:cs="楷体_GB2312"/>
          <w:color w:val="auto"/>
          <w:kern w:val="2"/>
          <w:sz w:val="32"/>
          <w:szCs w:val="32"/>
          <w:highlight w:val="none"/>
          <w:lang w:val="en-US" w:eastAsia="zh-CN" w:bidi="ar-SA"/>
        </w:rPr>
        <w:tab/>
      </w:r>
      <w:r>
        <w:rPr>
          <w:rFonts w:hint="eastAsia" w:ascii="楷体_GB2312" w:hAnsi="楷体_GB2312" w:eastAsia="楷体_GB2312" w:cs="楷体_GB2312"/>
          <w:color w:val="auto"/>
          <w:kern w:val="2"/>
          <w:sz w:val="32"/>
          <w:szCs w:val="32"/>
          <w:highlight w:val="none"/>
          <w:lang w:val="en-US" w:eastAsia="zh-CN" w:bidi="ar-SA"/>
        </w:rPr>
        <w:t>3</w:t>
      </w:r>
      <w:r>
        <w:rPr>
          <w:rFonts w:hint="eastAsia" w:ascii="楷体_GB2312" w:hAnsi="楷体_GB2312" w:eastAsia="楷体_GB2312" w:cs="楷体_GB2312"/>
          <w:bCs/>
          <w:color w:val="auto"/>
          <w:kern w:val="2"/>
          <w:sz w:val="32"/>
          <w:szCs w:val="32"/>
          <w:highlight w:val="none"/>
          <w:lang w:val="zh-CN" w:eastAsia="zh-CN" w:bidi="ar-SA"/>
        </w:rPr>
        <w:fldChar w:fldCharType="end"/>
      </w:r>
      <w:r>
        <w:rPr>
          <w:rFonts w:hint="eastAsia" w:ascii="楷体_GB2312" w:hAnsi="楷体_GB2312" w:eastAsia="楷体_GB2312" w:cs="楷体_GB2312"/>
          <w:bCs/>
          <w:color w:val="auto"/>
          <w:kern w:val="2"/>
          <w:sz w:val="32"/>
          <w:szCs w:val="32"/>
          <w:highlight w:val="none"/>
          <w:lang w:val="en-US" w:eastAsia="zh-CN" w:bidi="ar-SA"/>
        </w:rPr>
        <w:t>7</w:t>
      </w:r>
    </w:p>
    <w:p w14:paraId="0D353809">
      <w:pPr>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bCs/>
          <w:color w:val="auto"/>
          <w:kern w:val="2"/>
          <w:sz w:val="32"/>
          <w:szCs w:val="32"/>
          <w:highlight w:val="none"/>
          <w:lang w:val="zh-CN" w:eastAsia="zh-CN" w:bidi="ar-SA"/>
        </w:rPr>
        <w:fldChar w:fldCharType="begin"/>
      </w:r>
      <w:r>
        <w:rPr>
          <w:rFonts w:hint="eastAsia" w:ascii="楷体_GB2312" w:hAnsi="楷体_GB2312" w:eastAsia="楷体_GB2312" w:cs="楷体_GB2312"/>
          <w:bCs/>
          <w:color w:val="auto"/>
          <w:kern w:val="2"/>
          <w:sz w:val="32"/>
          <w:szCs w:val="32"/>
          <w:highlight w:val="none"/>
          <w:lang w:val="zh-CN" w:eastAsia="zh-CN" w:bidi="ar-SA"/>
        </w:rPr>
        <w:instrText xml:space="preserve"> HYPERLINK \l _Toc12573 </w:instrText>
      </w:r>
      <w:r>
        <w:rPr>
          <w:rFonts w:hint="eastAsia" w:ascii="楷体_GB2312" w:hAnsi="楷体_GB2312" w:eastAsia="楷体_GB2312" w:cs="楷体_GB2312"/>
          <w:bCs/>
          <w:color w:val="auto"/>
          <w:kern w:val="2"/>
          <w:sz w:val="32"/>
          <w:szCs w:val="32"/>
          <w:highlight w:val="none"/>
          <w:lang w:val="zh-CN" w:eastAsia="zh-CN" w:bidi="ar-SA"/>
        </w:rPr>
        <w:fldChar w:fldCharType="separate"/>
      </w:r>
      <w:r>
        <w:rPr>
          <w:rFonts w:hint="eastAsia" w:ascii="楷体_GB2312" w:hAnsi="楷体_GB2312" w:eastAsia="楷体_GB2312" w:cs="楷体_GB2312"/>
          <w:color w:val="auto"/>
          <w:kern w:val="2"/>
          <w:sz w:val="32"/>
          <w:szCs w:val="32"/>
          <w:highlight w:val="none"/>
          <w:lang w:val="en-US" w:eastAsia="zh-CN" w:bidi="ar-SA"/>
        </w:rPr>
        <w:t>（六）合同管理制度模板</w:t>
      </w:r>
      <w:r>
        <w:rPr>
          <w:rFonts w:hint="eastAsia" w:ascii="楷体_GB2312" w:hAnsi="楷体_GB2312" w:eastAsia="楷体_GB2312" w:cs="楷体_GB2312"/>
          <w:color w:val="auto"/>
          <w:kern w:val="2"/>
          <w:sz w:val="32"/>
          <w:szCs w:val="32"/>
          <w:highlight w:val="none"/>
          <w:lang w:val="en-US" w:eastAsia="zh-CN" w:bidi="ar-SA"/>
        </w:rPr>
        <w:tab/>
      </w:r>
      <w:r>
        <w:rPr>
          <w:rFonts w:hint="eastAsia" w:ascii="楷体_GB2312" w:hAnsi="楷体_GB2312" w:eastAsia="楷体_GB2312" w:cs="楷体_GB2312"/>
          <w:color w:val="auto"/>
          <w:kern w:val="2"/>
          <w:sz w:val="32"/>
          <w:szCs w:val="32"/>
          <w:highlight w:val="none"/>
          <w:lang w:val="en-US" w:eastAsia="zh-CN" w:bidi="ar-SA"/>
        </w:rPr>
        <w:t>4</w:t>
      </w:r>
      <w:r>
        <w:rPr>
          <w:rFonts w:hint="eastAsia" w:ascii="楷体_GB2312" w:hAnsi="楷体_GB2312" w:eastAsia="楷体_GB2312" w:cs="楷体_GB2312"/>
          <w:bCs/>
          <w:color w:val="auto"/>
          <w:kern w:val="2"/>
          <w:sz w:val="32"/>
          <w:szCs w:val="32"/>
          <w:highlight w:val="none"/>
          <w:lang w:val="zh-CN" w:eastAsia="zh-CN" w:bidi="ar-SA"/>
        </w:rPr>
        <w:fldChar w:fldCharType="end"/>
      </w:r>
      <w:r>
        <w:rPr>
          <w:rFonts w:hint="eastAsia" w:ascii="楷体_GB2312" w:hAnsi="楷体_GB2312" w:eastAsia="楷体_GB2312" w:cs="楷体_GB2312"/>
          <w:bCs/>
          <w:color w:val="auto"/>
          <w:kern w:val="2"/>
          <w:sz w:val="32"/>
          <w:szCs w:val="32"/>
          <w:highlight w:val="none"/>
          <w:lang w:val="en-US" w:eastAsia="zh-CN" w:bidi="ar-SA"/>
        </w:rPr>
        <w:t>2</w:t>
      </w:r>
    </w:p>
    <w:p w14:paraId="5EA9C981">
      <w:pPr>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bCs/>
          <w:color w:val="auto"/>
          <w:kern w:val="2"/>
          <w:sz w:val="32"/>
          <w:szCs w:val="32"/>
          <w:highlight w:val="none"/>
          <w:lang w:val="zh-CN" w:eastAsia="zh-CN" w:bidi="ar-SA"/>
        </w:rPr>
        <w:fldChar w:fldCharType="begin"/>
      </w:r>
      <w:r>
        <w:rPr>
          <w:rFonts w:hint="eastAsia" w:ascii="楷体_GB2312" w:hAnsi="楷体_GB2312" w:eastAsia="楷体_GB2312" w:cs="楷体_GB2312"/>
          <w:bCs/>
          <w:color w:val="auto"/>
          <w:kern w:val="2"/>
          <w:sz w:val="32"/>
          <w:szCs w:val="32"/>
          <w:highlight w:val="none"/>
          <w:lang w:val="zh-CN" w:eastAsia="zh-CN" w:bidi="ar-SA"/>
        </w:rPr>
        <w:instrText xml:space="preserve"> HYPERLINK \l _Toc4925 </w:instrText>
      </w:r>
      <w:r>
        <w:rPr>
          <w:rFonts w:hint="eastAsia" w:ascii="楷体_GB2312" w:hAnsi="楷体_GB2312" w:eastAsia="楷体_GB2312" w:cs="楷体_GB2312"/>
          <w:bCs/>
          <w:color w:val="auto"/>
          <w:kern w:val="2"/>
          <w:sz w:val="32"/>
          <w:szCs w:val="32"/>
          <w:highlight w:val="none"/>
          <w:lang w:val="zh-CN" w:eastAsia="zh-CN" w:bidi="ar-SA"/>
        </w:rPr>
        <w:fldChar w:fldCharType="separate"/>
      </w:r>
      <w:r>
        <w:rPr>
          <w:rFonts w:hint="eastAsia" w:ascii="楷体_GB2312" w:hAnsi="楷体_GB2312" w:eastAsia="楷体_GB2312" w:cs="楷体_GB2312"/>
          <w:color w:val="auto"/>
          <w:kern w:val="2"/>
          <w:sz w:val="32"/>
          <w:szCs w:val="32"/>
          <w:highlight w:val="none"/>
          <w:lang w:val="en-US" w:eastAsia="zh-CN" w:bidi="ar-SA"/>
        </w:rPr>
        <w:t>（七）“三重一大”管理制度模板</w:t>
      </w:r>
      <w:r>
        <w:rPr>
          <w:rFonts w:hint="eastAsia" w:ascii="楷体_GB2312" w:hAnsi="楷体_GB2312" w:eastAsia="楷体_GB2312" w:cs="楷体_GB2312"/>
          <w:color w:val="auto"/>
          <w:kern w:val="2"/>
          <w:sz w:val="32"/>
          <w:szCs w:val="32"/>
          <w:highlight w:val="none"/>
          <w:lang w:val="en-US" w:eastAsia="zh-CN" w:bidi="ar-SA"/>
        </w:rPr>
        <w:tab/>
      </w:r>
      <w:r>
        <w:rPr>
          <w:rFonts w:hint="eastAsia" w:ascii="楷体_GB2312" w:hAnsi="楷体_GB2312" w:eastAsia="楷体_GB2312" w:cs="楷体_GB2312"/>
          <w:color w:val="auto"/>
          <w:kern w:val="2"/>
          <w:sz w:val="32"/>
          <w:szCs w:val="32"/>
          <w:highlight w:val="none"/>
          <w:lang w:val="en-US" w:eastAsia="zh-CN" w:bidi="ar-SA"/>
        </w:rPr>
        <w:t>4</w:t>
      </w:r>
      <w:r>
        <w:rPr>
          <w:rFonts w:hint="eastAsia" w:ascii="楷体_GB2312" w:hAnsi="楷体_GB2312" w:eastAsia="楷体_GB2312" w:cs="楷体_GB2312"/>
          <w:bCs/>
          <w:color w:val="auto"/>
          <w:kern w:val="2"/>
          <w:sz w:val="32"/>
          <w:szCs w:val="32"/>
          <w:highlight w:val="none"/>
          <w:lang w:val="zh-CN" w:eastAsia="zh-CN" w:bidi="ar-SA"/>
        </w:rPr>
        <w:fldChar w:fldCharType="end"/>
      </w:r>
      <w:r>
        <w:rPr>
          <w:rFonts w:hint="eastAsia" w:ascii="楷体_GB2312" w:hAnsi="楷体_GB2312" w:eastAsia="楷体_GB2312" w:cs="楷体_GB2312"/>
          <w:bCs/>
          <w:color w:val="auto"/>
          <w:kern w:val="2"/>
          <w:sz w:val="32"/>
          <w:szCs w:val="32"/>
          <w:highlight w:val="none"/>
          <w:lang w:val="en-US" w:eastAsia="zh-CN" w:bidi="ar-SA"/>
        </w:rPr>
        <w:t>5</w:t>
      </w:r>
    </w:p>
    <w:p w14:paraId="5A7112BA">
      <w:pPr>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bCs/>
          <w:color w:val="auto"/>
          <w:kern w:val="2"/>
          <w:sz w:val="32"/>
          <w:szCs w:val="32"/>
          <w:highlight w:val="none"/>
          <w:lang w:val="zh-CN" w:eastAsia="zh-CN" w:bidi="ar-SA"/>
        </w:rPr>
        <w:fldChar w:fldCharType="begin"/>
      </w:r>
      <w:r>
        <w:rPr>
          <w:rFonts w:hint="eastAsia" w:ascii="楷体_GB2312" w:hAnsi="楷体_GB2312" w:eastAsia="楷体_GB2312" w:cs="楷体_GB2312"/>
          <w:bCs/>
          <w:color w:val="auto"/>
          <w:kern w:val="2"/>
          <w:sz w:val="32"/>
          <w:szCs w:val="32"/>
          <w:highlight w:val="none"/>
          <w:lang w:val="zh-CN" w:eastAsia="zh-CN" w:bidi="ar-SA"/>
        </w:rPr>
        <w:instrText xml:space="preserve"> HYPERLINK \l _Toc14033 </w:instrText>
      </w:r>
      <w:r>
        <w:rPr>
          <w:rFonts w:hint="eastAsia" w:ascii="楷体_GB2312" w:hAnsi="楷体_GB2312" w:eastAsia="楷体_GB2312" w:cs="楷体_GB2312"/>
          <w:bCs/>
          <w:color w:val="auto"/>
          <w:kern w:val="2"/>
          <w:sz w:val="32"/>
          <w:szCs w:val="32"/>
          <w:highlight w:val="none"/>
          <w:lang w:val="zh-CN" w:eastAsia="zh-CN" w:bidi="ar-SA"/>
        </w:rPr>
        <w:fldChar w:fldCharType="separate"/>
      </w:r>
      <w:r>
        <w:rPr>
          <w:rFonts w:hint="eastAsia" w:ascii="楷体_GB2312" w:hAnsi="楷体_GB2312" w:eastAsia="楷体_GB2312" w:cs="楷体_GB2312"/>
          <w:color w:val="auto"/>
          <w:kern w:val="2"/>
          <w:sz w:val="32"/>
          <w:szCs w:val="32"/>
          <w:highlight w:val="none"/>
          <w:lang w:val="en-US" w:eastAsia="zh-CN" w:bidi="ar-SA"/>
        </w:rPr>
        <w:t>（八）工会管理制度模板</w:t>
      </w:r>
      <w:r>
        <w:rPr>
          <w:rFonts w:hint="eastAsia" w:ascii="楷体_GB2312" w:hAnsi="楷体_GB2312" w:eastAsia="楷体_GB2312" w:cs="楷体_GB2312"/>
          <w:color w:val="auto"/>
          <w:kern w:val="2"/>
          <w:sz w:val="32"/>
          <w:szCs w:val="32"/>
          <w:highlight w:val="none"/>
          <w:lang w:val="en-US" w:eastAsia="zh-CN" w:bidi="ar-SA"/>
        </w:rPr>
        <w:tab/>
      </w:r>
      <w:r>
        <w:rPr>
          <w:rFonts w:hint="eastAsia" w:ascii="楷体_GB2312" w:hAnsi="楷体_GB2312" w:eastAsia="楷体_GB2312" w:cs="楷体_GB2312"/>
          <w:color w:val="auto"/>
          <w:kern w:val="2"/>
          <w:sz w:val="32"/>
          <w:szCs w:val="32"/>
          <w:highlight w:val="none"/>
          <w:lang w:val="en-US" w:eastAsia="zh-CN" w:bidi="ar-SA"/>
        </w:rPr>
        <w:t>4</w:t>
      </w:r>
      <w:r>
        <w:rPr>
          <w:rFonts w:hint="eastAsia" w:ascii="楷体_GB2312" w:hAnsi="楷体_GB2312" w:eastAsia="楷体_GB2312" w:cs="楷体_GB2312"/>
          <w:bCs/>
          <w:color w:val="auto"/>
          <w:kern w:val="2"/>
          <w:sz w:val="32"/>
          <w:szCs w:val="32"/>
          <w:highlight w:val="none"/>
          <w:lang w:val="zh-CN" w:eastAsia="zh-CN" w:bidi="ar-SA"/>
        </w:rPr>
        <w:fldChar w:fldCharType="end"/>
      </w:r>
      <w:r>
        <w:rPr>
          <w:rFonts w:hint="eastAsia" w:ascii="楷体_GB2312" w:hAnsi="楷体_GB2312" w:eastAsia="楷体_GB2312" w:cs="楷体_GB2312"/>
          <w:bCs/>
          <w:color w:val="auto"/>
          <w:kern w:val="2"/>
          <w:sz w:val="32"/>
          <w:szCs w:val="32"/>
          <w:highlight w:val="none"/>
          <w:lang w:val="en-US" w:eastAsia="zh-CN" w:bidi="ar-SA"/>
        </w:rPr>
        <w:t>9</w:t>
      </w:r>
    </w:p>
    <w:p w14:paraId="327E0887">
      <w:pPr>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b/>
          <w:bCs/>
          <w:color w:val="auto"/>
          <w:kern w:val="2"/>
          <w:sz w:val="32"/>
          <w:szCs w:val="32"/>
          <w:highlight w:val="none"/>
          <w:lang w:val="zh-CN" w:eastAsia="zh-CN" w:bidi="ar-SA"/>
        </w:rPr>
        <w:fldChar w:fldCharType="begin"/>
      </w:r>
      <w:r>
        <w:rPr>
          <w:rFonts w:hint="eastAsia" w:ascii="黑体" w:hAnsi="黑体" w:eastAsia="黑体" w:cs="黑体"/>
          <w:b/>
          <w:bCs/>
          <w:color w:val="auto"/>
          <w:kern w:val="2"/>
          <w:sz w:val="32"/>
          <w:szCs w:val="32"/>
          <w:highlight w:val="none"/>
          <w:lang w:val="zh-CN" w:eastAsia="zh-CN" w:bidi="ar-SA"/>
        </w:rPr>
        <w:instrText xml:space="preserve"> HYPERLINK \l _Toc17259 </w:instrText>
      </w:r>
      <w:r>
        <w:rPr>
          <w:rFonts w:hint="eastAsia" w:ascii="黑体" w:hAnsi="黑体" w:eastAsia="黑体" w:cs="黑体"/>
          <w:b/>
          <w:bCs/>
          <w:color w:val="auto"/>
          <w:kern w:val="2"/>
          <w:sz w:val="32"/>
          <w:szCs w:val="32"/>
          <w:highlight w:val="none"/>
          <w:lang w:val="zh-CN" w:eastAsia="zh-CN" w:bidi="ar-SA"/>
        </w:rPr>
        <w:fldChar w:fldCharType="separate"/>
      </w:r>
      <w:r>
        <w:rPr>
          <w:rFonts w:hint="eastAsia" w:ascii="黑体" w:hAnsi="黑体" w:eastAsia="黑体" w:cs="黑体"/>
          <w:b/>
          <w:bCs/>
          <w:color w:val="auto"/>
          <w:kern w:val="2"/>
          <w:sz w:val="32"/>
          <w:szCs w:val="32"/>
          <w:highlight w:val="none"/>
          <w:lang w:val="en-US" w:eastAsia="zh-CN" w:bidi="ar-SA"/>
        </w:rPr>
        <w:t>二、林业行业管理制度</w:t>
      </w:r>
      <w:r>
        <w:rPr>
          <w:rFonts w:hint="eastAsia" w:ascii="黑体" w:hAnsi="黑体" w:eastAsia="黑体" w:cs="黑体"/>
          <w:b/>
          <w:bCs/>
          <w:color w:val="auto"/>
          <w:kern w:val="2"/>
          <w:sz w:val="32"/>
          <w:szCs w:val="32"/>
          <w:highlight w:val="none"/>
          <w:lang w:val="en-US" w:eastAsia="zh-CN" w:bidi="ar-SA"/>
        </w:rPr>
        <w:tab/>
      </w:r>
      <w:r>
        <w:rPr>
          <w:rFonts w:hint="eastAsia" w:ascii="黑体" w:hAnsi="黑体" w:eastAsia="黑体" w:cs="黑体"/>
          <w:b/>
          <w:bCs/>
          <w:color w:val="auto"/>
          <w:kern w:val="2"/>
          <w:sz w:val="32"/>
          <w:szCs w:val="32"/>
          <w:highlight w:val="none"/>
          <w:lang w:val="en-US" w:eastAsia="zh-CN" w:bidi="ar-SA"/>
        </w:rPr>
        <w:t>6</w:t>
      </w:r>
      <w:r>
        <w:rPr>
          <w:rFonts w:hint="eastAsia" w:ascii="黑体" w:hAnsi="黑体" w:eastAsia="黑体" w:cs="黑体"/>
          <w:b/>
          <w:bCs/>
          <w:color w:val="auto"/>
          <w:kern w:val="2"/>
          <w:sz w:val="32"/>
          <w:szCs w:val="32"/>
          <w:highlight w:val="none"/>
          <w:lang w:val="zh-CN" w:eastAsia="zh-CN" w:bidi="ar-SA"/>
        </w:rPr>
        <w:fldChar w:fldCharType="end"/>
      </w:r>
      <w:r>
        <w:rPr>
          <w:rFonts w:hint="eastAsia" w:ascii="黑体" w:hAnsi="黑体" w:eastAsia="黑体" w:cs="黑体"/>
          <w:b/>
          <w:bCs/>
          <w:color w:val="auto"/>
          <w:kern w:val="2"/>
          <w:sz w:val="32"/>
          <w:szCs w:val="32"/>
          <w:highlight w:val="none"/>
          <w:lang w:val="en-US" w:eastAsia="zh-CN" w:bidi="ar-SA"/>
        </w:rPr>
        <w:t>0</w:t>
      </w:r>
    </w:p>
    <w:p w14:paraId="0414F7AC">
      <w:pPr>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bCs/>
          <w:color w:val="auto"/>
          <w:kern w:val="2"/>
          <w:sz w:val="32"/>
          <w:szCs w:val="32"/>
          <w:highlight w:val="none"/>
          <w:lang w:val="zh-CN" w:eastAsia="zh-CN" w:bidi="ar-SA"/>
        </w:rPr>
        <w:fldChar w:fldCharType="begin"/>
      </w:r>
      <w:r>
        <w:rPr>
          <w:rFonts w:hint="eastAsia" w:ascii="楷体_GB2312" w:hAnsi="楷体_GB2312" w:eastAsia="楷体_GB2312" w:cs="楷体_GB2312"/>
          <w:bCs/>
          <w:color w:val="auto"/>
          <w:kern w:val="2"/>
          <w:sz w:val="32"/>
          <w:szCs w:val="32"/>
          <w:highlight w:val="none"/>
          <w:lang w:val="zh-CN" w:eastAsia="zh-CN" w:bidi="ar-SA"/>
        </w:rPr>
        <w:instrText xml:space="preserve"> HYPERLINK \l _Toc30733 </w:instrText>
      </w:r>
      <w:r>
        <w:rPr>
          <w:rFonts w:hint="eastAsia" w:ascii="楷体_GB2312" w:hAnsi="楷体_GB2312" w:eastAsia="楷体_GB2312" w:cs="楷体_GB2312"/>
          <w:bCs/>
          <w:color w:val="auto"/>
          <w:kern w:val="2"/>
          <w:sz w:val="32"/>
          <w:szCs w:val="32"/>
          <w:highlight w:val="none"/>
          <w:lang w:val="zh-CN" w:eastAsia="zh-CN" w:bidi="ar-SA"/>
        </w:rPr>
        <w:fldChar w:fldCharType="separate"/>
      </w:r>
      <w:r>
        <w:rPr>
          <w:rFonts w:hint="eastAsia" w:ascii="楷体_GB2312" w:hAnsi="楷体_GB2312" w:eastAsia="楷体_GB2312" w:cs="楷体_GB2312"/>
          <w:color w:val="auto"/>
          <w:kern w:val="2"/>
          <w:sz w:val="32"/>
          <w:szCs w:val="32"/>
          <w:highlight w:val="none"/>
          <w:lang w:val="en-US" w:eastAsia="zh-CN" w:bidi="ar-SA"/>
        </w:rPr>
        <w:t>（一）森林防火管理制度模板</w:t>
      </w:r>
      <w:r>
        <w:rPr>
          <w:rFonts w:hint="eastAsia" w:ascii="楷体_GB2312" w:hAnsi="楷体_GB2312" w:eastAsia="楷体_GB2312" w:cs="楷体_GB2312"/>
          <w:color w:val="auto"/>
          <w:kern w:val="2"/>
          <w:sz w:val="32"/>
          <w:szCs w:val="32"/>
          <w:highlight w:val="none"/>
          <w:lang w:val="en-US" w:eastAsia="zh-CN" w:bidi="ar-SA"/>
        </w:rPr>
        <w:tab/>
      </w:r>
      <w:r>
        <w:rPr>
          <w:rFonts w:hint="eastAsia" w:ascii="楷体_GB2312" w:hAnsi="楷体_GB2312" w:eastAsia="楷体_GB2312" w:cs="楷体_GB2312"/>
          <w:color w:val="auto"/>
          <w:kern w:val="2"/>
          <w:sz w:val="32"/>
          <w:szCs w:val="32"/>
          <w:highlight w:val="none"/>
          <w:lang w:val="en-US" w:eastAsia="zh-CN" w:bidi="ar-SA"/>
        </w:rPr>
        <w:t>6</w:t>
      </w:r>
      <w:r>
        <w:rPr>
          <w:rFonts w:hint="eastAsia" w:ascii="楷体_GB2312" w:hAnsi="楷体_GB2312" w:eastAsia="楷体_GB2312" w:cs="楷体_GB2312"/>
          <w:bCs/>
          <w:color w:val="auto"/>
          <w:kern w:val="2"/>
          <w:sz w:val="32"/>
          <w:szCs w:val="32"/>
          <w:highlight w:val="none"/>
          <w:lang w:val="zh-CN" w:eastAsia="zh-CN" w:bidi="ar-SA"/>
        </w:rPr>
        <w:fldChar w:fldCharType="end"/>
      </w:r>
      <w:r>
        <w:rPr>
          <w:rFonts w:hint="eastAsia" w:ascii="楷体_GB2312" w:hAnsi="楷体_GB2312" w:eastAsia="楷体_GB2312" w:cs="楷体_GB2312"/>
          <w:bCs/>
          <w:color w:val="auto"/>
          <w:kern w:val="2"/>
          <w:sz w:val="32"/>
          <w:szCs w:val="32"/>
          <w:highlight w:val="none"/>
          <w:lang w:val="en-US" w:eastAsia="zh-CN" w:bidi="ar-SA"/>
        </w:rPr>
        <w:t>0</w:t>
      </w:r>
    </w:p>
    <w:p w14:paraId="56C8FF9B">
      <w:pPr>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bCs/>
          <w:color w:val="auto"/>
          <w:kern w:val="2"/>
          <w:sz w:val="32"/>
          <w:szCs w:val="32"/>
          <w:highlight w:val="none"/>
          <w:lang w:val="zh-CN" w:eastAsia="zh-CN" w:bidi="ar-SA"/>
        </w:rPr>
        <w:fldChar w:fldCharType="begin"/>
      </w:r>
      <w:r>
        <w:rPr>
          <w:rFonts w:hint="eastAsia" w:ascii="楷体_GB2312" w:hAnsi="楷体_GB2312" w:eastAsia="楷体_GB2312" w:cs="楷体_GB2312"/>
          <w:bCs/>
          <w:color w:val="auto"/>
          <w:kern w:val="2"/>
          <w:sz w:val="32"/>
          <w:szCs w:val="32"/>
          <w:highlight w:val="none"/>
          <w:lang w:val="zh-CN" w:eastAsia="zh-CN" w:bidi="ar-SA"/>
        </w:rPr>
        <w:instrText xml:space="preserve"> HYPERLINK \l _Toc28011 </w:instrText>
      </w:r>
      <w:r>
        <w:rPr>
          <w:rFonts w:hint="eastAsia" w:ascii="楷体_GB2312" w:hAnsi="楷体_GB2312" w:eastAsia="楷体_GB2312" w:cs="楷体_GB2312"/>
          <w:bCs/>
          <w:color w:val="auto"/>
          <w:kern w:val="2"/>
          <w:sz w:val="32"/>
          <w:szCs w:val="32"/>
          <w:highlight w:val="none"/>
          <w:lang w:val="zh-CN" w:eastAsia="zh-CN" w:bidi="ar-SA"/>
        </w:rPr>
        <w:fldChar w:fldCharType="separate"/>
      </w:r>
      <w:r>
        <w:rPr>
          <w:rFonts w:hint="eastAsia" w:ascii="楷体_GB2312" w:hAnsi="楷体_GB2312" w:eastAsia="楷体_GB2312" w:cs="楷体_GB2312"/>
          <w:color w:val="auto"/>
          <w:kern w:val="2"/>
          <w:sz w:val="32"/>
          <w:szCs w:val="32"/>
          <w:highlight w:val="none"/>
          <w:lang w:val="en-US" w:eastAsia="zh-CN" w:bidi="ar-SA"/>
        </w:rPr>
        <w:t>（二）病虫害防治制度模板</w:t>
      </w:r>
      <w:r>
        <w:rPr>
          <w:rFonts w:hint="eastAsia" w:ascii="楷体_GB2312" w:hAnsi="楷体_GB2312" w:eastAsia="楷体_GB2312" w:cs="楷体_GB2312"/>
          <w:color w:val="auto"/>
          <w:kern w:val="2"/>
          <w:sz w:val="32"/>
          <w:szCs w:val="32"/>
          <w:highlight w:val="none"/>
          <w:lang w:val="en-US" w:eastAsia="zh-CN" w:bidi="ar-SA"/>
        </w:rPr>
        <w:tab/>
      </w:r>
      <w:r>
        <w:rPr>
          <w:rFonts w:hint="eastAsia" w:ascii="楷体_GB2312" w:hAnsi="楷体_GB2312" w:eastAsia="楷体_GB2312" w:cs="楷体_GB2312"/>
          <w:bCs/>
          <w:color w:val="auto"/>
          <w:kern w:val="2"/>
          <w:sz w:val="32"/>
          <w:szCs w:val="32"/>
          <w:highlight w:val="none"/>
          <w:lang w:val="zh-CN" w:eastAsia="zh-CN" w:bidi="ar-SA"/>
        </w:rPr>
        <w:fldChar w:fldCharType="end"/>
      </w:r>
      <w:r>
        <w:rPr>
          <w:rFonts w:hint="eastAsia" w:ascii="楷体_GB2312" w:hAnsi="楷体_GB2312" w:eastAsia="楷体_GB2312" w:cs="楷体_GB2312"/>
          <w:bCs/>
          <w:color w:val="auto"/>
          <w:kern w:val="2"/>
          <w:sz w:val="32"/>
          <w:szCs w:val="32"/>
          <w:highlight w:val="none"/>
          <w:lang w:val="en-US" w:eastAsia="zh-CN" w:bidi="ar-SA"/>
        </w:rPr>
        <w:t>73</w:t>
      </w:r>
    </w:p>
    <w:p w14:paraId="0ED8E62F">
      <w:pPr>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bCs/>
          <w:color w:val="auto"/>
          <w:kern w:val="2"/>
          <w:sz w:val="32"/>
          <w:szCs w:val="32"/>
          <w:highlight w:val="none"/>
          <w:lang w:val="zh-CN" w:eastAsia="zh-CN" w:bidi="ar-SA"/>
        </w:rPr>
        <w:fldChar w:fldCharType="begin"/>
      </w:r>
      <w:r>
        <w:rPr>
          <w:rFonts w:hint="eastAsia" w:ascii="楷体_GB2312" w:hAnsi="楷体_GB2312" w:eastAsia="楷体_GB2312" w:cs="楷体_GB2312"/>
          <w:bCs/>
          <w:color w:val="auto"/>
          <w:kern w:val="2"/>
          <w:sz w:val="32"/>
          <w:szCs w:val="32"/>
          <w:highlight w:val="none"/>
          <w:lang w:val="zh-CN" w:eastAsia="zh-CN" w:bidi="ar-SA"/>
        </w:rPr>
        <w:instrText xml:space="preserve"> HYPERLINK \l _Toc19546 </w:instrText>
      </w:r>
      <w:r>
        <w:rPr>
          <w:rFonts w:hint="eastAsia" w:ascii="楷体_GB2312" w:hAnsi="楷体_GB2312" w:eastAsia="楷体_GB2312" w:cs="楷体_GB2312"/>
          <w:bCs/>
          <w:color w:val="auto"/>
          <w:kern w:val="2"/>
          <w:sz w:val="32"/>
          <w:szCs w:val="32"/>
          <w:highlight w:val="none"/>
          <w:lang w:val="zh-CN" w:eastAsia="zh-CN" w:bidi="ar-SA"/>
        </w:rPr>
        <w:fldChar w:fldCharType="separate"/>
      </w:r>
      <w:r>
        <w:rPr>
          <w:rFonts w:hint="eastAsia" w:ascii="楷体_GB2312" w:hAnsi="楷体_GB2312" w:eastAsia="楷体_GB2312" w:cs="楷体_GB2312"/>
          <w:color w:val="auto"/>
          <w:kern w:val="2"/>
          <w:sz w:val="32"/>
          <w:szCs w:val="32"/>
          <w:highlight w:val="none"/>
          <w:lang w:val="en-US" w:eastAsia="zh-CN" w:bidi="ar-SA"/>
        </w:rPr>
        <w:t>（三）农药管理制度模板</w:t>
      </w:r>
      <w:r>
        <w:rPr>
          <w:rFonts w:hint="eastAsia" w:ascii="楷体_GB2312" w:hAnsi="楷体_GB2312" w:eastAsia="楷体_GB2312" w:cs="楷体_GB2312"/>
          <w:color w:val="auto"/>
          <w:kern w:val="2"/>
          <w:sz w:val="32"/>
          <w:szCs w:val="32"/>
          <w:highlight w:val="none"/>
          <w:lang w:val="en-US" w:eastAsia="zh-CN" w:bidi="ar-SA"/>
        </w:rPr>
        <w:tab/>
      </w:r>
      <w:r>
        <w:rPr>
          <w:rFonts w:hint="eastAsia" w:ascii="楷体_GB2312" w:hAnsi="楷体_GB2312" w:eastAsia="楷体_GB2312" w:cs="楷体_GB2312"/>
          <w:color w:val="auto"/>
          <w:kern w:val="2"/>
          <w:sz w:val="32"/>
          <w:szCs w:val="32"/>
          <w:highlight w:val="none"/>
          <w:lang w:val="en-US" w:eastAsia="zh-CN" w:bidi="ar-SA"/>
        </w:rPr>
        <w:t>8</w:t>
      </w:r>
      <w:r>
        <w:rPr>
          <w:rFonts w:hint="eastAsia" w:ascii="楷体_GB2312" w:hAnsi="楷体_GB2312" w:eastAsia="楷体_GB2312" w:cs="楷体_GB2312"/>
          <w:bCs/>
          <w:color w:val="auto"/>
          <w:kern w:val="2"/>
          <w:sz w:val="32"/>
          <w:szCs w:val="32"/>
          <w:highlight w:val="none"/>
          <w:lang w:val="zh-CN" w:eastAsia="zh-CN" w:bidi="ar-SA"/>
        </w:rPr>
        <w:fldChar w:fldCharType="end"/>
      </w:r>
      <w:r>
        <w:rPr>
          <w:rFonts w:hint="eastAsia" w:ascii="楷体_GB2312" w:hAnsi="楷体_GB2312" w:eastAsia="楷体_GB2312" w:cs="楷体_GB2312"/>
          <w:bCs/>
          <w:color w:val="auto"/>
          <w:kern w:val="2"/>
          <w:sz w:val="32"/>
          <w:szCs w:val="32"/>
          <w:highlight w:val="none"/>
          <w:lang w:val="en-US" w:eastAsia="zh-CN" w:bidi="ar-SA"/>
        </w:rPr>
        <w:t>0</w:t>
      </w:r>
    </w:p>
    <w:p w14:paraId="2F7A6BC0">
      <w:pPr>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楷体_GB2312" w:hAnsi="楷体_GB2312" w:eastAsia="楷体_GB2312" w:cs="楷体_GB2312"/>
          <w:bCs/>
          <w:color w:val="auto"/>
          <w:kern w:val="2"/>
          <w:sz w:val="32"/>
          <w:szCs w:val="32"/>
          <w:highlight w:val="none"/>
          <w:lang w:val="en-US" w:eastAsia="zh-CN" w:bidi="ar-SA"/>
        </w:rPr>
      </w:pPr>
      <w:r>
        <w:rPr>
          <w:rFonts w:hint="eastAsia" w:ascii="楷体_GB2312" w:hAnsi="楷体_GB2312" w:eastAsia="楷体_GB2312" w:cs="楷体_GB2312"/>
          <w:bCs/>
          <w:color w:val="auto"/>
          <w:kern w:val="2"/>
          <w:sz w:val="32"/>
          <w:szCs w:val="32"/>
          <w:highlight w:val="none"/>
          <w:lang w:val="zh-CN" w:eastAsia="zh-CN" w:bidi="ar-SA"/>
        </w:rPr>
        <w:fldChar w:fldCharType="begin"/>
      </w:r>
      <w:r>
        <w:rPr>
          <w:rFonts w:hint="eastAsia" w:ascii="楷体_GB2312" w:hAnsi="楷体_GB2312" w:eastAsia="楷体_GB2312" w:cs="楷体_GB2312"/>
          <w:bCs/>
          <w:color w:val="auto"/>
          <w:kern w:val="2"/>
          <w:sz w:val="32"/>
          <w:szCs w:val="32"/>
          <w:highlight w:val="none"/>
          <w:lang w:val="zh-CN" w:eastAsia="zh-CN" w:bidi="ar-SA"/>
        </w:rPr>
        <w:instrText xml:space="preserve"> HYPERLINK \l _Toc28011 </w:instrText>
      </w:r>
      <w:r>
        <w:rPr>
          <w:rFonts w:hint="eastAsia" w:ascii="楷体_GB2312" w:hAnsi="楷体_GB2312" w:eastAsia="楷体_GB2312" w:cs="楷体_GB2312"/>
          <w:bCs/>
          <w:color w:val="auto"/>
          <w:kern w:val="2"/>
          <w:sz w:val="32"/>
          <w:szCs w:val="32"/>
          <w:highlight w:val="none"/>
          <w:lang w:val="zh-CN" w:eastAsia="zh-CN" w:bidi="ar-SA"/>
        </w:rPr>
        <w:fldChar w:fldCharType="separate"/>
      </w:r>
      <w:r>
        <w:rPr>
          <w:rFonts w:hint="eastAsia" w:ascii="楷体_GB2312" w:hAnsi="楷体_GB2312" w:eastAsia="楷体_GB2312" w:cs="楷体_GB2312"/>
          <w:bCs/>
          <w:color w:val="auto"/>
          <w:kern w:val="2"/>
          <w:sz w:val="32"/>
          <w:szCs w:val="32"/>
          <w:highlight w:val="none"/>
          <w:lang w:val="en-US" w:eastAsia="zh-CN" w:bidi="ar-SA"/>
        </w:rPr>
        <w:t>（四）安全生产管理制度模板</w:t>
      </w:r>
      <w:r>
        <w:rPr>
          <w:rFonts w:hint="eastAsia" w:ascii="楷体_GB2312" w:hAnsi="楷体_GB2312" w:eastAsia="楷体_GB2312" w:cs="楷体_GB2312"/>
          <w:color w:val="auto"/>
          <w:kern w:val="2"/>
          <w:sz w:val="32"/>
          <w:szCs w:val="32"/>
          <w:highlight w:val="none"/>
          <w:lang w:val="en-US" w:eastAsia="zh-CN" w:bidi="ar-SA"/>
        </w:rPr>
        <w:tab/>
      </w:r>
      <w:r>
        <w:rPr>
          <w:rFonts w:hint="eastAsia" w:ascii="楷体_GB2312" w:hAnsi="楷体_GB2312" w:eastAsia="楷体_GB2312" w:cs="楷体_GB2312"/>
          <w:bCs/>
          <w:color w:val="auto"/>
          <w:kern w:val="2"/>
          <w:sz w:val="32"/>
          <w:szCs w:val="32"/>
          <w:highlight w:val="none"/>
          <w:lang w:val="zh-CN" w:eastAsia="zh-CN" w:bidi="ar-SA"/>
        </w:rPr>
        <w:fldChar w:fldCharType="end"/>
      </w:r>
      <w:r>
        <w:rPr>
          <w:rFonts w:hint="eastAsia" w:ascii="楷体_GB2312" w:hAnsi="楷体_GB2312" w:eastAsia="楷体_GB2312" w:cs="楷体_GB2312"/>
          <w:bCs/>
          <w:color w:val="auto"/>
          <w:kern w:val="2"/>
          <w:sz w:val="32"/>
          <w:szCs w:val="32"/>
          <w:highlight w:val="none"/>
          <w:lang w:val="en-US" w:eastAsia="zh-CN" w:bidi="ar-SA"/>
        </w:rPr>
        <w:t>94</w:t>
      </w:r>
    </w:p>
    <w:p w14:paraId="19603162">
      <w:pPr>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Cs/>
          <w:color w:val="auto"/>
          <w:kern w:val="2"/>
          <w:sz w:val="32"/>
          <w:szCs w:val="32"/>
          <w:highlight w:val="none"/>
          <w:lang w:val="zh-CN" w:eastAsia="zh-CN" w:bidi="ar-SA"/>
        </w:rPr>
        <w:fldChar w:fldCharType="begin"/>
      </w:r>
      <w:r>
        <w:rPr>
          <w:rFonts w:hint="eastAsia" w:ascii="楷体_GB2312" w:hAnsi="楷体_GB2312" w:eastAsia="楷体_GB2312" w:cs="楷体_GB2312"/>
          <w:bCs/>
          <w:color w:val="auto"/>
          <w:kern w:val="2"/>
          <w:sz w:val="32"/>
          <w:szCs w:val="32"/>
          <w:highlight w:val="none"/>
          <w:lang w:val="zh-CN" w:eastAsia="zh-CN" w:bidi="ar-SA"/>
        </w:rPr>
        <w:instrText xml:space="preserve"> HYPERLINK \l _Toc28011 </w:instrText>
      </w:r>
      <w:r>
        <w:rPr>
          <w:rFonts w:hint="eastAsia" w:ascii="楷体_GB2312" w:hAnsi="楷体_GB2312" w:eastAsia="楷体_GB2312" w:cs="楷体_GB2312"/>
          <w:bCs/>
          <w:color w:val="auto"/>
          <w:kern w:val="2"/>
          <w:sz w:val="32"/>
          <w:szCs w:val="32"/>
          <w:highlight w:val="none"/>
          <w:lang w:val="zh-CN" w:eastAsia="zh-CN" w:bidi="ar-SA"/>
        </w:rPr>
        <w:fldChar w:fldCharType="separate"/>
      </w:r>
      <w:r>
        <w:rPr>
          <w:rFonts w:hint="eastAsia" w:ascii="楷体_GB2312" w:hAnsi="楷体_GB2312" w:eastAsia="楷体_GB2312" w:cs="楷体_GB2312"/>
          <w:bCs/>
          <w:color w:val="auto"/>
          <w:kern w:val="2"/>
          <w:sz w:val="32"/>
          <w:szCs w:val="32"/>
          <w:highlight w:val="none"/>
          <w:lang w:val="en-US" w:eastAsia="zh-CN" w:bidi="ar-SA"/>
        </w:rPr>
        <w:t>（五）“三资”管理制度模板</w:t>
      </w:r>
      <w:r>
        <w:rPr>
          <w:rFonts w:hint="eastAsia" w:ascii="楷体_GB2312" w:hAnsi="楷体_GB2312" w:eastAsia="楷体_GB2312" w:cs="楷体_GB2312"/>
          <w:color w:val="auto"/>
          <w:kern w:val="2"/>
          <w:sz w:val="32"/>
          <w:szCs w:val="32"/>
          <w:highlight w:val="none"/>
          <w:lang w:val="en-US" w:eastAsia="zh-CN" w:bidi="ar-SA"/>
        </w:rPr>
        <w:tab/>
      </w:r>
      <w:r>
        <w:rPr>
          <w:rFonts w:hint="eastAsia" w:ascii="楷体_GB2312" w:hAnsi="楷体_GB2312" w:eastAsia="楷体_GB2312" w:cs="楷体_GB2312"/>
          <w:bCs/>
          <w:color w:val="auto"/>
          <w:kern w:val="2"/>
          <w:sz w:val="32"/>
          <w:szCs w:val="32"/>
          <w:highlight w:val="none"/>
          <w:lang w:val="zh-CN" w:eastAsia="zh-CN" w:bidi="ar-SA"/>
        </w:rPr>
        <w:fldChar w:fldCharType="end"/>
      </w:r>
      <w:r>
        <w:rPr>
          <w:rFonts w:hint="eastAsia" w:ascii="楷体_GB2312" w:hAnsi="楷体_GB2312" w:eastAsia="楷体_GB2312" w:cs="楷体_GB2312"/>
          <w:bCs/>
          <w:color w:val="auto"/>
          <w:kern w:val="2"/>
          <w:sz w:val="32"/>
          <w:szCs w:val="32"/>
          <w:highlight w:val="none"/>
          <w:lang w:val="en-US" w:eastAsia="zh-CN" w:bidi="ar-SA"/>
        </w:rPr>
        <w:t>100</w:t>
      </w:r>
      <w:r>
        <w:rPr>
          <w:rFonts w:hint="eastAsia" w:ascii="仿宋_GB2312" w:hAnsi="仿宋_GB2312" w:eastAsia="仿宋_GB2312" w:cs="仿宋_GB2312"/>
          <w:bCs/>
          <w:color w:val="auto"/>
          <w:sz w:val="32"/>
          <w:szCs w:val="32"/>
          <w:highlight w:val="none"/>
          <w:lang w:val="zh-CN"/>
        </w:rPr>
        <w:fldChar w:fldCharType="end"/>
      </w:r>
    </w:p>
    <w:p w14:paraId="2F3E5147">
      <w:pPr>
        <w:pageBreakBefore w:val="0"/>
        <w:wordWrap/>
        <w:overflowPunct/>
        <w:topLinePunct w:val="0"/>
        <w:bidi w:val="0"/>
        <w:rPr>
          <w:rFonts w:hint="eastAsia" w:ascii="仿宋_GB2312" w:hAnsi="仿宋_GB2312" w:eastAsia="仿宋_GB2312" w:cs="仿宋_GB2312"/>
          <w:color w:val="auto"/>
          <w:sz w:val="32"/>
          <w:szCs w:val="32"/>
          <w:highlight w:val="none"/>
        </w:rPr>
        <w:sectPr>
          <w:footerReference r:id="rId5" w:type="default"/>
          <w:pgSz w:w="11906" w:h="16838"/>
          <w:pgMar w:top="1440" w:right="1800" w:bottom="1440" w:left="1800" w:header="851" w:footer="992" w:gutter="0"/>
          <w:pgNumType w:fmt="numberInDash"/>
          <w:cols w:space="720" w:num="1"/>
          <w:docGrid w:type="lines" w:linePitch="312" w:charSpace="0"/>
        </w:sectPr>
      </w:pPr>
    </w:p>
    <w:p w14:paraId="7BEF0401">
      <w:pPr>
        <w:keepNext/>
        <w:keepLines/>
        <w:pageBreakBefore w:val="0"/>
        <w:widowControl w:val="0"/>
        <w:kinsoku/>
        <w:wordWrap/>
        <w:overflowPunct/>
        <w:topLinePunct w:val="0"/>
        <w:autoSpaceDE/>
        <w:autoSpaceDN/>
        <w:bidi w:val="0"/>
        <w:adjustRightInd/>
        <w:spacing w:before="0" w:beforeAutospacing="0" w:after="0" w:afterAutospacing="0" w:line="560" w:lineRule="exact"/>
        <w:ind w:left="0" w:right="0" w:firstLine="643" w:firstLineChars="200"/>
        <w:jc w:val="both"/>
        <w:outlineLvl w:val="0"/>
        <w:rPr>
          <w:rFonts w:hint="eastAsia" w:ascii="黑体" w:hAnsi="黑体" w:eastAsia="黑体" w:cs="黑体"/>
          <w:b/>
          <w:color w:val="auto"/>
          <w:kern w:val="44"/>
          <w:sz w:val="32"/>
          <w:szCs w:val="32"/>
          <w:highlight w:val="none"/>
          <w:lang w:val="en-US" w:eastAsia="zh-CN" w:bidi="ar-SA"/>
        </w:rPr>
      </w:pPr>
      <w:bookmarkStart w:id="1" w:name="_Toc24342"/>
      <w:r>
        <w:rPr>
          <w:rFonts w:hint="eastAsia" w:ascii="黑体" w:hAnsi="黑体" w:eastAsia="黑体" w:cs="黑体"/>
          <w:b/>
          <w:color w:val="auto"/>
          <w:kern w:val="44"/>
          <w:sz w:val="32"/>
          <w:szCs w:val="32"/>
          <w:highlight w:val="none"/>
          <w:lang w:val="en-US" w:eastAsia="zh-CN" w:bidi="ar-SA"/>
        </w:rPr>
        <w:t>一、企业管理制度</w:t>
      </w:r>
      <w:bookmarkEnd w:id="1"/>
    </w:p>
    <w:p w14:paraId="0B0FF5C3">
      <w:pPr>
        <w:keepNext/>
        <w:keepLines/>
        <w:pageBreakBefore w:val="0"/>
        <w:widowControl w:val="0"/>
        <w:tabs>
          <w:tab w:val="left" w:pos="312"/>
        </w:tabs>
        <w:kinsoku/>
        <w:wordWrap/>
        <w:overflowPunct/>
        <w:topLinePunct w:val="0"/>
        <w:autoSpaceDE/>
        <w:autoSpaceDN/>
        <w:bidi w:val="0"/>
        <w:adjustRightInd/>
        <w:spacing w:before="0" w:beforeAutospacing="0" w:after="0" w:afterAutospacing="0" w:line="560" w:lineRule="exact"/>
        <w:ind w:left="0" w:leftChars="0" w:right="0" w:rightChars="0" w:firstLine="643" w:firstLineChars="200"/>
        <w:jc w:val="both"/>
        <w:outlineLvl w:val="1"/>
        <w:rPr>
          <w:rFonts w:hint="eastAsia" w:ascii="楷体_GB2312" w:hAnsi="楷体_GB2312" w:eastAsia="楷体_GB2312" w:cs="楷体_GB2312"/>
          <w:b/>
          <w:color w:val="auto"/>
          <w:kern w:val="2"/>
          <w:sz w:val="32"/>
          <w:szCs w:val="32"/>
          <w:highlight w:val="none"/>
          <w:lang w:val="en-US" w:eastAsia="zh-CN" w:bidi="ar-SA"/>
        </w:rPr>
      </w:pPr>
      <w:bookmarkStart w:id="2" w:name="_Toc557"/>
      <w:bookmarkStart w:id="3" w:name="_Toc22437"/>
      <w:r>
        <w:rPr>
          <w:rFonts w:hint="eastAsia" w:ascii="楷体_GB2312" w:hAnsi="楷体_GB2312" w:eastAsia="楷体_GB2312" w:cs="楷体_GB2312"/>
          <w:b/>
          <w:color w:val="auto"/>
          <w:kern w:val="2"/>
          <w:sz w:val="32"/>
          <w:szCs w:val="32"/>
          <w:highlight w:val="none"/>
          <w:lang w:val="en-US" w:eastAsia="zh-CN" w:bidi="ar-SA"/>
        </w:rPr>
        <w:t>（一）人事管理制度</w:t>
      </w:r>
      <w:bookmarkEnd w:id="2"/>
      <w:bookmarkEnd w:id="3"/>
      <w:r>
        <w:rPr>
          <w:rFonts w:hint="eastAsia" w:ascii="楷体_GB2312" w:hAnsi="楷体_GB2312" w:eastAsia="楷体_GB2312" w:cs="楷体_GB2312"/>
          <w:b/>
          <w:color w:val="auto"/>
          <w:kern w:val="2"/>
          <w:sz w:val="32"/>
          <w:szCs w:val="32"/>
          <w:highlight w:val="none"/>
          <w:lang w:val="en-US" w:eastAsia="zh-CN" w:bidi="ar-SA"/>
        </w:rPr>
        <w:t>模板</w:t>
      </w:r>
    </w:p>
    <w:p w14:paraId="4535543C">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4" w:name="_Toc1920"/>
      <w:bookmarkStart w:id="5" w:name="_Toc4681"/>
      <w:bookmarkStart w:id="6" w:name="_Toc22215"/>
      <w:bookmarkStart w:id="7" w:name="_Toc9664"/>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第一章 总  则</w:t>
      </w:r>
      <w:bookmarkEnd w:id="4"/>
      <w:bookmarkEnd w:id="5"/>
      <w:bookmarkEnd w:id="6"/>
      <w:bookmarkEnd w:id="7"/>
    </w:p>
    <w:p w14:paraId="2299E0D6">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编制依据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为规范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新型集体林场建设和管理工作，提高人员管理效率，进一步推进平原生态林养护管理工作高效有序进行，根据《北京市人民政府办公厅关于本市发展新型集体林场的指导意见》（京政办发〔2021〕15号）（以下简称《指导意见》）《北京市新型集体林场建设和管理实施细则（试行）》（京绿办发〔2022〕79号）《北京市预算审查监督条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北京市政府投资管理办法》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京政发〔2023〕1号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《北京市通州区预算审查监督办法》《通州区审计查出问题整改工作办法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试行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》等有关管理制度的规定和相关政策要求，结合</w:t>
      </w:r>
      <w:r>
        <w:rPr>
          <w:rFonts w:hint="eastAsia" w:ascii="仿宋_GB2312" w:hAnsi="仿宋_GB2312" w:eastAsia="仿宋_GB2312" w:cs="仿宋_GB2312"/>
          <w:color w:val="auto"/>
          <w:sz w:val="32"/>
          <w:szCs w:val="32"/>
          <w:highlight w:val="none"/>
          <w:lang w:val="en-US" w:eastAsia="zh-CN"/>
        </w:rPr>
        <w:t>***新型集体林场的主责主业</w:t>
      </w:r>
      <w:r>
        <w:rPr>
          <w:rFonts w:hint="eastAsia" w:ascii="仿宋_GB2312" w:hAnsi="仿宋_GB2312" w:eastAsia="仿宋_GB2312" w:cs="仿宋_GB2312"/>
          <w:color w:val="auto"/>
          <w:sz w:val="32"/>
          <w:szCs w:val="32"/>
          <w:highlight w:val="none"/>
        </w:rPr>
        <w:t>，特制定本制度。</w:t>
      </w:r>
    </w:p>
    <w:p w14:paraId="7BB20929">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8" w:name="_Toc26223"/>
      <w:bookmarkStart w:id="9" w:name="_Toc24221"/>
      <w:bookmarkStart w:id="10" w:name="_Toc5115"/>
      <w:bookmarkStart w:id="11" w:name="_Toc31766"/>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第二章 组织构架</w:t>
      </w:r>
      <w:bookmarkEnd w:id="8"/>
      <w:bookmarkEnd w:id="9"/>
      <w:bookmarkEnd w:id="10"/>
      <w:bookmarkEnd w:id="11"/>
    </w:p>
    <w:p w14:paraId="253490FD">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新型集体林场由属地政府主导建立</w:t>
      </w:r>
      <w:r>
        <w:rPr>
          <w:rFonts w:hint="eastAsia" w:ascii="仿宋_GB2312" w:hAnsi="仿宋_GB2312" w:eastAsia="仿宋_GB2312" w:cs="仿宋_GB2312"/>
          <w:color w:val="auto"/>
          <w:sz w:val="32"/>
          <w:szCs w:val="32"/>
          <w:highlight w:val="none"/>
          <w:lang w:val="en-US" w:eastAsia="zh-CN"/>
        </w:rPr>
        <w:t>并管理</w:t>
      </w:r>
      <w:r>
        <w:rPr>
          <w:rFonts w:hint="eastAsia" w:ascii="仿宋_GB2312" w:hAnsi="仿宋_GB2312" w:eastAsia="仿宋_GB2312" w:cs="仿宋_GB2312"/>
          <w:color w:val="auto"/>
          <w:sz w:val="32"/>
          <w:szCs w:val="32"/>
          <w:highlight w:val="none"/>
        </w:rPr>
        <w:t>，不属于政府下属机构，政企分开，自主经营，自负盈亏。组织构架由：基层职工（一线、工勤）、一般管理人员、中层管理人员（部门负责人）、高层管理人员（场长、副场长）构成。</w:t>
      </w:r>
      <w:r>
        <w:rPr>
          <w:rFonts w:hint="eastAsia" w:ascii="仿宋_GB2312" w:hAnsi="仿宋_GB2312" w:eastAsia="仿宋_GB2312" w:cs="仿宋_GB2312"/>
          <w:b/>
          <w:bCs/>
          <w:color w:val="auto"/>
          <w:sz w:val="32"/>
          <w:szCs w:val="32"/>
          <w:highlight w:val="none"/>
        </w:rPr>
        <w:t>职工代表大会由新型集体林场依据其实际情况自行制定。</w:t>
      </w:r>
    </w:p>
    <w:p w14:paraId="6E2F736D">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2" w:name="_Toc23956"/>
      <w:bookmarkStart w:id="13" w:name="_Toc11398"/>
      <w:bookmarkStart w:id="14" w:name="_Toc32675"/>
      <w:bookmarkStart w:id="15" w:name="_Toc7536"/>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第三章 管理人员岗位职责</w:t>
      </w:r>
      <w:bookmarkEnd w:id="12"/>
      <w:bookmarkEnd w:id="13"/>
      <w:bookmarkEnd w:id="14"/>
      <w:bookmarkEnd w:id="15"/>
    </w:p>
    <w:p w14:paraId="717EC54A">
      <w:pPr>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（一）场长职责</w:t>
      </w:r>
    </w:p>
    <w:p w14:paraId="07FB471D">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1.负责</w:t>
      </w:r>
      <w:r>
        <w:rPr>
          <w:rFonts w:hint="eastAsia" w:ascii="仿宋_GB2312" w:hAnsi="仿宋_GB2312" w:eastAsia="仿宋_GB2312" w:cs="仿宋_GB2312"/>
          <w:color w:val="auto"/>
          <w:sz w:val="32"/>
          <w:szCs w:val="32"/>
          <w:highlight w:val="none"/>
          <w:lang w:val="en-US" w:eastAsia="zh-CN"/>
        </w:rPr>
        <w:t>新型</w:t>
      </w:r>
      <w:r>
        <w:rPr>
          <w:rFonts w:hint="eastAsia" w:ascii="仿宋_GB2312" w:hAnsi="仿宋_GB2312" w:eastAsia="仿宋_GB2312" w:cs="仿宋_GB2312"/>
          <w:color w:val="auto"/>
          <w:sz w:val="32"/>
          <w:szCs w:val="32"/>
          <w:highlight w:val="none"/>
        </w:rPr>
        <w:t>集体林场全面工作，对平原生态林资源保护、森林经营、森林防火、病虫害防治、安全生产等负主要责任，对平原生态林专项资金的使用安全负主要责任。</w:t>
      </w:r>
    </w:p>
    <w:p w14:paraId="4719BB0E">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2.负责贯彻落实党的路线、方针和政策，贯彻执行国家有关法律法规，贯彻执行上级部门的指示、决策和工作部署。</w:t>
      </w:r>
    </w:p>
    <w:p w14:paraId="3B5EB05D">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3.负责依照法律和党委政府规定，决定或报请审查批准本企业的“三重一大”各项计划。</w:t>
      </w:r>
    </w:p>
    <w:p w14:paraId="05AE5483">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4.负责统筹督导人力资源、财务预算控制、资产保护与利用等相关事务。</w:t>
      </w:r>
    </w:p>
    <w:p w14:paraId="7D0D0DA7">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5.负责提出工资调整方案、资金分配方案、职工生活福利等重大事项建议，提请属地政府主管领导审查，并报</w:t>
      </w:r>
      <w:r>
        <w:rPr>
          <w:rFonts w:hint="eastAsia" w:ascii="仿宋_GB2312" w:hAnsi="仿宋_GB2312" w:eastAsia="仿宋_GB2312" w:cs="仿宋_GB2312"/>
          <w:color w:val="auto"/>
          <w:sz w:val="32"/>
          <w:szCs w:val="32"/>
          <w:highlight w:val="none"/>
          <w:lang w:val="en-US" w:eastAsia="zh-CN"/>
        </w:rPr>
        <w:t>属地</w:t>
      </w:r>
      <w:r>
        <w:rPr>
          <w:rFonts w:hint="eastAsia" w:ascii="仿宋_GB2312" w:hAnsi="仿宋_GB2312" w:eastAsia="仿宋_GB2312" w:cs="仿宋_GB2312"/>
          <w:color w:val="auto"/>
          <w:sz w:val="32"/>
          <w:szCs w:val="32"/>
          <w:highlight w:val="none"/>
        </w:rPr>
        <w:t>党委</w:t>
      </w:r>
      <w:r>
        <w:rPr>
          <w:rFonts w:hint="eastAsia" w:ascii="仿宋_GB2312" w:hAnsi="仿宋_GB2312" w:eastAsia="仿宋_GB2312" w:cs="仿宋_GB2312"/>
          <w:color w:val="auto"/>
          <w:sz w:val="32"/>
          <w:szCs w:val="32"/>
          <w:highlight w:val="none"/>
          <w:lang w:val="en-US" w:eastAsia="zh-CN"/>
        </w:rPr>
        <w:t>政府</w:t>
      </w:r>
      <w:r>
        <w:rPr>
          <w:rFonts w:hint="eastAsia" w:ascii="仿宋_GB2312" w:hAnsi="仿宋_GB2312" w:eastAsia="仿宋_GB2312" w:cs="仿宋_GB2312"/>
          <w:color w:val="auto"/>
          <w:sz w:val="32"/>
          <w:szCs w:val="32"/>
          <w:highlight w:val="none"/>
        </w:rPr>
        <w:t>同意。</w:t>
      </w:r>
    </w:p>
    <w:p w14:paraId="46D9CD9C">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pacing w:val="7"/>
          <w:sz w:val="32"/>
          <w:szCs w:val="32"/>
          <w:highlight w:val="none"/>
          <w:lang w:val="en-US" w:eastAsia="zh-CN"/>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负责按</w:t>
      </w:r>
      <w:r>
        <w:rPr>
          <w:rFonts w:hint="eastAsia" w:ascii="仿宋_GB2312" w:hAnsi="仿宋_GB2312" w:eastAsia="仿宋_GB2312" w:cs="仿宋_GB2312"/>
          <w:color w:val="auto"/>
          <w:spacing w:val="7"/>
          <w:sz w:val="32"/>
          <w:szCs w:val="32"/>
          <w:highlight w:val="none"/>
          <w:lang w:eastAsia="zh-CN"/>
        </w:rPr>
        <w:t>林场章程</w:t>
      </w:r>
      <w:r>
        <w:rPr>
          <w:rFonts w:hint="eastAsia" w:ascii="仿宋_GB2312" w:hAnsi="仿宋_GB2312" w:eastAsia="仿宋_GB2312" w:cs="仿宋_GB2312"/>
          <w:color w:val="auto"/>
          <w:spacing w:val="7"/>
          <w:sz w:val="32"/>
          <w:szCs w:val="32"/>
          <w:highlight w:val="none"/>
          <w:lang w:val="en-US" w:eastAsia="zh-CN"/>
        </w:rPr>
        <w:t>开展相关工作。</w:t>
      </w:r>
    </w:p>
    <w:p w14:paraId="7881D699">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完成上级部门交办的其他任务。</w:t>
      </w:r>
    </w:p>
    <w:p w14:paraId="69E7A13C">
      <w:pPr>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（二）副场长职责</w:t>
      </w:r>
    </w:p>
    <w:p w14:paraId="7AD03325">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1.协助场长完成</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林场各项工作的组织、管理和实施。</w:t>
      </w:r>
    </w:p>
    <w:p w14:paraId="7370E4E1">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2.协助场长完成</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林场各项工作的检查、指导、验收工作，发现问题及时解决并汇报。</w:t>
      </w:r>
    </w:p>
    <w:p w14:paraId="042AE66F">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3.协助场长管理</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林场的综合性与经营性日常工作。</w:t>
      </w:r>
    </w:p>
    <w:p w14:paraId="5627DEDB">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负责按</w:t>
      </w:r>
      <w:r>
        <w:rPr>
          <w:rFonts w:hint="eastAsia" w:ascii="仿宋_GB2312" w:hAnsi="仿宋_GB2312" w:eastAsia="仿宋_GB2312" w:cs="仿宋_GB2312"/>
          <w:color w:val="auto"/>
          <w:spacing w:val="7"/>
          <w:sz w:val="32"/>
          <w:szCs w:val="32"/>
          <w:highlight w:val="none"/>
          <w:lang w:eastAsia="zh-CN"/>
        </w:rPr>
        <w:t>林场章程</w:t>
      </w:r>
      <w:r>
        <w:rPr>
          <w:rFonts w:hint="eastAsia" w:ascii="仿宋_GB2312" w:hAnsi="仿宋_GB2312" w:eastAsia="仿宋_GB2312" w:cs="仿宋_GB2312"/>
          <w:color w:val="auto"/>
          <w:spacing w:val="7"/>
          <w:sz w:val="32"/>
          <w:szCs w:val="32"/>
          <w:highlight w:val="none"/>
          <w:lang w:val="en-US" w:eastAsia="zh-CN"/>
        </w:rPr>
        <w:t>开展相关工作。</w:t>
      </w:r>
    </w:p>
    <w:p w14:paraId="63837B82">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协助完成上级部门和场长交办的</w:t>
      </w:r>
      <w:r>
        <w:rPr>
          <w:rFonts w:hint="eastAsia" w:ascii="仿宋_GB2312" w:hAnsi="仿宋_GB2312" w:eastAsia="仿宋_GB2312" w:cs="仿宋_GB2312"/>
          <w:color w:val="auto"/>
          <w:sz w:val="32"/>
          <w:szCs w:val="32"/>
          <w:highlight w:val="none"/>
          <w:lang w:eastAsia="zh-CN"/>
        </w:rPr>
        <w:t>其他</w:t>
      </w:r>
      <w:r>
        <w:rPr>
          <w:rFonts w:hint="eastAsia" w:ascii="仿宋_GB2312" w:hAnsi="仿宋_GB2312" w:eastAsia="仿宋_GB2312" w:cs="仿宋_GB2312"/>
          <w:color w:val="auto"/>
          <w:sz w:val="32"/>
          <w:szCs w:val="32"/>
          <w:highlight w:val="none"/>
        </w:rPr>
        <w:t>工作。</w:t>
      </w:r>
    </w:p>
    <w:p w14:paraId="31793880">
      <w:pPr>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outlineLvl w:val="3"/>
        <w:rPr>
          <w:rFonts w:hint="eastAsia" w:ascii="仿宋_GB2312" w:hAnsi="仿宋_GB2312" w:eastAsia="仿宋_GB2312" w:cs="仿宋_GB2312"/>
          <w:b w:val="0"/>
          <w:bCs w:val="0"/>
          <w:snapToGrid w:val="0"/>
          <w:color w:val="auto"/>
          <w:spacing w:val="-4"/>
          <w:kern w:val="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（三）监督人员职责（由新型集体林场依据其实际情况自行制定）</w:t>
      </w:r>
      <w:bookmarkStart w:id="16" w:name="_Toc913"/>
      <w:bookmarkStart w:id="17" w:name="_Toc29695"/>
      <w:bookmarkStart w:id="18" w:name="_Toc21310"/>
      <w:bookmarkStart w:id="19" w:name="_Toc22864"/>
    </w:p>
    <w:p w14:paraId="5C4D81B4">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第四章 职工招聘</w:t>
      </w:r>
      <w:bookmarkEnd w:id="16"/>
      <w:bookmarkEnd w:id="17"/>
      <w:bookmarkEnd w:id="18"/>
      <w:bookmarkEnd w:id="19"/>
    </w:p>
    <w:p w14:paraId="22BDCF8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招聘原则：遵循“以工定量，开源节流”的原则。依据各新型集体林场的养护面积来确定职工人数（含临时性用工）。集体生态林按平均每人经营管护面积不高于50亩。新型集体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color w:val="auto"/>
          <w:sz w:val="32"/>
          <w:szCs w:val="32"/>
          <w:highlight w:val="none"/>
          <w:lang w:val="en-US" w:eastAsia="zh-CN"/>
        </w:rPr>
        <w:t>管理人员每人承担经营管护面积不少于20亩。</w:t>
      </w:r>
    </w:p>
    <w:p w14:paraId="2EB7F83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人员招聘实施内容包括：招聘计划、招聘渠道、实施招聘、录用审核、职工到岗。</w:t>
      </w:r>
    </w:p>
    <w:p w14:paraId="051E5477">
      <w:pPr>
        <w:pageBreakBefore w:val="0"/>
        <w:numPr>
          <w:ilvl w:val="0"/>
          <w:numId w:val="1"/>
        </w:numPr>
        <w:kinsoku/>
        <w:wordWrap/>
        <w:overflowPunct/>
        <w:topLinePunct w:val="0"/>
        <w:autoSpaceDE/>
        <w:autoSpaceDN/>
        <w:bidi w:val="0"/>
        <w:adjustRightInd/>
        <w:spacing w:beforeAutospacing="0" w:afterAutospacing="0" w:line="560" w:lineRule="exact"/>
        <w:ind w:left="0" w:leftChars="0" w:right="0" w:rightChars="0" w:firstLine="640" w:firstLineChars="200"/>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招聘计划</w:t>
      </w:r>
    </w:p>
    <w:p w14:paraId="4E851084">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1.招聘计划应包括招聘部门、招聘岗位、招聘人数、预计到岗时间等。招聘周期由</w:t>
      </w:r>
      <w:r>
        <w:rPr>
          <w:rFonts w:hint="eastAsia" w:ascii="仿宋_GB2312" w:hAnsi="仿宋_GB2312" w:eastAsia="仿宋_GB2312" w:cs="仿宋_GB2312"/>
          <w:color w:val="auto"/>
          <w:sz w:val="32"/>
          <w:szCs w:val="32"/>
          <w:highlight w:val="none"/>
          <w:lang w:val="en-US" w:eastAsia="zh-CN"/>
        </w:rPr>
        <w:t>新型集体林场</w:t>
      </w:r>
      <w:r>
        <w:rPr>
          <w:rFonts w:hint="eastAsia" w:ascii="仿宋_GB2312" w:hAnsi="仿宋_GB2312" w:eastAsia="仿宋_GB2312" w:cs="仿宋_GB2312"/>
          <w:color w:val="auto"/>
          <w:sz w:val="32"/>
          <w:szCs w:val="32"/>
          <w:highlight w:val="none"/>
        </w:rPr>
        <w:t>需求部门和人力资源部</w:t>
      </w:r>
      <w:r>
        <w:rPr>
          <w:rFonts w:hint="eastAsia" w:ascii="仿宋_GB2312" w:hAnsi="仿宋_GB2312" w:eastAsia="仿宋_GB2312" w:cs="仿宋_GB2312"/>
          <w:color w:val="auto"/>
          <w:sz w:val="32"/>
          <w:szCs w:val="32"/>
          <w:highlight w:val="none"/>
          <w:lang w:val="en-US" w:eastAsia="zh-CN"/>
        </w:rPr>
        <w:t>门</w:t>
      </w:r>
      <w:r>
        <w:rPr>
          <w:rFonts w:hint="eastAsia" w:ascii="仿宋_GB2312" w:hAnsi="仿宋_GB2312" w:eastAsia="仿宋_GB2312" w:cs="仿宋_GB2312"/>
          <w:color w:val="auto"/>
          <w:sz w:val="32"/>
          <w:szCs w:val="32"/>
          <w:highlight w:val="none"/>
        </w:rPr>
        <w:t>协商决定。</w:t>
      </w:r>
    </w:p>
    <w:p w14:paraId="50B0379E">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2.招聘计划由需求部门负责人及</w:t>
      </w:r>
      <w:r>
        <w:rPr>
          <w:rFonts w:hint="eastAsia" w:ascii="仿宋_GB2312" w:hAnsi="仿宋_GB2312" w:eastAsia="仿宋_GB2312" w:cs="仿宋_GB2312"/>
          <w:color w:val="auto"/>
          <w:sz w:val="32"/>
          <w:szCs w:val="32"/>
          <w:highlight w:val="none"/>
          <w:lang w:val="en-US" w:eastAsia="zh-CN"/>
        </w:rPr>
        <w:t>分管副场长</w:t>
      </w:r>
      <w:r>
        <w:rPr>
          <w:rFonts w:hint="eastAsia" w:ascii="仿宋_GB2312" w:hAnsi="仿宋_GB2312" w:eastAsia="仿宋_GB2312" w:cs="仿宋_GB2312"/>
          <w:color w:val="auto"/>
          <w:sz w:val="32"/>
          <w:szCs w:val="32"/>
          <w:highlight w:val="none"/>
        </w:rPr>
        <w:t>审核，报场务会通过后方可执行。</w:t>
      </w:r>
    </w:p>
    <w:p w14:paraId="7724B1E3">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3.招聘人员岗位</w:t>
      </w:r>
      <w:r>
        <w:rPr>
          <w:rFonts w:hint="eastAsia" w:ascii="仿宋_GB2312" w:hAnsi="仿宋_GB2312" w:eastAsia="仿宋_GB2312" w:cs="仿宋_GB2312"/>
          <w:color w:val="auto"/>
          <w:sz w:val="32"/>
          <w:szCs w:val="32"/>
          <w:highlight w:val="none"/>
          <w:lang w:val="en-US" w:eastAsia="zh-CN"/>
        </w:rPr>
        <w:t>的数量不得</w:t>
      </w:r>
      <w:r>
        <w:rPr>
          <w:rFonts w:hint="eastAsia" w:ascii="仿宋_GB2312" w:hAnsi="仿宋_GB2312" w:eastAsia="仿宋_GB2312" w:cs="仿宋_GB2312"/>
          <w:color w:val="auto"/>
          <w:sz w:val="32"/>
          <w:szCs w:val="32"/>
          <w:highlight w:val="none"/>
        </w:rPr>
        <w:t>超出招聘计划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招聘临时用工计划需由场务会批准。</w:t>
      </w:r>
    </w:p>
    <w:p w14:paraId="1FEB2CF4">
      <w:pPr>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（二）招聘渠道</w:t>
      </w:r>
    </w:p>
    <w:p w14:paraId="594F931E">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招聘渠道分为内部调整和外部招聘，招聘渠道的选择根据用人需求及预算成本等因素综合考虑确定。</w:t>
      </w:r>
    </w:p>
    <w:p w14:paraId="58F541E6">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1.内部招聘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主要面向</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林场现有职工进行内部岗位调整。人力资源部</w:t>
      </w:r>
      <w:r>
        <w:rPr>
          <w:rFonts w:hint="eastAsia" w:ascii="仿宋_GB2312" w:hAnsi="仿宋_GB2312" w:eastAsia="仿宋_GB2312" w:cs="仿宋_GB2312"/>
          <w:color w:val="auto"/>
          <w:sz w:val="32"/>
          <w:szCs w:val="32"/>
          <w:highlight w:val="none"/>
          <w:lang w:val="en-US" w:eastAsia="zh-CN"/>
        </w:rPr>
        <w:t>门</w:t>
      </w:r>
      <w:r>
        <w:rPr>
          <w:rFonts w:hint="eastAsia" w:ascii="仿宋_GB2312" w:hAnsi="仿宋_GB2312" w:eastAsia="仿宋_GB2312" w:cs="仿宋_GB2312"/>
          <w:color w:val="auto"/>
          <w:sz w:val="32"/>
          <w:szCs w:val="32"/>
          <w:highlight w:val="none"/>
        </w:rPr>
        <w:t>发布对内招聘信息后，可采取本人自荐、部门推荐、竞聘等形式进行。</w:t>
      </w:r>
    </w:p>
    <w:p w14:paraId="23A05E2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2.外部招聘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主要面向</w:t>
      </w:r>
      <w:r>
        <w:rPr>
          <w:rFonts w:hint="eastAsia" w:ascii="仿宋_GB2312" w:hAnsi="仿宋_GB2312" w:eastAsia="仿宋_GB2312" w:cs="仿宋_GB2312"/>
          <w:color w:val="auto"/>
          <w:sz w:val="32"/>
          <w:szCs w:val="32"/>
          <w:highlight w:val="none"/>
          <w:lang w:val="en-US" w:eastAsia="zh-CN"/>
        </w:rPr>
        <w:t>通州区</w:t>
      </w:r>
      <w:r>
        <w:rPr>
          <w:rFonts w:hint="eastAsia" w:ascii="仿宋_GB2312" w:hAnsi="仿宋_GB2312" w:eastAsia="仿宋_GB2312" w:cs="仿宋_GB2312"/>
          <w:color w:val="auto"/>
          <w:sz w:val="32"/>
          <w:szCs w:val="32"/>
          <w:highlight w:val="none"/>
        </w:rPr>
        <w:t>进行招聘，以解决本地农民工</w:t>
      </w:r>
      <w:r>
        <w:rPr>
          <w:rFonts w:hint="eastAsia" w:ascii="仿宋_GB2312" w:hAnsi="仿宋_GB2312" w:eastAsia="仿宋_GB2312" w:cs="仿宋_GB2312"/>
          <w:color w:val="auto"/>
          <w:sz w:val="32"/>
          <w:szCs w:val="32"/>
          <w:highlight w:val="none"/>
          <w:lang w:val="en-US" w:eastAsia="zh-CN"/>
        </w:rPr>
        <w:t>就业</w:t>
      </w:r>
      <w:r>
        <w:rPr>
          <w:rFonts w:hint="eastAsia" w:ascii="仿宋_GB2312" w:hAnsi="仿宋_GB2312" w:eastAsia="仿宋_GB2312" w:cs="仿宋_GB2312"/>
          <w:color w:val="auto"/>
          <w:sz w:val="32"/>
          <w:szCs w:val="32"/>
          <w:highlight w:val="none"/>
        </w:rPr>
        <w:t>为主，管理岗位可以通过面向社会招聘相关人才</w:t>
      </w:r>
      <w:r>
        <w:rPr>
          <w:rFonts w:hint="eastAsia" w:ascii="仿宋_GB2312" w:hAnsi="仿宋_GB2312" w:eastAsia="仿宋_GB2312" w:cs="仿宋_GB2312"/>
          <w:color w:val="auto"/>
          <w:sz w:val="32"/>
          <w:szCs w:val="32"/>
          <w:highlight w:val="none"/>
          <w:lang w:eastAsia="zh-CN"/>
        </w:rPr>
        <w:t>。</w:t>
      </w:r>
    </w:p>
    <w:p w14:paraId="1CBE7FC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pacing w:val="7"/>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color w:val="auto"/>
          <w:spacing w:val="7"/>
          <w:sz w:val="32"/>
          <w:szCs w:val="32"/>
          <w:highlight w:val="none"/>
        </w:rPr>
        <w:t>用工优先招用涉林本村（社区）、本乡镇（街道）、本区劳动力，不足时，可在全市范围内统筹解决，优先招聘60岁以下、身体健康、有农、林业专业从业经历的人员，兼顾当地有就业意愿的零就业家庭、有工作能力的残障家庭、脱贫易返贫家庭人员等。</w:t>
      </w:r>
    </w:p>
    <w:p w14:paraId="15947C2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68" w:firstLineChars="200"/>
        <w:textAlignment w:val="auto"/>
        <w:rPr>
          <w:rFonts w:hint="eastAsia" w:ascii="仿宋_GB2312" w:hAnsi="仿宋_GB2312" w:eastAsia="仿宋_GB2312" w:cs="仿宋_GB2312"/>
          <w:color w:val="auto"/>
          <w:spacing w:val="7"/>
          <w:sz w:val="32"/>
          <w:szCs w:val="32"/>
          <w:highlight w:val="none"/>
          <w:lang w:val="en-US" w:eastAsia="zh-CN"/>
        </w:rPr>
      </w:pPr>
      <w:r>
        <w:rPr>
          <w:rFonts w:hint="eastAsia" w:ascii="仿宋_GB2312" w:hAnsi="仿宋_GB2312" w:eastAsia="仿宋_GB2312" w:cs="仿宋_GB2312"/>
          <w:color w:val="auto"/>
          <w:spacing w:val="7"/>
          <w:sz w:val="32"/>
          <w:szCs w:val="32"/>
          <w:highlight w:val="none"/>
          <w:lang w:val="en-US" w:eastAsia="zh-CN"/>
        </w:rPr>
        <w:t>4.招聘要求：主管</w:t>
      </w:r>
      <w:r>
        <w:rPr>
          <w:rFonts w:hint="eastAsia" w:ascii="仿宋_GB2312" w:hAnsi="仿宋_GB2312" w:eastAsia="仿宋_GB2312" w:cs="仿宋_GB2312"/>
          <w:color w:val="auto"/>
          <w:sz w:val="32"/>
          <w:szCs w:val="32"/>
          <w:highlight w:val="none"/>
          <w:lang w:val="en-US" w:eastAsia="zh-CN"/>
        </w:rPr>
        <w:t>技术副场长必须是农、林业相关专业中级职称</w:t>
      </w:r>
      <w:r>
        <w:rPr>
          <w:rFonts w:hint="eastAsia" w:ascii="仿宋_GB2312" w:hAnsi="仿宋_GB2312" w:eastAsia="仿宋_GB2312" w:cs="仿宋_GB2312"/>
          <w:color w:val="auto"/>
          <w:spacing w:val="7"/>
          <w:sz w:val="32"/>
          <w:szCs w:val="32"/>
          <w:highlight w:val="none"/>
          <w:lang w:val="en-US" w:eastAsia="zh-CN"/>
        </w:rPr>
        <w:t>或同等技术水平</w:t>
      </w:r>
      <w:r>
        <w:rPr>
          <w:rFonts w:hint="eastAsia" w:ascii="仿宋_GB2312" w:hAnsi="仿宋_GB2312" w:eastAsia="仿宋_GB2312" w:cs="仿宋_GB2312"/>
          <w:color w:val="auto"/>
          <w:sz w:val="32"/>
          <w:szCs w:val="32"/>
          <w:highlight w:val="none"/>
          <w:lang w:val="en-US" w:eastAsia="zh-CN"/>
        </w:rPr>
        <w:t>，会计、财务、出纳人员必须是专职专岗。</w:t>
      </w:r>
    </w:p>
    <w:p w14:paraId="562332C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（三）实施招聘</w:t>
      </w:r>
    </w:p>
    <w:p w14:paraId="5BD47D3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人力资源部</w:t>
      </w:r>
      <w:r>
        <w:rPr>
          <w:rFonts w:hint="eastAsia" w:ascii="仿宋_GB2312" w:hAnsi="仿宋_GB2312" w:eastAsia="仿宋_GB2312" w:cs="仿宋_GB2312"/>
          <w:color w:val="auto"/>
          <w:sz w:val="32"/>
          <w:szCs w:val="32"/>
          <w:highlight w:val="none"/>
          <w:lang w:val="en-US" w:eastAsia="zh-CN"/>
        </w:rPr>
        <w:t>门</w:t>
      </w:r>
      <w:r>
        <w:rPr>
          <w:rFonts w:hint="eastAsia" w:ascii="仿宋_GB2312" w:hAnsi="仿宋_GB2312" w:eastAsia="仿宋_GB2312" w:cs="仿宋_GB2312"/>
          <w:color w:val="auto"/>
          <w:sz w:val="32"/>
          <w:szCs w:val="32"/>
          <w:highlight w:val="none"/>
        </w:rPr>
        <w:t>负责进行简历筛选，将初步筛选简历发送给需求部门，需求部门筛选出合适人选告知人力资源部</w:t>
      </w:r>
      <w:r>
        <w:rPr>
          <w:rFonts w:hint="eastAsia" w:ascii="仿宋_GB2312" w:hAnsi="仿宋_GB2312" w:eastAsia="仿宋_GB2312" w:cs="仿宋_GB2312"/>
          <w:color w:val="auto"/>
          <w:sz w:val="32"/>
          <w:szCs w:val="32"/>
          <w:highlight w:val="none"/>
          <w:lang w:val="en-US" w:eastAsia="zh-CN"/>
        </w:rPr>
        <w:t>门</w:t>
      </w:r>
      <w:r>
        <w:rPr>
          <w:rFonts w:hint="eastAsia" w:ascii="仿宋_GB2312" w:hAnsi="仿宋_GB2312" w:eastAsia="仿宋_GB2312" w:cs="仿宋_GB2312"/>
          <w:color w:val="auto"/>
          <w:sz w:val="32"/>
          <w:szCs w:val="32"/>
          <w:highlight w:val="none"/>
        </w:rPr>
        <w:t>，对候选人进行面试邀约。</w:t>
      </w:r>
    </w:p>
    <w:p w14:paraId="06123D2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4"/>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1.面试权限</w:t>
      </w:r>
    </w:p>
    <w:p w14:paraId="7C27457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面试包括应聘人员的初试和复试：</w:t>
      </w:r>
    </w:p>
    <w:tbl>
      <w:tblPr>
        <w:tblStyle w:val="20"/>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39"/>
        <w:gridCol w:w="1328"/>
        <w:gridCol w:w="1526"/>
        <w:gridCol w:w="1655"/>
        <w:gridCol w:w="1539"/>
      </w:tblGrid>
      <w:tr w14:paraId="1014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5B99947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序号</w:t>
            </w:r>
          </w:p>
        </w:tc>
        <w:tc>
          <w:tcPr>
            <w:tcW w:w="1539" w:type="dxa"/>
            <w:noWrap w:val="0"/>
            <w:vAlign w:val="center"/>
          </w:tcPr>
          <w:p w14:paraId="4AB0FC5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类别</w:t>
            </w:r>
          </w:p>
        </w:tc>
        <w:tc>
          <w:tcPr>
            <w:tcW w:w="1328" w:type="dxa"/>
            <w:noWrap w:val="0"/>
            <w:vAlign w:val="center"/>
          </w:tcPr>
          <w:p w14:paraId="1A2582D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岗位</w:t>
            </w:r>
          </w:p>
        </w:tc>
        <w:tc>
          <w:tcPr>
            <w:tcW w:w="1526" w:type="dxa"/>
            <w:noWrap w:val="0"/>
            <w:vAlign w:val="center"/>
          </w:tcPr>
          <w:p w14:paraId="309D704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初试</w:t>
            </w:r>
          </w:p>
        </w:tc>
        <w:tc>
          <w:tcPr>
            <w:tcW w:w="1655" w:type="dxa"/>
            <w:noWrap w:val="0"/>
            <w:vAlign w:val="center"/>
          </w:tcPr>
          <w:p w14:paraId="1C7393E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复试</w:t>
            </w:r>
          </w:p>
        </w:tc>
        <w:tc>
          <w:tcPr>
            <w:tcW w:w="1539" w:type="dxa"/>
            <w:noWrap w:val="0"/>
            <w:vAlign w:val="center"/>
          </w:tcPr>
          <w:p w14:paraId="3F5D095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核定</w:t>
            </w:r>
          </w:p>
        </w:tc>
      </w:tr>
      <w:tr w14:paraId="5CD2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90" w:type="dxa"/>
            <w:noWrap w:val="0"/>
            <w:vAlign w:val="center"/>
          </w:tcPr>
          <w:p w14:paraId="068A1C9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539" w:type="dxa"/>
            <w:noWrap w:val="0"/>
            <w:vAlign w:val="center"/>
          </w:tcPr>
          <w:p w14:paraId="059C862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基层职工</w:t>
            </w:r>
          </w:p>
        </w:tc>
        <w:tc>
          <w:tcPr>
            <w:tcW w:w="1328" w:type="dxa"/>
            <w:noWrap w:val="0"/>
            <w:vAlign w:val="center"/>
          </w:tcPr>
          <w:p w14:paraId="656D827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一线、工勤</w:t>
            </w:r>
          </w:p>
        </w:tc>
        <w:tc>
          <w:tcPr>
            <w:tcW w:w="1526" w:type="dxa"/>
            <w:noWrap w:val="0"/>
            <w:vAlign w:val="center"/>
          </w:tcPr>
          <w:p w14:paraId="195C807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人力资源部</w:t>
            </w:r>
            <w:r>
              <w:rPr>
                <w:rFonts w:hint="eastAsia" w:ascii="仿宋_GB2312" w:hAnsi="仿宋_GB2312" w:eastAsia="仿宋_GB2312" w:cs="仿宋_GB2312"/>
                <w:color w:val="auto"/>
                <w:sz w:val="24"/>
                <w:szCs w:val="24"/>
                <w:highlight w:val="none"/>
                <w:lang w:val="en-US" w:eastAsia="zh-CN"/>
              </w:rPr>
              <w:t>门</w:t>
            </w:r>
          </w:p>
        </w:tc>
        <w:tc>
          <w:tcPr>
            <w:tcW w:w="1655" w:type="dxa"/>
            <w:noWrap w:val="0"/>
            <w:vAlign w:val="center"/>
          </w:tcPr>
          <w:p w14:paraId="3CEFC88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部门负责人</w:t>
            </w:r>
          </w:p>
        </w:tc>
        <w:tc>
          <w:tcPr>
            <w:tcW w:w="1539" w:type="dxa"/>
            <w:noWrap w:val="0"/>
            <w:vAlign w:val="center"/>
          </w:tcPr>
          <w:p w14:paraId="4EACD28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r>
      <w:tr w14:paraId="2A3E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90" w:type="dxa"/>
            <w:noWrap w:val="0"/>
            <w:vAlign w:val="center"/>
          </w:tcPr>
          <w:p w14:paraId="3D5DB3A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1539" w:type="dxa"/>
            <w:noWrap w:val="0"/>
            <w:vAlign w:val="center"/>
          </w:tcPr>
          <w:p w14:paraId="73EF2CC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一般管理人员</w:t>
            </w:r>
          </w:p>
        </w:tc>
        <w:tc>
          <w:tcPr>
            <w:tcW w:w="1328" w:type="dxa"/>
            <w:noWrap w:val="0"/>
            <w:vAlign w:val="center"/>
          </w:tcPr>
          <w:p w14:paraId="06C52CD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管理人员</w:t>
            </w:r>
          </w:p>
        </w:tc>
        <w:tc>
          <w:tcPr>
            <w:tcW w:w="1526" w:type="dxa"/>
            <w:noWrap w:val="0"/>
            <w:vAlign w:val="center"/>
          </w:tcPr>
          <w:p w14:paraId="3E6DFE2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人力资源部</w:t>
            </w:r>
            <w:r>
              <w:rPr>
                <w:rFonts w:hint="eastAsia" w:ascii="仿宋_GB2312" w:hAnsi="仿宋_GB2312" w:eastAsia="仿宋_GB2312" w:cs="仿宋_GB2312"/>
                <w:color w:val="auto"/>
                <w:sz w:val="24"/>
                <w:szCs w:val="24"/>
                <w:highlight w:val="none"/>
                <w:lang w:val="en-US" w:eastAsia="zh-CN"/>
              </w:rPr>
              <w:t>门</w:t>
            </w:r>
          </w:p>
        </w:tc>
        <w:tc>
          <w:tcPr>
            <w:tcW w:w="1655" w:type="dxa"/>
            <w:noWrap w:val="0"/>
            <w:vAlign w:val="center"/>
          </w:tcPr>
          <w:p w14:paraId="733C121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部门负责人</w:t>
            </w:r>
          </w:p>
        </w:tc>
        <w:tc>
          <w:tcPr>
            <w:tcW w:w="1539" w:type="dxa"/>
            <w:noWrap w:val="0"/>
            <w:vAlign w:val="center"/>
          </w:tcPr>
          <w:p w14:paraId="399CDA1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场长</w:t>
            </w:r>
          </w:p>
        </w:tc>
      </w:tr>
      <w:tr w14:paraId="51B2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90" w:type="dxa"/>
            <w:noWrap w:val="0"/>
            <w:vAlign w:val="center"/>
          </w:tcPr>
          <w:p w14:paraId="72013D4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1539" w:type="dxa"/>
            <w:noWrap w:val="0"/>
            <w:vAlign w:val="center"/>
          </w:tcPr>
          <w:p w14:paraId="51445B6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中层管理人员</w:t>
            </w:r>
          </w:p>
        </w:tc>
        <w:tc>
          <w:tcPr>
            <w:tcW w:w="1328" w:type="dxa"/>
            <w:noWrap w:val="0"/>
            <w:vAlign w:val="center"/>
          </w:tcPr>
          <w:p w14:paraId="639F780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部门负责人</w:t>
            </w:r>
          </w:p>
        </w:tc>
        <w:tc>
          <w:tcPr>
            <w:tcW w:w="1526" w:type="dxa"/>
            <w:noWrap w:val="0"/>
            <w:vAlign w:val="center"/>
          </w:tcPr>
          <w:p w14:paraId="28D8845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人力资源部</w:t>
            </w:r>
            <w:r>
              <w:rPr>
                <w:rFonts w:hint="eastAsia" w:ascii="仿宋_GB2312" w:hAnsi="仿宋_GB2312" w:eastAsia="仿宋_GB2312" w:cs="仿宋_GB2312"/>
                <w:color w:val="auto"/>
                <w:sz w:val="24"/>
                <w:szCs w:val="24"/>
                <w:highlight w:val="none"/>
                <w:lang w:val="en-US" w:eastAsia="zh-CN"/>
              </w:rPr>
              <w:t>门</w:t>
            </w:r>
          </w:p>
        </w:tc>
        <w:tc>
          <w:tcPr>
            <w:tcW w:w="1655" w:type="dxa"/>
            <w:noWrap w:val="0"/>
            <w:vAlign w:val="center"/>
          </w:tcPr>
          <w:p w14:paraId="4C313A1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场长</w:t>
            </w:r>
          </w:p>
        </w:tc>
        <w:tc>
          <w:tcPr>
            <w:tcW w:w="1539" w:type="dxa"/>
            <w:noWrap w:val="0"/>
            <w:vAlign w:val="center"/>
          </w:tcPr>
          <w:p w14:paraId="76A414C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场务会</w:t>
            </w:r>
            <w:r>
              <w:rPr>
                <w:rFonts w:hint="eastAsia" w:ascii="仿宋_GB2312" w:hAnsi="仿宋_GB2312" w:eastAsia="仿宋_GB2312" w:cs="仿宋_GB2312"/>
                <w:color w:val="auto"/>
                <w:sz w:val="24"/>
                <w:szCs w:val="24"/>
                <w:highlight w:val="none"/>
              </w:rPr>
              <w:t>、支委会</w:t>
            </w:r>
          </w:p>
        </w:tc>
      </w:tr>
      <w:tr w14:paraId="441D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90" w:type="dxa"/>
            <w:noWrap w:val="0"/>
            <w:vAlign w:val="center"/>
          </w:tcPr>
          <w:p w14:paraId="4D73652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1539" w:type="dxa"/>
            <w:noWrap w:val="0"/>
            <w:vAlign w:val="center"/>
          </w:tcPr>
          <w:p w14:paraId="4F6FF49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高层管理人员</w:t>
            </w:r>
          </w:p>
        </w:tc>
        <w:tc>
          <w:tcPr>
            <w:tcW w:w="1328" w:type="dxa"/>
            <w:noWrap w:val="0"/>
            <w:vAlign w:val="center"/>
          </w:tcPr>
          <w:p w14:paraId="583F339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场长、副场长</w:t>
            </w:r>
          </w:p>
        </w:tc>
        <w:tc>
          <w:tcPr>
            <w:tcW w:w="1526" w:type="dxa"/>
            <w:noWrap w:val="0"/>
            <w:vAlign w:val="center"/>
          </w:tcPr>
          <w:p w14:paraId="7BEC12C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c>
          <w:tcPr>
            <w:tcW w:w="1655" w:type="dxa"/>
            <w:noWrap w:val="0"/>
            <w:vAlign w:val="center"/>
          </w:tcPr>
          <w:p w14:paraId="14ADEEE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乡镇级组织部门</w:t>
            </w:r>
          </w:p>
        </w:tc>
        <w:tc>
          <w:tcPr>
            <w:tcW w:w="1539" w:type="dxa"/>
            <w:noWrap w:val="0"/>
            <w:vAlign w:val="center"/>
          </w:tcPr>
          <w:p w14:paraId="01C2008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属地党委会</w:t>
            </w:r>
          </w:p>
        </w:tc>
      </w:tr>
    </w:tbl>
    <w:p w14:paraId="45E957FE">
      <w:pPr>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outlineLvl w:val="4"/>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2.面试要求</w:t>
      </w:r>
    </w:p>
    <w:p w14:paraId="124F8128">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（1）向应聘者介绍</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 xml:space="preserve">林场及应聘工作内容； </w:t>
      </w:r>
    </w:p>
    <w:p w14:paraId="5892A9AC">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（2）了解应聘者主要教育背景、工作经历、专长、工作能力及意愿目标等； </w:t>
      </w:r>
    </w:p>
    <w:p w14:paraId="215524C2">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（3）了解应聘者仪容仪表、待人接物、精神状</w:t>
      </w:r>
      <w:r>
        <w:rPr>
          <w:rFonts w:hint="eastAsia" w:ascii="仿宋_GB2312" w:hAnsi="仿宋_GB2312" w:eastAsia="仿宋_GB2312" w:cs="仿宋_GB2312"/>
          <w:color w:val="auto"/>
          <w:sz w:val="32"/>
          <w:szCs w:val="32"/>
          <w:highlight w:val="none"/>
          <w:lang w:eastAsia="zh-CN"/>
        </w:rPr>
        <w:t>况和</w:t>
      </w:r>
      <w:r>
        <w:rPr>
          <w:rFonts w:hint="eastAsia" w:ascii="仿宋_GB2312" w:hAnsi="仿宋_GB2312" w:eastAsia="仿宋_GB2312" w:cs="仿宋_GB2312"/>
          <w:color w:val="auto"/>
          <w:sz w:val="32"/>
          <w:szCs w:val="32"/>
          <w:highlight w:val="none"/>
        </w:rPr>
        <w:t xml:space="preserve">综合素质； </w:t>
      </w:r>
      <w:bookmarkStart w:id="20" w:name="_Toc18118"/>
      <w:bookmarkEnd w:id="20"/>
    </w:p>
    <w:p w14:paraId="4DD40FDD">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（4）面试合格者，人力资源部</w:t>
      </w:r>
      <w:r>
        <w:rPr>
          <w:rFonts w:hint="eastAsia" w:ascii="仿宋_GB2312" w:hAnsi="仿宋_GB2312" w:eastAsia="仿宋_GB2312" w:cs="仿宋_GB2312"/>
          <w:color w:val="auto"/>
          <w:sz w:val="32"/>
          <w:szCs w:val="32"/>
          <w:highlight w:val="none"/>
          <w:lang w:val="en-US" w:eastAsia="zh-CN"/>
        </w:rPr>
        <w:t>门</w:t>
      </w:r>
      <w:r>
        <w:rPr>
          <w:rFonts w:hint="eastAsia" w:ascii="仿宋_GB2312" w:hAnsi="仿宋_GB2312" w:eastAsia="仿宋_GB2312" w:cs="仿宋_GB2312"/>
          <w:color w:val="auto"/>
          <w:sz w:val="32"/>
          <w:szCs w:val="32"/>
          <w:highlight w:val="none"/>
        </w:rPr>
        <w:t>将发出录用通知；</w:t>
      </w:r>
    </w:p>
    <w:p w14:paraId="71C9B907">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（5）面试未达到目前要求或因其他原因不能到岗，但综合能力较强或有培养潜质的人员，人力资源将建立人才储备库，为后期招聘工作提供参考。</w:t>
      </w:r>
    </w:p>
    <w:p w14:paraId="49504D6B">
      <w:pPr>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（四）录用审核 </w:t>
      </w:r>
    </w:p>
    <w:p w14:paraId="1BCA7845">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面试合格的候选人须交齐相关入职材料（简历、身份证、户口本、入职体检等），人力资源部</w:t>
      </w:r>
      <w:r>
        <w:rPr>
          <w:rFonts w:hint="eastAsia" w:ascii="仿宋_GB2312" w:hAnsi="仿宋_GB2312" w:eastAsia="仿宋_GB2312" w:cs="仿宋_GB2312"/>
          <w:color w:val="auto"/>
          <w:sz w:val="32"/>
          <w:szCs w:val="32"/>
          <w:highlight w:val="none"/>
          <w:lang w:val="en-US" w:eastAsia="zh-CN"/>
        </w:rPr>
        <w:t>门</w:t>
      </w:r>
      <w:r>
        <w:rPr>
          <w:rFonts w:hint="eastAsia" w:ascii="仿宋_GB2312" w:hAnsi="仿宋_GB2312" w:eastAsia="仿宋_GB2312" w:cs="仿宋_GB2312"/>
          <w:color w:val="auto"/>
          <w:sz w:val="32"/>
          <w:szCs w:val="32"/>
          <w:highlight w:val="none"/>
        </w:rPr>
        <w:t>为其办理录用手续，所有材料由人力资</w:t>
      </w:r>
      <w:r>
        <w:rPr>
          <w:rFonts w:hint="eastAsia" w:ascii="仿宋_GB2312" w:hAnsi="仿宋_GB2312" w:eastAsia="仿宋_GB2312" w:cs="仿宋_GB2312"/>
          <w:color w:val="auto"/>
          <w:sz w:val="32"/>
          <w:szCs w:val="32"/>
          <w:highlight w:val="none"/>
          <w:lang w:eastAsia="zh-CN"/>
        </w:rPr>
        <w:t>源部</w:t>
      </w:r>
      <w:r>
        <w:rPr>
          <w:rFonts w:hint="eastAsia" w:ascii="仿宋_GB2312" w:hAnsi="仿宋_GB2312" w:eastAsia="仿宋_GB2312" w:cs="仿宋_GB2312"/>
          <w:color w:val="auto"/>
          <w:sz w:val="32"/>
          <w:szCs w:val="32"/>
          <w:highlight w:val="none"/>
          <w:lang w:val="en-US" w:eastAsia="zh-CN"/>
        </w:rPr>
        <w:t>门</w:t>
      </w:r>
      <w:r>
        <w:rPr>
          <w:rFonts w:hint="eastAsia" w:ascii="仿宋_GB2312" w:hAnsi="仿宋_GB2312" w:eastAsia="仿宋_GB2312" w:cs="仿宋_GB2312"/>
          <w:color w:val="auto"/>
          <w:sz w:val="32"/>
          <w:szCs w:val="32"/>
          <w:highlight w:val="none"/>
        </w:rPr>
        <w:t>统一存档备查。审核完成后，及时通知应聘者和</w:t>
      </w:r>
      <w:r>
        <w:rPr>
          <w:rFonts w:hint="eastAsia" w:ascii="仿宋_GB2312" w:hAnsi="仿宋_GB2312" w:eastAsia="仿宋_GB2312" w:cs="仿宋_GB2312"/>
          <w:color w:val="auto"/>
          <w:sz w:val="32"/>
          <w:szCs w:val="32"/>
          <w:highlight w:val="none"/>
          <w:lang w:val="en-US" w:eastAsia="zh-CN"/>
        </w:rPr>
        <w:t>部门负责人</w:t>
      </w:r>
      <w:r>
        <w:rPr>
          <w:rFonts w:hint="eastAsia" w:ascii="仿宋_GB2312" w:hAnsi="仿宋_GB2312" w:eastAsia="仿宋_GB2312" w:cs="仿宋_GB2312"/>
          <w:color w:val="auto"/>
          <w:sz w:val="32"/>
          <w:szCs w:val="32"/>
          <w:highlight w:val="none"/>
        </w:rPr>
        <w:t>到岗时间，做好到岗准备工作。</w:t>
      </w:r>
    </w:p>
    <w:p w14:paraId="69D795DE">
      <w:pPr>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（五）职工到岗 </w:t>
      </w:r>
    </w:p>
    <w:p w14:paraId="63538423">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1.所有招聘录用的新职工正式上班当日，先向人力资源部</w:t>
      </w:r>
      <w:r>
        <w:rPr>
          <w:rFonts w:hint="eastAsia" w:ascii="仿宋_GB2312" w:hAnsi="仿宋_GB2312" w:eastAsia="仿宋_GB2312" w:cs="仿宋_GB2312"/>
          <w:color w:val="auto"/>
          <w:sz w:val="32"/>
          <w:szCs w:val="32"/>
          <w:highlight w:val="none"/>
          <w:lang w:val="en-US" w:eastAsia="zh-CN"/>
        </w:rPr>
        <w:t>门</w:t>
      </w:r>
      <w:r>
        <w:rPr>
          <w:rFonts w:hint="eastAsia" w:ascii="仿宋_GB2312" w:hAnsi="仿宋_GB2312" w:eastAsia="仿宋_GB2312" w:cs="仿宋_GB2312"/>
          <w:color w:val="auto"/>
          <w:sz w:val="32"/>
          <w:szCs w:val="32"/>
          <w:highlight w:val="none"/>
        </w:rPr>
        <w:t xml:space="preserve">报到，并以其报到的日期为起薪日。 </w:t>
      </w:r>
    </w:p>
    <w:p w14:paraId="29FA3503">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2.新职工报到当日，人力资源部</w:t>
      </w:r>
      <w:r>
        <w:rPr>
          <w:rFonts w:hint="eastAsia" w:ascii="仿宋_GB2312" w:hAnsi="仿宋_GB2312" w:eastAsia="仿宋_GB2312" w:cs="仿宋_GB2312"/>
          <w:color w:val="auto"/>
          <w:sz w:val="32"/>
          <w:szCs w:val="32"/>
          <w:highlight w:val="none"/>
          <w:lang w:val="en-US" w:eastAsia="zh-CN"/>
        </w:rPr>
        <w:t>门</w:t>
      </w:r>
      <w:r>
        <w:rPr>
          <w:rFonts w:hint="eastAsia" w:ascii="仿宋_GB2312" w:hAnsi="仿宋_GB2312" w:eastAsia="仿宋_GB2312" w:cs="仿宋_GB2312"/>
          <w:color w:val="auto"/>
          <w:sz w:val="32"/>
          <w:szCs w:val="32"/>
          <w:highlight w:val="none"/>
        </w:rPr>
        <w:t>应按照职工入职手续清单为新职工办理入职手续</w:t>
      </w:r>
      <w:r>
        <w:rPr>
          <w:rFonts w:hint="eastAsia" w:ascii="仿宋_GB2312" w:hAnsi="仿宋_GB2312" w:eastAsia="仿宋_GB2312" w:cs="仿宋_GB2312"/>
          <w:color w:val="auto"/>
          <w:sz w:val="32"/>
          <w:szCs w:val="32"/>
          <w:highlight w:val="none"/>
          <w:lang w:eastAsia="zh-CN"/>
        </w:rPr>
        <w:t>。</w:t>
      </w:r>
    </w:p>
    <w:p w14:paraId="479C57C6">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3.新职工办理完报到手续后，人力资源根据需求部门要求安排其到需求部门试用，由</w:t>
      </w:r>
      <w:r>
        <w:rPr>
          <w:rFonts w:hint="eastAsia" w:ascii="仿宋_GB2312" w:hAnsi="仿宋_GB2312" w:eastAsia="仿宋_GB2312" w:cs="仿宋_GB2312"/>
          <w:color w:val="auto"/>
          <w:sz w:val="32"/>
          <w:szCs w:val="32"/>
          <w:highlight w:val="none"/>
          <w:lang w:val="en-US" w:eastAsia="zh-CN"/>
        </w:rPr>
        <w:t>部门负责人</w:t>
      </w:r>
      <w:r>
        <w:rPr>
          <w:rFonts w:hint="eastAsia" w:ascii="仿宋_GB2312" w:hAnsi="仿宋_GB2312" w:eastAsia="仿宋_GB2312" w:cs="仿宋_GB2312"/>
          <w:color w:val="auto"/>
          <w:sz w:val="32"/>
          <w:szCs w:val="32"/>
          <w:highlight w:val="none"/>
        </w:rPr>
        <w:t>接收，安排其工作。</w:t>
      </w:r>
    </w:p>
    <w:p w14:paraId="4524FB1E">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21" w:name="_Toc29830"/>
      <w:bookmarkStart w:id="22" w:name="_Toc20828"/>
      <w:bookmarkStart w:id="23" w:name="_Toc3295"/>
      <w:bookmarkStart w:id="24" w:name="_Toc9641"/>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第五章 技能培训</w:t>
      </w:r>
      <w:bookmarkEnd w:id="21"/>
      <w:bookmarkEnd w:id="22"/>
      <w:bookmarkEnd w:id="23"/>
      <w:bookmarkEnd w:id="24"/>
    </w:p>
    <w:p w14:paraId="41E5CD25">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（一）为提高职工素质和工作效率，加强职工的品德教育及知识技能的培训，</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林场根据各部门工作需要及工作性质开展具体的岗位培训，职工应积极参加，不断更新知识、提高技能，对于</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林场要求必须参加的相关培训，如无正当理由，</w:t>
      </w:r>
      <w:r>
        <w:rPr>
          <w:rFonts w:hint="eastAsia" w:ascii="仿宋_GB2312" w:hAnsi="仿宋_GB2312" w:eastAsia="仿宋_GB2312" w:cs="仿宋_GB2312"/>
          <w:color w:val="auto"/>
          <w:sz w:val="32"/>
          <w:szCs w:val="32"/>
          <w:highlight w:val="none"/>
          <w:lang w:val="en-US" w:eastAsia="zh-CN"/>
        </w:rPr>
        <w:t>一年轮训一次的要求，</w:t>
      </w:r>
      <w:r>
        <w:rPr>
          <w:rFonts w:hint="eastAsia" w:ascii="仿宋_GB2312" w:hAnsi="仿宋_GB2312" w:eastAsia="仿宋_GB2312" w:cs="仿宋_GB2312"/>
          <w:color w:val="auto"/>
          <w:sz w:val="32"/>
          <w:szCs w:val="32"/>
          <w:highlight w:val="none"/>
        </w:rPr>
        <w:t>职工不得缺席，如确有困难不能参加者，须提前向部门负责人</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rPr>
        <w:t>人力资源部</w:t>
      </w:r>
      <w:r>
        <w:rPr>
          <w:rFonts w:hint="eastAsia" w:ascii="仿宋_GB2312" w:hAnsi="仿宋_GB2312" w:eastAsia="仿宋_GB2312" w:cs="仿宋_GB2312"/>
          <w:color w:val="auto"/>
          <w:sz w:val="32"/>
          <w:szCs w:val="32"/>
          <w:highlight w:val="none"/>
          <w:lang w:val="en-US" w:eastAsia="zh-CN"/>
        </w:rPr>
        <w:t>门</w:t>
      </w:r>
      <w:r>
        <w:rPr>
          <w:rFonts w:hint="eastAsia" w:ascii="仿宋_GB2312" w:hAnsi="仿宋_GB2312" w:eastAsia="仿宋_GB2312" w:cs="仿宋_GB2312"/>
          <w:color w:val="auto"/>
          <w:sz w:val="32"/>
          <w:szCs w:val="32"/>
          <w:highlight w:val="none"/>
        </w:rPr>
        <w:t>提出申请。</w:t>
      </w:r>
      <w:bookmarkStart w:id="25" w:name="_Toc25341"/>
      <w:bookmarkEnd w:id="25"/>
      <w:bookmarkStart w:id="26" w:name="_Toc31285"/>
    </w:p>
    <w:p w14:paraId="7F8B60CC">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（二）职工培训分为岗前培训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在岗培训</w:t>
      </w:r>
      <w:bookmarkEnd w:id="26"/>
      <w:r>
        <w:rPr>
          <w:rFonts w:hint="eastAsia" w:ascii="仿宋_GB2312" w:hAnsi="仿宋_GB2312" w:eastAsia="仿宋_GB2312" w:cs="仿宋_GB2312"/>
          <w:color w:val="auto"/>
          <w:sz w:val="32"/>
          <w:szCs w:val="32"/>
          <w:highlight w:val="none"/>
        </w:rPr>
        <w:t>、外部培训，培训前人力资源部</w:t>
      </w:r>
      <w:r>
        <w:rPr>
          <w:rFonts w:hint="eastAsia" w:ascii="仿宋_GB2312" w:hAnsi="仿宋_GB2312" w:eastAsia="仿宋_GB2312" w:cs="仿宋_GB2312"/>
          <w:color w:val="auto"/>
          <w:sz w:val="32"/>
          <w:szCs w:val="32"/>
          <w:highlight w:val="none"/>
          <w:lang w:val="en-US" w:eastAsia="zh-CN"/>
        </w:rPr>
        <w:t>门</w:t>
      </w:r>
      <w:r>
        <w:rPr>
          <w:rFonts w:hint="eastAsia" w:ascii="仿宋_GB2312" w:hAnsi="仿宋_GB2312" w:eastAsia="仿宋_GB2312" w:cs="仿宋_GB2312"/>
          <w:color w:val="auto"/>
          <w:sz w:val="32"/>
          <w:szCs w:val="32"/>
          <w:highlight w:val="none"/>
        </w:rPr>
        <w:t>组织到场职工进行签到，做培训记录（培训时间、地点、人物、内容）培训留痕。</w:t>
      </w:r>
    </w:p>
    <w:p w14:paraId="60988420">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1.岗前培训，</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林场新招聘职工在上岗前均需接受岗前培训，岗前培训主要包括：</w:t>
      </w:r>
    </w:p>
    <w:p w14:paraId="5FC08158">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林场的规章制度及行为规范。</w:t>
      </w:r>
    </w:p>
    <w:p w14:paraId="0CACD8AB">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（2）了解岗位职责、工作内容、工作流程、安全生产及技术操作知识。</w:t>
      </w:r>
    </w:p>
    <w:p w14:paraId="15F1D091">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（3）了解安全生产方针、事故防范、应急措施</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基本常识。</w:t>
      </w:r>
    </w:p>
    <w:p w14:paraId="07D66261">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2.在岗培训，</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 xml:space="preserve">林场在职职工均需接受在岗培训，在岗培训主要包括： </w:t>
      </w:r>
    </w:p>
    <w:p w14:paraId="54DE2B74">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掌握职工的岗位职责、工作流程、安全生产及技术操作知识。</w:t>
      </w:r>
    </w:p>
    <w:p w14:paraId="31FBFE98">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掌握安全生产方针、事故防范、应急措施</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基本常识。</w:t>
      </w:r>
    </w:p>
    <w:p w14:paraId="0BB9EA5C">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掌握岗位安全操作规程，提高职工安全生产意识，减少或杜绝安全隐患和事故的发生。</w:t>
      </w:r>
    </w:p>
    <w:p w14:paraId="62512EBF">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3.外部培训，使技术人员的专业能力不断拓展和提高，人员一般包括：</w:t>
      </w:r>
    </w:p>
    <w:p w14:paraId="2E13613A">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（1）报场务会</w:t>
      </w:r>
      <w:r>
        <w:rPr>
          <w:rFonts w:hint="eastAsia" w:ascii="仿宋_GB2312" w:hAnsi="仿宋_GB2312" w:eastAsia="仿宋_GB2312" w:cs="仿宋_GB2312"/>
          <w:color w:val="auto"/>
          <w:sz w:val="32"/>
          <w:szCs w:val="32"/>
          <w:highlight w:val="none"/>
          <w:lang w:val="en-US" w:eastAsia="zh-CN"/>
        </w:rPr>
        <w:t>审议</w:t>
      </w:r>
      <w:r>
        <w:rPr>
          <w:rFonts w:hint="eastAsia" w:ascii="仿宋_GB2312" w:hAnsi="仿宋_GB2312" w:eastAsia="仿宋_GB2312" w:cs="仿宋_GB2312"/>
          <w:color w:val="auto"/>
          <w:sz w:val="32"/>
          <w:szCs w:val="32"/>
          <w:highlight w:val="none"/>
        </w:rPr>
        <w:t>通过</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人员。</w:t>
      </w:r>
    </w:p>
    <w:p w14:paraId="7ABE908E">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（2）有培养前途的技术人员。</w:t>
      </w:r>
    </w:p>
    <w:p w14:paraId="4BAE8766">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（3）对此类培训有兴趣的人员。</w:t>
      </w:r>
    </w:p>
    <w:p w14:paraId="7429EDA2">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（4）部门或内部职工推荐符合条件的人员。</w:t>
      </w:r>
    </w:p>
    <w:p w14:paraId="4D055CB9">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（5）文化素养较高且年龄</w:t>
      </w:r>
      <w:r>
        <w:rPr>
          <w:rFonts w:hint="eastAsia" w:ascii="仿宋_GB2312" w:hAnsi="仿宋_GB2312" w:eastAsia="仿宋_GB2312" w:cs="仿宋_GB2312"/>
          <w:color w:val="auto"/>
          <w:sz w:val="32"/>
          <w:szCs w:val="32"/>
          <w:highlight w:val="none"/>
          <w:lang w:val="en-US" w:eastAsia="zh-CN"/>
        </w:rPr>
        <w:t>符合</w:t>
      </w:r>
      <w:r>
        <w:rPr>
          <w:rFonts w:hint="eastAsia" w:ascii="仿宋_GB2312" w:hAnsi="仿宋_GB2312" w:eastAsia="仿宋_GB2312" w:cs="仿宋_GB2312"/>
          <w:color w:val="auto"/>
          <w:sz w:val="32"/>
          <w:szCs w:val="32"/>
          <w:highlight w:val="none"/>
        </w:rPr>
        <w:t>，对自身要求高的人员。</w:t>
      </w:r>
    </w:p>
    <w:p w14:paraId="318D10D6">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能</w:t>
      </w:r>
      <w:r>
        <w:rPr>
          <w:rFonts w:hint="eastAsia" w:ascii="仿宋_GB2312" w:hAnsi="仿宋_GB2312" w:eastAsia="仿宋_GB2312" w:cs="仿宋_GB2312"/>
          <w:color w:val="auto"/>
          <w:sz w:val="32"/>
          <w:szCs w:val="32"/>
          <w:highlight w:val="none"/>
        </w:rPr>
        <w:t>将培训所学知识</w:t>
      </w:r>
      <w:r>
        <w:rPr>
          <w:rFonts w:hint="eastAsia" w:ascii="仿宋_GB2312" w:hAnsi="仿宋_GB2312" w:eastAsia="仿宋_GB2312" w:cs="仿宋_GB2312"/>
          <w:color w:val="auto"/>
          <w:sz w:val="32"/>
          <w:szCs w:val="32"/>
          <w:highlight w:val="none"/>
          <w:lang w:val="en-US" w:eastAsia="zh-CN"/>
        </w:rPr>
        <w:t>传授</w:t>
      </w:r>
      <w:r>
        <w:rPr>
          <w:rFonts w:hint="eastAsia" w:ascii="仿宋_GB2312" w:hAnsi="仿宋_GB2312" w:eastAsia="仿宋_GB2312" w:cs="仿宋_GB2312"/>
          <w:color w:val="auto"/>
          <w:sz w:val="32"/>
          <w:szCs w:val="32"/>
          <w:highlight w:val="none"/>
        </w:rPr>
        <w:t>给</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 xml:space="preserve">林场职工。 </w:t>
      </w:r>
    </w:p>
    <w:p w14:paraId="6D6D969C">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4.培训形式有：</w:t>
      </w:r>
    </w:p>
    <w:p w14:paraId="7D28DC4F">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（1）定期或不定期的培训班、集体学习等。</w:t>
      </w:r>
    </w:p>
    <w:p w14:paraId="12479E20">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（2）PPT演讲、外聘培训讲师等其他培训方式。</w:t>
      </w:r>
      <w:bookmarkStart w:id="27" w:name="_Toc32092"/>
      <w:bookmarkEnd w:id="27"/>
    </w:p>
    <w:p w14:paraId="6E9144B3">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（3）林业相关协会组织或培训机构举办的培训班。</w:t>
      </w:r>
    </w:p>
    <w:p w14:paraId="338156FD">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（三）其他说明</w:t>
      </w:r>
    </w:p>
    <w:p w14:paraId="0C314E2C">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1.培训前</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林场与参培人员双方签订培训协议，明确双方将承担的责任和义务。</w:t>
      </w:r>
    </w:p>
    <w:p w14:paraId="01D57B07">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color w:val="auto"/>
          <w:sz w:val="32"/>
          <w:szCs w:val="32"/>
          <w:highlight w:val="none"/>
          <w:lang w:val="en-US" w:eastAsia="zh-CN"/>
        </w:rPr>
        <w:t>可</w:t>
      </w:r>
      <w:r>
        <w:rPr>
          <w:rFonts w:hint="eastAsia" w:ascii="仿宋_GB2312" w:hAnsi="仿宋_GB2312" w:eastAsia="仿宋_GB2312" w:cs="仿宋_GB2312"/>
          <w:color w:val="auto"/>
          <w:sz w:val="32"/>
          <w:szCs w:val="32"/>
          <w:highlight w:val="none"/>
        </w:rPr>
        <w:t>为每位职工提供学习深造的机会，职工可根据自身条件自愿报名学习。</w:t>
      </w:r>
    </w:p>
    <w:p w14:paraId="59518576">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3.职工参加</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林场组织的外部相关专业学习培训，学习期满并合格取证的职工，经人力资源部</w:t>
      </w:r>
      <w:r>
        <w:rPr>
          <w:rFonts w:hint="eastAsia" w:ascii="仿宋_GB2312" w:hAnsi="仿宋_GB2312" w:eastAsia="仿宋_GB2312" w:cs="仿宋_GB2312"/>
          <w:color w:val="auto"/>
          <w:sz w:val="32"/>
          <w:szCs w:val="32"/>
          <w:highlight w:val="none"/>
          <w:lang w:val="en-US" w:eastAsia="zh-CN"/>
        </w:rPr>
        <w:t>门</w:t>
      </w:r>
      <w:r>
        <w:rPr>
          <w:rFonts w:hint="eastAsia" w:ascii="仿宋_GB2312" w:hAnsi="仿宋_GB2312" w:eastAsia="仿宋_GB2312" w:cs="仿宋_GB2312"/>
          <w:color w:val="auto"/>
          <w:sz w:val="32"/>
          <w:szCs w:val="32"/>
          <w:highlight w:val="none"/>
        </w:rPr>
        <w:t>审核后报</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林场场务会通过，按财务审批程序报销相关费用（补考费除外）。如培训活动另有政策补贴的，除去政策补贴以外的费用</w:t>
      </w:r>
      <w:r>
        <w:rPr>
          <w:rFonts w:hint="eastAsia" w:ascii="仿宋_GB2312" w:hAnsi="仿宋_GB2312" w:eastAsia="仿宋_GB2312" w:cs="仿宋_GB2312"/>
          <w:color w:val="auto"/>
          <w:sz w:val="32"/>
          <w:szCs w:val="32"/>
          <w:highlight w:val="none"/>
          <w:lang w:val="en-US" w:eastAsia="zh-CN"/>
        </w:rPr>
        <w:t>按审批程序报销。</w:t>
      </w:r>
    </w:p>
    <w:p w14:paraId="7EA8C9FF">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.同一人参加多次培训考证，协议服务期独立计算，重合部分不予叠加。</w:t>
      </w:r>
    </w:p>
    <w:p w14:paraId="369B13B7">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28" w:name="_Toc996"/>
      <w:bookmarkStart w:id="29" w:name="_Toc19528"/>
      <w:bookmarkStart w:id="30" w:name="_Toc25945"/>
      <w:bookmarkStart w:id="31" w:name="_Toc30489"/>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第六章 劳动关系的解除或终止</w:t>
      </w:r>
      <w:bookmarkEnd w:id="28"/>
      <w:bookmarkEnd w:id="29"/>
      <w:bookmarkEnd w:id="30"/>
      <w:bookmarkEnd w:id="31"/>
    </w:p>
    <w:p w14:paraId="6E6F2BF3">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林场职工死亡为</w:t>
      </w:r>
      <w:r>
        <w:rPr>
          <w:rFonts w:hint="eastAsia" w:ascii="仿宋_GB2312" w:hAnsi="仿宋_GB2312" w:eastAsia="仿宋_GB2312" w:cs="仿宋_GB2312"/>
          <w:color w:val="auto"/>
          <w:sz w:val="32"/>
          <w:szCs w:val="32"/>
          <w:highlight w:val="none"/>
          <w:lang w:val="en-US" w:eastAsia="zh-CN"/>
        </w:rPr>
        <w:t>自动解除</w:t>
      </w:r>
      <w:r>
        <w:rPr>
          <w:rFonts w:hint="eastAsia" w:ascii="仿宋_GB2312" w:hAnsi="仿宋_GB2312" w:eastAsia="仿宋_GB2312" w:cs="仿宋_GB2312"/>
          <w:color w:val="auto"/>
          <w:sz w:val="32"/>
          <w:szCs w:val="32"/>
          <w:highlight w:val="none"/>
        </w:rPr>
        <w:t>。职工死亡的抚恤条件及标准由</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林场另行规定。</w:t>
      </w:r>
    </w:p>
    <w:p w14:paraId="5241540F">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林场职工退休享受退休金，其办法另定。</w:t>
      </w:r>
    </w:p>
    <w:p w14:paraId="09FE9C56">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3.新型集体</w:t>
      </w:r>
      <w:r>
        <w:rPr>
          <w:rFonts w:hint="eastAsia" w:ascii="仿宋_GB2312" w:hAnsi="仿宋_GB2312" w:eastAsia="仿宋_GB2312" w:cs="仿宋_GB2312"/>
          <w:color w:val="auto"/>
          <w:sz w:val="32"/>
          <w:szCs w:val="32"/>
          <w:highlight w:val="none"/>
        </w:rPr>
        <w:t>林场职工自请辞职者，应于30天前以书面形式申请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在未核准前不得离职，擅自离职者以旷工论处。</w:t>
      </w:r>
    </w:p>
    <w:p w14:paraId="7F6B8D62">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劳动关系的解除或终止等按《中华人民共和国劳动合同法》规定执行。</w:t>
      </w:r>
    </w:p>
    <w:p w14:paraId="1B392D20">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职工因违反</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林场规章制度，可根据其行为及后果，根据相应的规定给予解聘</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处理。解聘</w:t>
      </w:r>
      <w:r>
        <w:rPr>
          <w:rFonts w:hint="eastAsia" w:ascii="仿宋_GB2312" w:hAnsi="仿宋_GB2312" w:eastAsia="仿宋_GB2312" w:cs="仿宋_GB2312"/>
          <w:color w:val="auto"/>
          <w:sz w:val="32"/>
          <w:szCs w:val="32"/>
          <w:highlight w:val="none"/>
          <w:lang w:val="en-US" w:eastAsia="zh-CN"/>
        </w:rPr>
        <w:t>等处理</w:t>
      </w:r>
      <w:r>
        <w:rPr>
          <w:rFonts w:hint="eastAsia" w:ascii="仿宋_GB2312" w:hAnsi="仿宋_GB2312" w:eastAsia="仿宋_GB2312" w:cs="仿宋_GB2312"/>
          <w:color w:val="auto"/>
          <w:sz w:val="32"/>
          <w:szCs w:val="32"/>
          <w:highlight w:val="none"/>
        </w:rPr>
        <w:t>的决议应通过</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color w:val="auto"/>
          <w:sz w:val="32"/>
          <w:szCs w:val="32"/>
          <w:highlight w:val="none"/>
          <w:lang w:eastAsia="zh-CN"/>
        </w:rPr>
        <w:t>场务会</w:t>
      </w:r>
      <w:r>
        <w:rPr>
          <w:rFonts w:hint="eastAsia" w:ascii="仿宋_GB2312" w:hAnsi="仿宋_GB2312" w:eastAsia="仿宋_GB2312" w:cs="仿宋_GB2312"/>
          <w:color w:val="auto"/>
          <w:sz w:val="32"/>
          <w:szCs w:val="32"/>
          <w:highlight w:val="none"/>
        </w:rPr>
        <w:t>决定，并将</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的决定通知工会。</w:t>
      </w:r>
    </w:p>
    <w:p w14:paraId="24328A2C">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因</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林场调整业务结构，或发生重大经营变动导致的解雇职工计划，应事先与工会协商，共同制定解雇及补偿方案。</w:t>
      </w:r>
    </w:p>
    <w:p w14:paraId="373DBB2C">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6.新型集体</w:t>
      </w:r>
      <w:r>
        <w:rPr>
          <w:rFonts w:hint="eastAsia" w:ascii="仿宋_GB2312" w:hAnsi="仿宋_GB2312" w:eastAsia="仿宋_GB2312" w:cs="仿宋_GB2312"/>
          <w:color w:val="auto"/>
          <w:sz w:val="32"/>
          <w:szCs w:val="32"/>
          <w:highlight w:val="none"/>
        </w:rPr>
        <w:t>林场职工离职，除“死亡”未能办理交接手续</w:t>
      </w:r>
      <w:r>
        <w:rPr>
          <w:rFonts w:hint="eastAsia" w:ascii="仿宋_GB2312" w:hAnsi="仿宋_GB2312" w:eastAsia="仿宋_GB2312" w:cs="仿宋_GB2312"/>
          <w:color w:val="auto"/>
          <w:spacing w:val="-6"/>
          <w:sz w:val="32"/>
          <w:szCs w:val="32"/>
          <w:highlight w:val="none"/>
        </w:rPr>
        <w:t>者外，均应办妥</w:t>
      </w:r>
      <w:r>
        <w:rPr>
          <w:rFonts w:hint="eastAsia" w:ascii="仿宋_GB2312" w:hAnsi="仿宋_GB2312" w:eastAsia="仿宋_GB2312" w:cs="仿宋_GB2312"/>
          <w:color w:val="auto"/>
          <w:spacing w:val="-6"/>
          <w:sz w:val="32"/>
          <w:szCs w:val="32"/>
          <w:highlight w:val="none"/>
          <w:lang w:val="en-US" w:eastAsia="zh-CN"/>
        </w:rPr>
        <w:t>交接</w:t>
      </w:r>
      <w:r>
        <w:rPr>
          <w:rFonts w:hint="eastAsia" w:ascii="仿宋_GB2312" w:hAnsi="仿宋_GB2312" w:eastAsia="仿宋_GB2312" w:cs="仿宋_GB2312"/>
          <w:color w:val="auto"/>
          <w:spacing w:val="-6"/>
          <w:sz w:val="32"/>
          <w:szCs w:val="32"/>
          <w:highlight w:val="none"/>
        </w:rPr>
        <w:t>手续，经各部门</w:t>
      </w:r>
      <w:r>
        <w:rPr>
          <w:rFonts w:hint="eastAsia" w:ascii="仿宋_GB2312" w:hAnsi="仿宋_GB2312" w:eastAsia="仿宋_GB2312" w:cs="仿宋_GB2312"/>
          <w:color w:val="auto"/>
          <w:spacing w:val="-6"/>
          <w:sz w:val="32"/>
          <w:szCs w:val="32"/>
          <w:highlight w:val="none"/>
          <w:lang w:eastAsia="zh-CN"/>
        </w:rPr>
        <w:t>交接</w:t>
      </w:r>
      <w:r>
        <w:rPr>
          <w:rFonts w:hint="eastAsia" w:ascii="仿宋_GB2312" w:hAnsi="仿宋_GB2312" w:eastAsia="仿宋_GB2312" w:cs="仿宋_GB2312"/>
          <w:color w:val="auto"/>
          <w:spacing w:val="-6"/>
          <w:sz w:val="32"/>
          <w:szCs w:val="32"/>
          <w:highlight w:val="none"/>
        </w:rPr>
        <w:t>人</w:t>
      </w:r>
      <w:r>
        <w:rPr>
          <w:rFonts w:hint="eastAsia" w:ascii="仿宋_GB2312" w:hAnsi="仿宋_GB2312" w:eastAsia="仿宋_GB2312" w:cs="仿宋_GB2312"/>
          <w:color w:val="auto"/>
          <w:spacing w:val="-6"/>
          <w:sz w:val="32"/>
          <w:szCs w:val="32"/>
          <w:highlight w:val="none"/>
          <w:lang w:eastAsia="zh-CN"/>
        </w:rPr>
        <w:t>批</w:t>
      </w:r>
      <w:r>
        <w:rPr>
          <w:rFonts w:hint="eastAsia" w:ascii="仿宋_GB2312" w:hAnsi="仿宋_GB2312" w:eastAsia="仿宋_GB2312" w:cs="仿宋_GB2312"/>
          <w:color w:val="auto"/>
          <w:spacing w:val="-6"/>
          <w:sz w:val="32"/>
          <w:szCs w:val="32"/>
          <w:highlight w:val="none"/>
        </w:rPr>
        <w:t>准后才能离职。</w:t>
      </w:r>
    </w:p>
    <w:p w14:paraId="3DFDEC4B">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32" w:name="_Toc19450"/>
      <w:bookmarkStart w:id="33" w:name="_Toc822"/>
      <w:bookmarkStart w:id="34" w:name="_Toc21657"/>
      <w:bookmarkStart w:id="35" w:name="_Toc8562"/>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第七章 处罚管理</w:t>
      </w:r>
      <w:bookmarkEnd w:id="32"/>
      <w:bookmarkEnd w:id="33"/>
      <w:bookmarkEnd w:id="34"/>
      <w:bookmarkEnd w:id="35"/>
    </w:p>
    <w:p w14:paraId="587FC376">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（一）处罚基本形式包括警告、通报批评、降职降薪、解聘。</w:t>
      </w:r>
    </w:p>
    <w:p w14:paraId="3712543D">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（二）具体处罚办法 </w:t>
      </w:r>
    </w:p>
    <w:p w14:paraId="61B0BA09">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1.职工有以下行为者，给予</w:t>
      </w:r>
      <w:r>
        <w:rPr>
          <w:rFonts w:hint="eastAsia" w:ascii="仿宋_GB2312" w:hAnsi="仿宋_GB2312" w:eastAsia="仿宋_GB2312" w:cs="仿宋_GB2312"/>
          <w:color w:val="auto"/>
          <w:sz w:val="32"/>
          <w:szCs w:val="32"/>
          <w:highlight w:val="none"/>
          <w:lang w:eastAsia="zh-CN"/>
        </w:rPr>
        <w:t>警告</w:t>
      </w:r>
      <w:r>
        <w:rPr>
          <w:rFonts w:hint="eastAsia" w:ascii="仿宋_GB2312" w:hAnsi="仿宋_GB2312" w:eastAsia="仿宋_GB2312" w:cs="仿宋_GB2312"/>
          <w:color w:val="auto"/>
          <w:sz w:val="32"/>
          <w:szCs w:val="32"/>
          <w:highlight w:val="none"/>
        </w:rPr>
        <w:t xml:space="preserve">处罚并根据实际情况计入当月绩效考核项。 </w:t>
      </w:r>
    </w:p>
    <w:p w14:paraId="74BE331E">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（1）上班时间从事其他与工作无关的事情1</w:t>
      </w:r>
      <w:r>
        <w:rPr>
          <w:rFonts w:hint="eastAsia" w:ascii="仿宋_GB2312" w:hAnsi="仿宋_GB2312" w:eastAsia="仿宋_GB2312" w:cs="仿宋_GB2312"/>
          <w:color w:val="auto"/>
          <w:sz w:val="32"/>
          <w:szCs w:val="32"/>
          <w:highlight w:val="none"/>
          <w:lang w:val="en-US" w:eastAsia="zh-CN"/>
        </w:rPr>
        <w:t>次以上2次（含）以下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如</w:t>
      </w:r>
      <w:r>
        <w:rPr>
          <w:rFonts w:hint="eastAsia" w:ascii="仿宋_GB2312" w:hAnsi="仿宋_GB2312" w:eastAsia="仿宋_GB2312" w:cs="仿宋_GB2312"/>
          <w:color w:val="auto"/>
          <w:sz w:val="32"/>
          <w:szCs w:val="32"/>
          <w:highlight w:val="none"/>
        </w:rPr>
        <w:t>聊天、滋扰、打盹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玩电脑游戏、看网络电视、网上聊天</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w:t>
      </w:r>
    </w:p>
    <w:p w14:paraId="7F76B739">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）在工作场所喧哗、嬉戏、吵闹妨害他人工作者。</w:t>
      </w:r>
    </w:p>
    <w:p w14:paraId="278D532B">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）未按要求穿着工作服，对</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林场形象有不良影响者。</w:t>
      </w:r>
    </w:p>
    <w:p w14:paraId="751A1E82">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林场形象和信誉造成不良影响者。</w:t>
      </w:r>
    </w:p>
    <w:p w14:paraId="63B2D81C">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pacing w:val="-6"/>
          <w:sz w:val="32"/>
          <w:szCs w:val="32"/>
          <w:highlight w:val="none"/>
        </w:rPr>
        <w:t>当月累计迟到3次（含3次）-5次（不含5次）者。</w:t>
      </w:r>
    </w:p>
    <w:p w14:paraId="34A27248">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）车辆驾驶员因公出车违章违规驾驶或发生交通事故并承担相应责任者。</w:t>
      </w:r>
    </w:p>
    <w:p w14:paraId="1F663C03">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）车辆驾驶员因公驾驶场内车辆外出，发生车辆划伤、剐蹭等问题影响车辆外观形象的。</w:t>
      </w:r>
    </w:p>
    <w:p w14:paraId="716A8A7F">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）职工在林地内及周边或工作区域附近，包括易燃点位吸烟，第一次</w:t>
      </w:r>
      <w:r>
        <w:rPr>
          <w:rFonts w:hint="eastAsia" w:ascii="仿宋_GB2312" w:hAnsi="仿宋_GB2312" w:eastAsia="仿宋_GB2312" w:cs="仿宋_GB2312"/>
          <w:color w:val="auto"/>
          <w:sz w:val="32"/>
          <w:szCs w:val="32"/>
          <w:highlight w:val="none"/>
          <w:lang w:val="en-US" w:eastAsia="zh-CN"/>
        </w:rPr>
        <w:t>被</w:t>
      </w:r>
      <w:r>
        <w:rPr>
          <w:rFonts w:hint="eastAsia" w:ascii="仿宋_GB2312" w:hAnsi="仿宋_GB2312" w:eastAsia="仿宋_GB2312" w:cs="仿宋_GB2312"/>
          <w:color w:val="auto"/>
          <w:sz w:val="32"/>
          <w:szCs w:val="32"/>
          <w:highlight w:val="none"/>
        </w:rPr>
        <w:t>发现并未造成损失的。</w:t>
      </w:r>
    </w:p>
    <w:p w14:paraId="06A3EE6D">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）其他与上述各项相当的行为。</w:t>
      </w:r>
    </w:p>
    <w:p w14:paraId="533C5499">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2.职工有以下行为者，给予通报批评的处罚并根据实际情况计入当月绩效考核项。 </w:t>
      </w:r>
    </w:p>
    <w:p w14:paraId="10F59EF6">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（1）弄虚作假，隐瞒工作事实，影响正常工作者。</w:t>
      </w:r>
    </w:p>
    <w:p w14:paraId="2799C4A4">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（2）给</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林场造成不良影响者。</w:t>
      </w:r>
    </w:p>
    <w:p w14:paraId="1749E778">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（3）因本人过失导致发生工作错误，造成</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林场1000元以下经济损失者。</w:t>
      </w:r>
    </w:p>
    <w:p w14:paraId="683DA985">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（4）不参加</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林场安排的会议、培训、集体活动等累计3次者。</w:t>
      </w:r>
    </w:p>
    <w:p w14:paraId="42C41E66">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（5）工作时间内擅离工作岗位、串岗、睡觉者。</w:t>
      </w:r>
    </w:p>
    <w:p w14:paraId="22439F77">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（6）上班时间从事其他与工作无关的事情</w:t>
      </w:r>
      <w:r>
        <w:rPr>
          <w:rFonts w:hint="eastAsia" w:ascii="仿宋_GB2312" w:hAnsi="仿宋_GB2312" w:eastAsia="仿宋_GB2312" w:cs="仿宋_GB2312"/>
          <w:color w:val="auto"/>
          <w:sz w:val="32"/>
          <w:szCs w:val="32"/>
          <w:highlight w:val="none"/>
          <w:lang w:val="en-US" w:eastAsia="zh-CN"/>
        </w:rPr>
        <w:t>2次以上3次（含）以下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如</w:t>
      </w:r>
      <w:r>
        <w:rPr>
          <w:rFonts w:hint="eastAsia" w:ascii="仿宋_GB2312" w:hAnsi="仿宋_GB2312" w:eastAsia="仿宋_GB2312" w:cs="仿宋_GB2312"/>
          <w:color w:val="auto"/>
          <w:sz w:val="32"/>
          <w:szCs w:val="32"/>
          <w:highlight w:val="none"/>
        </w:rPr>
        <w:t>聊天、滋扰、打盹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玩电脑游戏、看网络电视、网上聊天</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w:t>
      </w:r>
    </w:p>
    <w:p w14:paraId="37C1F1E2">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（7）损坏或遗失</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林场重要文件、</w:t>
      </w:r>
      <w:r>
        <w:rPr>
          <w:rFonts w:hint="eastAsia" w:ascii="仿宋_GB2312" w:hAnsi="仿宋_GB2312" w:eastAsia="仿宋_GB2312" w:cs="仿宋_GB2312"/>
          <w:color w:val="auto"/>
          <w:sz w:val="32"/>
          <w:szCs w:val="32"/>
          <w:highlight w:val="none"/>
          <w:lang w:val="en-US" w:eastAsia="zh-CN"/>
        </w:rPr>
        <w:t>账</w:t>
      </w:r>
      <w:r>
        <w:rPr>
          <w:rFonts w:hint="eastAsia" w:ascii="仿宋_GB2312" w:hAnsi="仿宋_GB2312" w:eastAsia="仿宋_GB2312" w:cs="仿宋_GB2312"/>
          <w:color w:val="auto"/>
          <w:sz w:val="32"/>
          <w:szCs w:val="32"/>
          <w:highlight w:val="none"/>
        </w:rPr>
        <w:t>票、物品及设备，影响正常工作者。</w:t>
      </w:r>
    </w:p>
    <w:p w14:paraId="69326CC3">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（8）职工在林地内及周边或工作区域附近，包括易燃点位吸烟，累计二次者并未造成损失的，且不列入续签劳动合同人员。</w:t>
      </w:r>
    </w:p>
    <w:p w14:paraId="65241DEA">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（9）其他与上述各项相当的行为。</w:t>
      </w:r>
    </w:p>
    <w:p w14:paraId="116F18AE">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3.职工有以下行为者，给予降职降薪处罚（降一级及同级薪资）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林场造成损失的，须承担经济损失赔偿责任。</w:t>
      </w:r>
    </w:p>
    <w:p w14:paraId="0B5A3DF7">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连续三个</w:t>
      </w:r>
      <w:r>
        <w:rPr>
          <w:rFonts w:hint="eastAsia" w:ascii="仿宋_GB2312" w:hAnsi="仿宋_GB2312" w:eastAsia="仿宋_GB2312" w:cs="仿宋_GB2312"/>
          <w:color w:val="auto"/>
          <w:sz w:val="32"/>
          <w:szCs w:val="32"/>
          <w:highlight w:val="none"/>
        </w:rPr>
        <w:t>月度绩效考核不合格。</w:t>
      </w:r>
    </w:p>
    <w:p w14:paraId="0931B61F">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（2）因本人过失导致发生工作错误，造成</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林场1000元以上3000元以下经济损失者。</w:t>
      </w:r>
    </w:p>
    <w:p w14:paraId="5028FDB3">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（3）擅自对外披露、提供</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林场信息、各种报表等，致使</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 xml:space="preserve">林场蒙受损失者。 </w:t>
      </w:r>
    </w:p>
    <w:p w14:paraId="6C4CA006">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（4）泄露</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林场机密，造成</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林场3000元以下经济损失者。</w:t>
      </w:r>
    </w:p>
    <w:p w14:paraId="2167AEAB">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（5）上班时间从事其他与工作无关的事情</w:t>
      </w:r>
      <w:r>
        <w:rPr>
          <w:rFonts w:hint="eastAsia" w:ascii="仿宋_GB2312" w:hAnsi="仿宋_GB2312" w:eastAsia="仿宋_GB2312" w:cs="仿宋_GB2312"/>
          <w:color w:val="auto"/>
          <w:sz w:val="32"/>
          <w:szCs w:val="32"/>
          <w:highlight w:val="none"/>
          <w:lang w:val="en-US" w:eastAsia="zh-CN"/>
        </w:rPr>
        <w:t>3次以上4次（含）以下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如</w:t>
      </w:r>
      <w:r>
        <w:rPr>
          <w:rFonts w:hint="eastAsia" w:ascii="仿宋_GB2312" w:hAnsi="仿宋_GB2312" w:eastAsia="仿宋_GB2312" w:cs="仿宋_GB2312"/>
          <w:color w:val="auto"/>
          <w:sz w:val="32"/>
          <w:szCs w:val="32"/>
          <w:highlight w:val="none"/>
        </w:rPr>
        <w:t>聊天、滋扰、打盹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玩电脑游戏、看网络电视、网上聊天</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w:t>
      </w:r>
    </w:p>
    <w:p w14:paraId="4020BD46">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当月累计旷工超过 2个工作日（含 2 个工作日）或者一年内累计旷工 3个工作日（含 3个工作日）者。</w:t>
      </w:r>
    </w:p>
    <w:p w14:paraId="29541B47">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）玩忽职守，违章操作或违章指挥，造成</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林场经济损失3000元以下者。</w:t>
      </w:r>
    </w:p>
    <w:p w14:paraId="612813F3">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）各部门负责人违反规定饮酒或酒后上岗者。</w:t>
      </w:r>
    </w:p>
    <w:p w14:paraId="5634073A">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）各部门负责人尤其是党员干部，一经查实，视情节给予处罚，造成不良后果的，给</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林场形象带来不良影响的，在给予经济处罚外，给予调岗，降职甚至辞退。</w:t>
      </w:r>
    </w:p>
    <w:p w14:paraId="1F942982">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 xml:space="preserve">）其他与上述各项相当的行为。 </w:t>
      </w:r>
    </w:p>
    <w:p w14:paraId="0812CE4C">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4.职工有以下行为者，属于严重违纪行为，</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林场可以单方解除其</w:t>
      </w:r>
      <w:r>
        <w:rPr>
          <w:rFonts w:hint="eastAsia" w:ascii="仿宋_GB2312" w:hAnsi="仿宋_GB2312" w:eastAsia="仿宋_GB2312" w:cs="仿宋_GB2312"/>
          <w:color w:val="auto"/>
          <w:sz w:val="32"/>
          <w:szCs w:val="32"/>
          <w:highlight w:val="none"/>
          <w:lang w:val="en-US" w:eastAsia="zh-CN"/>
        </w:rPr>
        <w:t>劳动（劳务）</w:t>
      </w:r>
      <w:r>
        <w:rPr>
          <w:rFonts w:hint="eastAsia" w:ascii="仿宋_GB2312" w:hAnsi="仿宋_GB2312" w:eastAsia="仿宋_GB2312" w:cs="仿宋_GB2312"/>
          <w:color w:val="auto"/>
          <w:sz w:val="32"/>
          <w:szCs w:val="32"/>
          <w:highlight w:val="none"/>
        </w:rPr>
        <w:t>合同，造成</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林场损失的，职工还应承担赔偿责任：</w:t>
      </w:r>
    </w:p>
    <w:p w14:paraId="20B58DB0">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（1）合同期内受到降职处罚后，再次发生降职行为之一者。</w:t>
      </w:r>
    </w:p>
    <w:p w14:paraId="1E602452">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（2）拒绝听从</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林场的工作调动，严重干扰工作者。</w:t>
      </w:r>
    </w:p>
    <w:p w14:paraId="0B67985D">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（3）无视</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林场管理办法，严重违反管理办法或劳动纪律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当月累计迟到、早退超 过10次（含10次），连续旷工3天或年度内累计旷工4天及以上者。</w:t>
      </w:r>
    </w:p>
    <w:p w14:paraId="7094D983">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上班时间从事其他与工作无关的事情</w:t>
      </w:r>
      <w:r>
        <w:rPr>
          <w:rFonts w:hint="eastAsia" w:ascii="仿宋_GB2312" w:hAnsi="仿宋_GB2312" w:eastAsia="仿宋_GB2312" w:cs="仿宋_GB2312"/>
          <w:color w:val="auto"/>
          <w:sz w:val="32"/>
          <w:szCs w:val="32"/>
          <w:highlight w:val="none"/>
          <w:lang w:val="en-US" w:eastAsia="zh-CN"/>
        </w:rPr>
        <w:t>4次以上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如</w:t>
      </w:r>
      <w:r>
        <w:rPr>
          <w:rFonts w:hint="eastAsia" w:ascii="仿宋_GB2312" w:hAnsi="仿宋_GB2312" w:eastAsia="仿宋_GB2312" w:cs="仿宋_GB2312"/>
          <w:color w:val="auto"/>
          <w:spacing w:val="-6"/>
          <w:sz w:val="32"/>
          <w:szCs w:val="32"/>
          <w:highlight w:val="none"/>
        </w:rPr>
        <w:t>聊天、滋扰、打盹</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rPr>
        <w:t>玩电脑游戏、看网络电视、网上聊天</w:t>
      </w:r>
      <w:r>
        <w:rPr>
          <w:rFonts w:hint="eastAsia" w:ascii="仿宋_GB2312" w:hAnsi="仿宋_GB2312" w:eastAsia="仿宋_GB2312" w:cs="仿宋_GB2312"/>
          <w:color w:val="auto"/>
          <w:spacing w:val="-6"/>
          <w:sz w:val="32"/>
          <w:szCs w:val="32"/>
          <w:highlight w:val="none"/>
          <w:lang w:val="en-US" w:eastAsia="zh-CN"/>
        </w:rPr>
        <w:t>等</w:t>
      </w:r>
      <w:r>
        <w:rPr>
          <w:rFonts w:hint="eastAsia" w:ascii="仿宋_GB2312" w:hAnsi="仿宋_GB2312" w:eastAsia="仿宋_GB2312" w:cs="仿宋_GB2312"/>
          <w:color w:val="auto"/>
          <w:spacing w:val="-6"/>
          <w:sz w:val="32"/>
          <w:szCs w:val="32"/>
          <w:highlight w:val="none"/>
        </w:rPr>
        <w:t>。</w:t>
      </w:r>
    </w:p>
    <w:p w14:paraId="6527052E">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（5）职工未到岗、无实际工作内容，仍然领取工资；‌离休、退休、退职人员及失踪、死亡人员的家属、遗属冒领工资，以上行为及</w:t>
      </w:r>
      <w:r>
        <w:rPr>
          <w:rFonts w:hint="eastAsia" w:ascii="仿宋_GB2312" w:hAnsi="仿宋_GB2312" w:eastAsia="仿宋_GB2312" w:cs="仿宋_GB2312"/>
          <w:color w:val="auto"/>
          <w:sz w:val="32"/>
          <w:szCs w:val="32"/>
          <w:highlight w:val="none"/>
        </w:rPr>
        <w:t>违反财务办法，造成直接经济损失者。</w:t>
      </w:r>
    </w:p>
    <w:p w14:paraId="184A0199">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）各部室负责人发现违反规定饮酒或酒后上岗者，且每100毫升血液酒精含量大于或等于20毫克饮酒者。</w:t>
      </w:r>
    </w:p>
    <w:p w14:paraId="7FEDCFC3">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）由饮酒引起的一切后果，均由本人自行负责。饮酒后上岗、不听同事劝阻，对他人的人身、财产或者</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林场财产及安全造成损失的，均由当事者承担，并一律予以开除处理。</w:t>
      </w:r>
    </w:p>
    <w:p w14:paraId="7081DCF3">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）职工在林地内及周边或工作区域附近，包括易燃点位禁止吸烟。凡擅自在规定范围内吸烟，累计三次者。</w:t>
      </w:r>
    </w:p>
    <w:p w14:paraId="66D357ED">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）因本人过失导致发生工作错误，或造成</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 xml:space="preserve">林场3000元以上经济损失者。 </w:t>
      </w:r>
    </w:p>
    <w:p w14:paraId="4E86C237">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）泄露</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林场机密，造成</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林场3000元以上经济损失者。</w:t>
      </w:r>
    </w:p>
    <w:p w14:paraId="0D13EBC4">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）玩忽职守，违章操作或违章指挥，造成</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林场3000元以上经济损失者。</w:t>
      </w:r>
    </w:p>
    <w:p w14:paraId="144F10C9">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）在工作场所与来访者或同事发生肢体冲突或有重大侮辱行为者。</w:t>
      </w:r>
    </w:p>
    <w:p w14:paraId="12F9EF63">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）利用职权对职工打击报复或包庇职工违法乱纪行为者。</w:t>
      </w:r>
    </w:p>
    <w:p w14:paraId="2FFDF7FE">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）触犯法律法规，致使无法到岗工作者。</w:t>
      </w:r>
    </w:p>
    <w:p w14:paraId="683BEB84">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 xml:space="preserve">）其他与上述各项相当的行为。  </w:t>
      </w:r>
    </w:p>
    <w:p w14:paraId="57990661">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）因吸烟造成</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林场经济损失，由肇事者个人承担，造成重大损失的直接走司法程序处理。</w:t>
      </w:r>
    </w:p>
    <w:p w14:paraId="11C6BBD6">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p>
    <w:p w14:paraId="32960CD0">
      <w:pPr>
        <w:keepNext/>
        <w:keepLines/>
        <w:pageBreakBefore w:val="0"/>
        <w:widowControl w:val="0"/>
        <w:tabs>
          <w:tab w:val="left" w:pos="312"/>
        </w:tabs>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1"/>
        <w:rPr>
          <w:rFonts w:hint="eastAsia" w:ascii="楷体_GB2312" w:hAnsi="楷体_GB2312" w:eastAsia="楷体_GB2312" w:cs="楷体_GB2312"/>
          <w:b/>
          <w:color w:val="auto"/>
          <w:kern w:val="2"/>
          <w:sz w:val="32"/>
          <w:szCs w:val="32"/>
          <w:highlight w:val="none"/>
          <w:lang w:val="en-US" w:eastAsia="zh-CN" w:bidi="ar-SA"/>
        </w:rPr>
      </w:pPr>
      <w:bookmarkStart w:id="36" w:name="_Toc27842"/>
      <w:bookmarkStart w:id="37" w:name="_Toc15689"/>
      <w:r>
        <w:rPr>
          <w:rFonts w:hint="eastAsia" w:ascii="楷体_GB2312" w:hAnsi="楷体_GB2312" w:eastAsia="楷体_GB2312" w:cs="楷体_GB2312"/>
          <w:b/>
          <w:color w:val="auto"/>
          <w:kern w:val="2"/>
          <w:sz w:val="32"/>
          <w:szCs w:val="32"/>
          <w:highlight w:val="none"/>
          <w:lang w:val="en-US" w:eastAsia="zh-CN" w:bidi="ar-SA"/>
        </w:rPr>
        <w:t>（二）薪酬管理制度</w:t>
      </w:r>
      <w:bookmarkEnd w:id="36"/>
      <w:bookmarkEnd w:id="37"/>
      <w:r>
        <w:rPr>
          <w:rFonts w:hint="eastAsia" w:ascii="楷体_GB2312" w:hAnsi="楷体_GB2312" w:eastAsia="楷体_GB2312" w:cs="楷体_GB2312"/>
          <w:b/>
          <w:color w:val="auto"/>
          <w:kern w:val="2"/>
          <w:sz w:val="32"/>
          <w:szCs w:val="32"/>
          <w:highlight w:val="none"/>
          <w:lang w:val="en-US" w:eastAsia="zh-CN" w:bidi="ar-SA"/>
        </w:rPr>
        <w:t>模板</w:t>
      </w:r>
    </w:p>
    <w:p w14:paraId="21750E66">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38" w:name="_Toc2967"/>
      <w:bookmarkStart w:id="39" w:name="_Toc24231"/>
      <w:bookmarkStart w:id="40" w:name="_Toc7365"/>
      <w:bookmarkStart w:id="41" w:name="_Toc27655"/>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第一章 目  的</w:t>
      </w:r>
      <w:bookmarkEnd w:id="38"/>
      <w:bookmarkEnd w:id="39"/>
      <w:bookmarkEnd w:id="40"/>
      <w:bookmarkEnd w:id="41"/>
    </w:p>
    <w:p w14:paraId="364B0132">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为适应</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rPr>
        <w:t>新型集体林场发展要求，充分发挥薪酬的激励作用，进一步拓展职工晋升的职业发展通道，建立一套相对科学、合理的薪酬体系，根据相关法律法规及市、区相关政策文件，特制订本制度。</w:t>
      </w:r>
    </w:p>
    <w:p w14:paraId="6DF4B584">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42" w:name="_Toc13781"/>
      <w:bookmarkStart w:id="43" w:name="_Toc26444"/>
      <w:bookmarkStart w:id="44" w:name="_Toc9803"/>
      <w:bookmarkStart w:id="45" w:name="_Toc14485"/>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第二章 范  围</w:t>
      </w:r>
      <w:bookmarkEnd w:id="42"/>
      <w:bookmarkEnd w:id="43"/>
      <w:bookmarkEnd w:id="44"/>
      <w:bookmarkEnd w:id="45"/>
    </w:p>
    <w:p w14:paraId="1FCD4ED4">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本制度适用于</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rPr>
        <w:t>新型集体林场所有职工。</w:t>
      </w:r>
    </w:p>
    <w:p w14:paraId="6D648CBA">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46" w:name="_Toc10570"/>
      <w:bookmarkStart w:id="47" w:name="_Toc26934"/>
      <w:bookmarkStart w:id="48" w:name="_Toc23623"/>
      <w:bookmarkStart w:id="49" w:name="_Toc22281"/>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第三章 原  则</w:t>
      </w:r>
      <w:bookmarkEnd w:id="46"/>
      <w:bookmarkEnd w:id="47"/>
      <w:bookmarkEnd w:id="48"/>
      <w:bookmarkEnd w:id="49"/>
    </w:p>
    <w:p w14:paraId="0309C415">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本制度为确定职工薪酬的直接依据。职工最低工资的保障和绩效考核的结果相结合，以体现公平、公正原则。</w:t>
      </w:r>
    </w:p>
    <w:p w14:paraId="2343C58E">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50" w:name="_Toc32433"/>
      <w:bookmarkStart w:id="51" w:name="_Toc10682"/>
      <w:bookmarkStart w:id="52" w:name="_Toc12848"/>
      <w:bookmarkStart w:id="53" w:name="_Toc21549"/>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第四章 薪酬计算方法</w:t>
      </w:r>
      <w:bookmarkEnd w:id="50"/>
      <w:bookmarkEnd w:id="51"/>
      <w:bookmarkEnd w:id="52"/>
      <w:bookmarkEnd w:id="53"/>
    </w:p>
    <w:p w14:paraId="0B468A42">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新型集体林场根据职工的实际工作天数按月支付职工薪酬，薪酬计算周期为每月1日至当月最后一日，职工薪酬统一由预算控制核算发放到职工的工资卡中。个人所得税和个人缴纳部分的社会保险金均从其每月薪酬中扣除。</w:t>
      </w:r>
    </w:p>
    <w:p w14:paraId="097E102D">
      <w:pPr>
        <w:keepNext/>
        <w:keepLines/>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工伤病假的固定薪酬发放，按《工伤保险条例》等有关法律规定执行。</w:t>
      </w:r>
    </w:p>
    <w:p w14:paraId="0421FF25">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54" w:name="_Toc20508"/>
      <w:bookmarkStart w:id="55" w:name="_Toc14555"/>
      <w:bookmarkStart w:id="56" w:name="_Toc18724"/>
      <w:bookmarkStart w:id="57" w:name="_Toc28949"/>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第五章 薪酬结构</w:t>
      </w:r>
      <w:bookmarkEnd w:id="54"/>
      <w:bookmarkEnd w:id="55"/>
      <w:bookmarkEnd w:id="56"/>
      <w:bookmarkEnd w:id="57"/>
    </w:p>
    <w:p w14:paraId="0B8C1FCF">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工资＝基础工资+绩效工资</w:t>
      </w:r>
    </w:p>
    <w:p w14:paraId="530EBE8E">
      <w:pPr>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outlineLvl w:val="3"/>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1.基础工资 </w:t>
      </w:r>
    </w:p>
    <w:p w14:paraId="625B944F">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基础工资标准是根据各岗位的分工和劳动条件等因素确定，体现于劳动合同内。场长、副场长的基础工资不高于职工平均工资的2倍。</w:t>
      </w:r>
    </w:p>
    <w:p w14:paraId="3380FC0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right="0" w:rightChars="0" w:firstLine="640" w:firstLineChars="200"/>
        <w:textAlignment w:val="auto"/>
        <w:outlineLvl w:val="3"/>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rPr>
        <w:t>绩效工资</w:t>
      </w:r>
    </w:p>
    <w:p w14:paraId="432B74B4">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68"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pacing w:val="7"/>
          <w:kern w:val="2"/>
          <w:sz w:val="32"/>
          <w:szCs w:val="32"/>
          <w:highlight w:val="none"/>
          <w:lang w:val="en-US" w:eastAsia="zh-CN" w:bidi="ar-SA"/>
        </w:rPr>
        <w:t>绩效工资由属地政府结合实际情况，参照市、区园林绿化部门检查结果而定，严禁滥发津贴补贴。</w:t>
      </w:r>
    </w:p>
    <w:p w14:paraId="73C9DBF5">
      <w:pPr>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outlineLvl w:val="3"/>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3.其他费用</w:t>
      </w:r>
    </w:p>
    <w:p w14:paraId="6DEAE7B6">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（1）按照国家相关法律法规及新型集体林场相关制度给予。</w:t>
      </w:r>
    </w:p>
    <w:p w14:paraId="2EDCAC90">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）加班费</w:t>
      </w:r>
    </w:p>
    <w:p w14:paraId="12D00C05">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根据《</w:t>
      </w:r>
      <w:r>
        <w:rPr>
          <w:rFonts w:hint="eastAsia" w:ascii="仿宋_GB2312" w:hAnsi="仿宋_GB2312" w:eastAsia="仿宋_GB2312" w:cs="仿宋_GB2312"/>
          <w:b w:val="0"/>
          <w:bCs w:val="0"/>
          <w:color w:val="auto"/>
          <w:sz w:val="32"/>
          <w:szCs w:val="32"/>
          <w:highlight w:val="none"/>
          <w:lang w:eastAsia="zh-CN"/>
        </w:rPr>
        <w:t>中华人民共</w:t>
      </w:r>
      <w:r>
        <w:rPr>
          <w:rFonts w:hint="eastAsia" w:ascii="仿宋_GB2312" w:hAnsi="仿宋_GB2312" w:eastAsia="仿宋_GB2312" w:cs="仿宋_GB2312"/>
          <w:color w:val="auto"/>
          <w:sz w:val="32"/>
          <w:szCs w:val="32"/>
          <w:highlight w:val="none"/>
          <w:lang w:eastAsia="zh-CN"/>
        </w:rPr>
        <w:t>和国劳动法</w:t>
      </w:r>
      <w:r>
        <w:rPr>
          <w:rFonts w:hint="eastAsia" w:ascii="仿宋_GB2312" w:hAnsi="仿宋_GB2312" w:eastAsia="仿宋_GB2312" w:cs="仿宋_GB2312"/>
          <w:color w:val="auto"/>
          <w:sz w:val="32"/>
          <w:szCs w:val="32"/>
          <w:highlight w:val="none"/>
        </w:rPr>
        <w:t>》及市、区相关制度执行。</w:t>
      </w:r>
      <w:r>
        <w:rPr>
          <w:rFonts w:hint="eastAsia" w:ascii="仿宋_GB2312" w:hAnsi="仿宋_GB2312" w:eastAsia="仿宋_GB2312" w:cs="仿宋_GB2312"/>
          <w:color w:val="auto"/>
          <w:sz w:val="32"/>
          <w:szCs w:val="32"/>
          <w:highlight w:val="none"/>
          <w:lang w:val="en-US" w:eastAsia="zh-CN"/>
        </w:rPr>
        <w:t>非必要不加班。如因工作需要加班，由加班人提出申请，填报加班审批表，加班审批表至少需包括：加班人员、所属部门、加班事由、加班时长等，报主管副场长、场长审批，人力资源部门备案。</w:t>
      </w:r>
    </w:p>
    <w:p w14:paraId="0C79EBB9">
      <w:pPr>
        <w:rPr>
          <w:rFonts w:hint="eastAsia" w:ascii="仿宋_GB2312" w:hAnsi="仿宋_GB2312" w:eastAsia="仿宋_GB2312" w:cs="仿宋_GB2312"/>
          <w:b/>
          <w:bCs/>
          <w:color w:val="auto"/>
          <w:spacing w:val="7"/>
          <w:kern w:val="0"/>
          <w:sz w:val="28"/>
          <w:szCs w:val="28"/>
          <w:highlight w:val="none"/>
          <w:lang w:val="en-US" w:eastAsia="zh-CN" w:bidi="ar-SA"/>
        </w:rPr>
      </w:pPr>
    </w:p>
    <w:p w14:paraId="73809861">
      <w:pPr>
        <w:pageBreakBefore w:val="0"/>
        <w:wordWrap/>
        <w:overflowPunct/>
        <w:topLinePunct w:val="0"/>
        <w:bidi w:val="0"/>
        <w:jc w:val="center"/>
        <w:rPr>
          <w:rFonts w:hint="eastAsia" w:ascii="仿宋_GB2312" w:hAnsi="仿宋_GB2312" w:eastAsia="仿宋_GB2312" w:cs="仿宋_GB2312"/>
          <w:b/>
          <w:bCs/>
          <w:color w:val="auto"/>
          <w:spacing w:val="7"/>
          <w:kern w:val="0"/>
          <w:sz w:val="28"/>
          <w:szCs w:val="28"/>
          <w:highlight w:val="none"/>
          <w:lang w:val="en-US" w:eastAsia="zh-CN" w:bidi="ar-SA"/>
        </w:rPr>
      </w:pPr>
      <w:r>
        <w:rPr>
          <w:rFonts w:hint="eastAsia" w:ascii="仿宋_GB2312" w:hAnsi="仿宋_GB2312" w:eastAsia="仿宋_GB2312" w:cs="仿宋_GB2312"/>
          <w:b/>
          <w:bCs/>
          <w:color w:val="auto"/>
          <w:spacing w:val="7"/>
          <w:kern w:val="0"/>
          <w:sz w:val="28"/>
          <w:szCs w:val="28"/>
          <w:highlight w:val="none"/>
          <w:lang w:val="en-US" w:eastAsia="zh-CN" w:bidi="ar-SA"/>
        </w:rPr>
        <w:t>加 班 审 批 表</w:t>
      </w:r>
    </w:p>
    <w:tbl>
      <w:tblPr>
        <w:tblStyle w:val="27"/>
        <w:tblW w:w="83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0"/>
        <w:gridCol w:w="962"/>
        <w:gridCol w:w="617"/>
        <w:gridCol w:w="1204"/>
        <w:gridCol w:w="617"/>
        <w:gridCol w:w="1259"/>
        <w:gridCol w:w="1121"/>
        <w:gridCol w:w="1591"/>
      </w:tblGrid>
      <w:tr w14:paraId="6B4DD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940" w:type="dxa"/>
            <w:noWrap w:val="0"/>
            <w:vAlign w:val="center"/>
          </w:tcPr>
          <w:p w14:paraId="00D560D6">
            <w:pPr>
              <w:keepNext w:val="0"/>
              <w:keepLines w:val="0"/>
              <w:pageBreakBefore w:val="0"/>
              <w:widowControl w:val="0"/>
              <w:kinsoku/>
              <w:wordWrap/>
              <w:overflowPunct/>
              <w:topLinePunct w:val="0"/>
              <w:autoSpaceDE/>
              <w:autoSpaceDN/>
              <w:bidi w:val="0"/>
              <w:adjustRightInd/>
              <w:snapToGrid/>
              <w:spacing w:line="219" w:lineRule="auto"/>
              <w:ind w:left="77"/>
              <w:jc w:val="center"/>
              <w:textAlignment w:val="auto"/>
              <w:rPr>
                <w:rFonts w:hint="eastAsia" w:ascii="仿宋_GB2312" w:hAnsi="仿宋_GB2312" w:eastAsia="仿宋_GB2312" w:cs="仿宋_GB2312"/>
                <w:b w:val="0"/>
                <w:bCs w:val="0"/>
                <w:color w:val="auto"/>
                <w:kern w:val="2"/>
                <w:sz w:val="24"/>
                <w:szCs w:val="24"/>
                <w:highlight w:val="none"/>
                <w:lang w:val="en-US" w:eastAsia="en-US" w:bidi="ar-SA"/>
              </w:rPr>
            </w:pPr>
            <w:r>
              <w:rPr>
                <w:rFonts w:hint="eastAsia" w:ascii="仿宋_GB2312" w:hAnsi="仿宋_GB2312" w:eastAsia="仿宋_GB2312" w:cs="仿宋_GB2312"/>
                <w:b w:val="0"/>
                <w:bCs w:val="0"/>
                <w:color w:val="auto"/>
                <w:spacing w:val="7"/>
                <w:kern w:val="2"/>
                <w:sz w:val="24"/>
                <w:szCs w:val="24"/>
                <w:highlight w:val="none"/>
                <w:lang w:val="en-US" w:eastAsia="en-US" w:bidi="ar-SA"/>
              </w:rPr>
              <w:t>姓名</w:t>
            </w:r>
          </w:p>
        </w:tc>
        <w:tc>
          <w:tcPr>
            <w:tcW w:w="962" w:type="dxa"/>
            <w:noWrap w:val="0"/>
            <w:vAlign w:val="center"/>
          </w:tcPr>
          <w:p w14:paraId="6003B6CA">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color w:val="auto"/>
                <w:sz w:val="24"/>
                <w:szCs w:val="24"/>
                <w:highlight w:val="none"/>
              </w:rPr>
            </w:pPr>
          </w:p>
        </w:tc>
        <w:tc>
          <w:tcPr>
            <w:tcW w:w="617" w:type="dxa"/>
            <w:noWrap w:val="0"/>
            <w:vAlign w:val="center"/>
          </w:tcPr>
          <w:p w14:paraId="318FE2BC">
            <w:pPr>
              <w:keepNext w:val="0"/>
              <w:keepLines w:val="0"/>
              <w:pageBreakBefore w:val="0"/>
              <w:widowControl w:val="0"/>
              <w:kinsoku/>
              <w:wordWrap/>
              <w:overflowPunct/>
              <w:topLinePunct w:val="0"/>
              <w:autoSpaceDE/>
              <w:autoSpaceDN/>
              <w:bidi w:val="0"/>
              <w:adjustRightInd/>
              <w:snapToGrid/>
              <w:spacing w:line="219" w:lineRule="auto"/>
              <w:ind w:left="82"/>
              <w:jc w:val="center"/>
              <w:textAlignment w:val="auto"/>
              <w:rPr>
                <w:rFonts w:hint="eastAsia" w:ascii="仿宋_GB2312" w:hAnsi="仿宋_GB2312" w:eastAsia="仿宋_GB2312" w:cs="仿宋_GB2312"/>
                <w:b w:val="0"/>
                <w:bCs w:val="0"/>
                <w:color w:val="auto"/>
                <w:kern w:val="2"/>
                <w:sz w:val="24"/>
                <w:szCs w:val="24"/>
                <w:highlight w:val="none"/>
                <w:lang w:val="en-US" w:eastAsia="en-US" w:bidi="ar-SA"/>
              </w:rPr>
            </w:pPr>
            <w:r>
              <w:rPr>
                <w:rFonts w:hint="eastAsia" w:ascii="仿宋_GB2312" w:hAnsi="仿宋_GB2312" w:eastAsia="仿宋_GB2312" w:cs="仿宋_GB2312"/>
                <w:b w:val="0"/>
                <w:bCs w:val="0"/>
                <w:color w:val="auto"/>
                <w:spacing w:val="10"/>
                <w:kern w:val="2"/>
                <w:sz w:val="24"/>
                <w:szCs w:val="24"/>
                <w:highlight w:val="none"/>
                <w:lang w:val="en-US" w:eastAsia="en-US" w:bidi="ar-SA"/>
              </w:rPr>
              <w:t>部门</w:t>
            </w:r>
          </w:p>
        </w:tc>
        <w:tc>
          <w:tcPr>
            <w:tcW w:w="1204" w:type="dxa"/>
            <w:noWrap w:val="0"/>
            <w:vAlign w:val="center"/>
          </w:tcPr>
          <w:p w14:paraId="10B84D56">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color w:val="auto"/>
                <w:sz w:val="24"/>
                <w:szCs w:val="24"/>
                <w:highlight w:val="none"/>
              </w:rPr>
            </w:pPr>
          </w:p>
        </w:tc>
        <w:tc>
          <w:tcPr>
            <w:tcW w:w="617" w:type="dxa"/>
            <w:noWrap w:val="0"/>
            <w:vAlign w:val="center"/>
          </w:tcPr>
          <w:p w14:paraId="463F2B2A">
            <w:pPr>
              <w:keepNext w:val="0"/>
              <w:keepLines w:val="0"/>
              <w:pageBreakBefore w:val="0"/>
              <w:widowControl w:val="0"/>
              <w:kinsoku/>
              <w:wordWrap/>
              <w:overflowPunct/>
              <w:topLinePunct w:val="0"/>
              <w:autoSpaceDE/>
              <w:autoSpaceDN/>
              <w:bidi w:val="0"/>
              <w:adjustRightInd/>
              <w:snapToGrid/>
              <w:spacing w:line="219" w:lineRule="auto"/>
              <w:ind w:left="54"/>
              <w:jc w:val="center"/>
              <w:textAlignment w:val="auto"/>
              <w:rPr>
                <w:rFonts w:hint="eastAsia" w:ascii="仿宋_GB2312" w:hAnsi="仿宋_GB2312" w:eastAsia="仿宋_GB2312" w:cs="仿宋_GB2312"/>
                <w:b w:val="0"/>
                <w:bCs w:val="0"/>
                <w:color w:val="auto"/>
                <w:kern w:val="2"/>
                <w:sz w:val="24"/>
                <w:szCs w:val="24"/>
                <w:highlight w:val="none"/>
                <w:lang w:val="en-US" w:eastAsia="en-US" w:bidi="ar-SA"/>
              </w:rPr>
            </w:pPr>
            <w:r>
              <w:rPr>
                <w:rFonts w:hint="eastAsia" w:ascii="仿宋_GB2312" w:hAnsi="仿宋_GB2312" w:eastAsia="仿宋_GB2312" w:cs="仿宋_GB2312"/>
                <w:b w:val="0"/>
                <w:bCs w:val="0"/>
                <w:color w:val="auto"/>
                <w:spacing w:val="-2"/>
                <w:kern w:val="2"/>
                <w:sz w:val="24"/>
                <w:szCs w:val="24"/>
                <w:highlight w:val="none"/>
                <w:lang w:val="en-US" w:eastAsia="en-US" w:bidi="ar-SA"/>
              </w:rPr>
              <w:t>职务</w:t>
            </w:r>
          </w:p>
        </w:tc>
        <w:tc>
          <w:tcPr>
            <w:tcW w:w="1259" w:type="dxa"/>
            <w:noWrap w:val="0"/>
            <w:vAlign w:val="center"/>
          </w:tcPr>
          <w:p w14:paraId="7F09FA76">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color w:val="auto"/>
                <w:sz w:val="24"/>
                <w:szCs w:val="24"/>
                <w:highlight w:val="none"/>
              </w:rPr>
            </w:pPr>
          </w:p>
        </w:tc>
        <w:tc>
          <w:tcPr>
            <w:tcW w:w="1121" w:type="dxa"/>
            <w:noWrap w:val="0"/>
            <w:vAlign w:val="center"/>
          </w:tcPr>
          <w:p w14:paraId="76DF69C0">
            <w:pPr>
              <w:keepNext w:val="0"/>
              <w:keepLines w:val="0"/>
              <w:pageBreakBefore w:val="0"/>
              <w:widowControl w:val="0"/>
              <w:kinsoku/>
              <w:wordWrap/>
              <w:overflowPunct/>
              <w:topLinePunct w:val="0"/>
              <w:autoSpaceDE/>
              <w:autoSpaceDN/>
              <w:bidi w:val="0"/>
              <w:adjustRightInd/>
              <w:snapToGrid/>
              <w:spacing w:line="220" w:lineRule="auto"/>
              <w:ind w:left="97"/>
              <w:jc w:val="center"/>
              <w:textAlignment w:val="auto"/>
              <w:rPr>
                <w:rFonts w:hint="eastAsia" w:ascii="仿宋_GB2312" w:hAnsi="仿宋_GB2312" w:eastAsia="仿宋_GB2312" w:cs="仿宋_GB2312"/>
                <w:b w:val="0"/>
                <w:bCs w:val="0"/>
                <w:color w:val="auto"/>
                <w:kern w:val="2"/>
                <w:sz w:val="24"/>
                <w:szCs w:val="24"/>
                <w:highlight w:val="none"/>
                <w:lang w:val="en-US" w:eastAsia="en-US" w:bidi="ar-SA"/>
              </w:rPr>
            </w:pPr>
            <w:r>
              <w:rPr>
                <w:rFonts w:hint="eastAsia" w:ascii="仿宋_GB2312" w:hAnsi="仿宋_GB2312" w:eastAsia="仿宋_GB2312" w:cs="仿宋_GB2312"/>
                <w:b w:val="0"/>
                <w:bCs w:val="0"/>
                <w:color w:val="auto"/>
                <w:spacing w:val="10"/>
                <w:kern w:val="2"/>
                <w:sz w:val="24"/>
                <w:szCs w:val="24"/>
                <w:highlight w:val="none"/>
                <w:lang w:val="en-US" w:eastAsia="zh-CN" w:bidi="ar-SA"/>
              </w:rPr>
              <w:t>申请</w:t>
            </w:r>
            <w:r>
              <w:rPr>
                <w:rFonts w:hint="eastAsia" w:ascii="仿宋_GB2312" w:hAnsi="仿宋_GB2312" w:eastAsia="仿宋_GB2312" w:cs="仿宋_GB2312"/>
                <w:b w:val="0"/>
                <w:bCs w:val="0"/>
                <w:color w:val="auto"/>
                <w:spacing w:val="10"/>
                <w:kern w:val="2"/>
                <w:sz w:val="24"/>
                <w:szCs w:val="24"/>
                <w:highlight w:val="none"/>
                <w:lang w:val="en-US" w:eastAsia="en-US" w:bidi="ar-SA"/>
              </w:rPr>
              <w:t>日期</w:t>
            </w:r>
          </w:p>
        </w:tc>
        <w:tc>
          <w:tcPr>
            <w:tcW w:w="1591" w:type="dxa"/>
            <w:noWrap w:val="0"/>
            <w:vAlign w:val="center"/>
          </w:tcPr>
          <w:p w14:paraId="28BBDAD9">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color w:val="auto"/>
                <w:sz w:val="24"/>
                <w:szCs w:val="24"/>
                <w:highlight w:val="none"/>
              </w:rPr>
            </w:pPr>
          </w:p>
        </w:tc>
      </w:tr>
      <w:tr w14:paraId="2160A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9" w:hRule="atLeast"/>
          <w:jc w:val="center"/>
        </w:trPr>
        <w:tc>
          <w:tcPr>
            <w:tcW w:w="940" w:type="dxa"/>
            <w:noWrap w:val="0"/>
            <w:textDirection w:val="tbRlV"/>
            <w:vAlign w:val="center"/>
          </w:tcPr>
          <w:p w14:paraId="7DB7AE11">
            <w:pPr>
              <w:keepNext w:val="0"/>
              <w:keepLines w:val="0"/>
              <w:pageBreakBefore w:val="0"/>
              <w:widowControl w:val="0"/>
              <w:kinsoku/>
              <w:wordWrap/>
              <w:overflowPunct/>
              <w:topLinePunct w:val="0"/>
              <w:autoSpaceDE/>
              <w:autoSpaceDN/>
              <w:bidi w:val="0"/>
              <w:adjustRightInd/>
              <w:snapToGrid/>
              <w:spacing w:line="201" w:lineRule="auto"/>
              <w:ind w:left="162"/>
              <w:jc w:val="center"/>
              <w:textAlignment w:val="auto"/>
              <w:rPr>
                <w:rFonts w:hint="eastAsia" w:ascii="仿宋_GB2312" w:hAnsi="仿宋_GB2312" w:eastAsia="仿宋_GB2312" w:cs="仿宋_GB2312"/>
                <w:b w:val="0"/>
                <w:bCs w:val="0"/>
                <w:color w:val="auto"/>
                <w:kern w:val="2"/>
                <w:sz w:val="24"/>
                <w:szCs w:val="24"/>
                <w:highlight w:val="none"/>
                <w:lang w:val="en-US" w:eastAsia="en-US" w:bidi="ar-SA"/>
              </w:rPr>
            </w:pPr>
            <w:r>
              <w:rPr>
                <w:rFonts w:hint="eastAsia" w:ascii="仿宋_GB2312" w:hAnsi="仿宋_GB2312" w:eastAsia="仿宋_GB2312" w:cs="仿宋_GB2312"/>
                <w:b w:val="0"/>
                <w:bCs w:val="0"/>
                <w:color w:val="auto"/>
                <w:kern w:val="2"/>
                <w:sz w:val="24"/>
                <w:szCs w:val="24"/>
                <w:highlight w:val="none"/>
                <w:lang w:val="en-US" w:eastAsia="en-US" w:bidi="ar-SA"/>
              </w:rPr>
              <w:t>加</w:t>
            </w:r>
            <w:r>
              <w:rPr>
                <w:rFonts w:hint="eastAsia" w:ascii="仿宋_GB2312" w:hAnsi="仿宋_GB2312" w:eastAsia="仿宋_GB2312" w:cs="仿宋_GB2312"/>
                <w:b w:val="0"/>
                <w:bCs w:val="0"/>
                <w:color w:val="auto"/>
                <w:kern w:val="2"/>
                <w:sz w:val="24"/>
                <w:szCs w:val="24"/>
                <w:highlight w:val="none"/>
                <w:lang w:val="en-US" w:eastAsia="zh-CN" w:bidi="ar-SA"/>
              </w:rPr>
              <w:t xml:space="preserve"> </w:t>
            </w:r>
            <w:r>
              <w:rPr>
                <w:rFonts w:hint="eastAsia" w:ascii="仿宋_GB2312" w:hAnsi="仿宋_GB2312" w:eastAsia="仿宋_GB2312" w:cs="仿宋_GB2312"/>
                <w:b w:val="0"/>
                <w:bCs w:val="0"/>
                <w:color w:val="auto"/>
                <w:kern w:val="2"/>
                <w:sz w:val="24"/>
                <w:szCs w:val="24"/>
                <w:highlight w:val="none"/>
                <w:lang w:val="en-US" w:eastAsia="en-US" w:bidi="ar-SA"/>
              </w:rPr>
              <w:t>班</w:t>
            </w:r>
            <w:r>
              <w:rPr>
                <w:rFonts w:hint="eastAsia" w:ascii="仿宋_GB2312" w:hAnsi="仿宋_GB2312" w:eastAsia="仿宋_GB2312" w:cs="仿宋_GB2312"/>
                <w:b w:val="0"/>
                <w:bCs w:val="0"/>
                <w:color w:val="auto"/>
                <w:kern w:val="2"/>
                <w:sz w:val="24"/>
                <w:szCs w:val="24"/>
                <w:highlight w:val="none"/>
                <w:lang w:val="en-US" w:eastAsia="zh-CN" w:bidi="ar-SA"/>
              </w:rPr>
              <w:t xml:space="preserve"> </w:t>
            </w:r>
            <w:r>
              <w:rPr>
                <w:rFonts w:hint="eastAsia" w:ascii="仿宋_GB2312" w:hAnsi="仿宋_GB2312" w:eastAsia="仿宋_GB2312" w:cs="仿宋_GB2312"/>
                <w:b w:val="0"/>
                <w:bCs w:val="0"/>
                <w:color w:val="auto"/>
                <w:kern w:val="2"/>
                <w:sz w:val="24"/>
                <w:szCs w:val="24"/>
                <w:highlight w:val="none"/>
                <w:lang w:val="en-US" w:eastAsia="en-US" w:bidi="ar-SA"/>
              </w:rPr>
              <w:t>事</w:t>
            </w:r>
            <w:r>
              <w:rPr>
                <w:rFonts w:hint="eastAsia" w:ascii="仿宋_GB2312" w:hAnsi="仿宋_GB2312" w:eastAsia="仿宋_GB2312" w:cs="仿宋_GB2312"/>
                <w:b w:val="0"/>
                <w:bCs w:val="0"/>
                <w:color w:val="auto"/>
                <w:kern w:val="2"/>
                <w:sz w:val="24"/>
                <w:szCs w:val="24"/>
                <w:highlight w:val="none"/>
                <w:lang w:val="en-US" w:eastAsia="zh-CN" w:bidi="ar-SA"/>
              </w:rPr>
              <w:t xml:space="preserve"> </w:t>
            </w:r>
            <w:r>
              <w:rPr>
                <w:rFonts w:hint="eastAsia" w:ascii="仿宋_GB2312" w:hAnsi="仿宋_GB2312" w:eastAsia="仿宋_GB2312" w:cs="仿宋_GB2312"/>
                <w:b w:val="0"/>
                <w:bCs w:val="0"/>
                <w:color w:val="auto"/>
                <w:kern w:val="2"/>
                <w:sz w:val="24"/>
                <w:szCs w:val="24"/>
                <w:highlight w:val="none"/>
                <w:lang w:val="en-US" w:eastAsia="en-US" w:bidi="ar-SA"/>
              </w:rPr>
              <w:t>由</w:t>
            </w:r>
          </w:p>
        </w:tc>
        <w:tc>
          <w:tcPr>
            <w:tcW w:w="7371" w:type="dxa"/>
            <w:gridSpan w:val="7"/>
            <w:noWrap w:val="0"/>
            <w:vAlign w:val="center"/>
          </w:tcPr>
          <w:p w14:paraId="3DAAEB47">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color w:val="auto"/>
                <w:sz w:val="24"/>
                <w:szCs w:val="24"/>
                <w:highlight w:val="none"/>
              </w:rPr>
            </w:pPr>
          </w:p>
        </w:tc>
      </w:tr>
      <w:tr w14:paraId="1E89C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3" w:hRule="atLeast"/>
          <w:jc w:val="center"/>
        </w:trPr>
        <w:tc>
          <w:tcPr>
            <w:tcW w:w="940" w:type="dxa"/>
            <w:noWrap w:val="0"/>
            <w:textDirection w:val="tbRlV"/>
            <w:vAlign w:val="center"/>
          </w:tcPr>
          <w:p w14:paraId="437CD900">
            <w:pPr>
              <w:keepNext w:val="0"/>
              <w:keepLines w:val="0"/>
              <w:pageBreakBefore w:val="0"/>
              <w:widowControl w:val="0"/>
              <w:kinsoku/>
              <w:wordWrap/>
              <w:overflowPunct/>
              <w:topLinePunct w:val="0"/>
              <w:autoSpaceDE/>
              <w:autoSpaceDN/>
              <w:bidi w:val="0"/>
              <w:adjustRightInd/>
              <w:snapToGrid/>
              <w:spacing w:line="202" w:lineRule="auto"/>
              <w:ind w:left="124"/>
              <w:jc w:val="center"/>
              <w:textAlignment w:val="auto"/>
              <w:rPr>
                <w:rFonts w:hint="eastAsia" w:ascii="仿宋_GB2312" w:hAnsi="仿宋_GB2312" w:eastAsia="仿宋_GB2312" w:cs="仿宋_GB2312"/>
                <w:b w:val="0"/>
                <w:bCs w:val="0"/>
                <w:color w:val="auto"/>
                <w:kern w:val="2"/>
                <w:sz w:val="24"/>
                <w:szCs w:val="24"/>
                <w:highlight w:val="none"/>
                <w:lang w:val="en-US" w:eastAsia="en-US" w:bidi="ar-SA"/>
              </w:rPr>
            </w:pPr>
            <w:r>
              <w:rPr>
                <w:rFonts w:hint="eastAsia" w:ascii="仿宋_GB2312" w:hAnsi="仿宋_GB2312" w:eastAsia="仿宋_GB2312" w:cs="仿宋_GB2312"/>
                <w:b w:val="0"/>
                <w:bCs w:val="0"/>
                <w:color w:val="auto"/>
                <w:kern w:val="2"/>
                <w:sz w:val="24"/>
                <w:szCs w:val="24"/>
                <w:highlight w:val="none"/>
                <w:lang w:val="en-US" w:eastAsia="en-US" w:bidi="ar-SA"/>
              </w:rPr>
              <w:t>加</w:t>
            </w:r>
            <w:r>
              <w:rPr>
                <w:rFonts w:hint="eastAsia" w:ascii="仿宋_GB2312" w:hAnsi="仿宋_GB2312" w:eastAsia="仿宋_GB2312" w:cs="仿宋_GB2312"/>
                <w:b w:val="0"/>
                <w:bCs w:val="0"/>
                <w:color w:val="auto"/>
                <w:spacing w:val="88"/>
                <w:kern w:val="2"/>
                <w:sz w:val="24"/>
                <w:szCs w:val="24"/>
                <w:highlight w:val="none"/>
                <w:lang w:val="en-US" w:eastAsia="en-US" w:bidi="ar-SA"/>
              </w:rPr>
              <w:t xml:space="preserve"> </w:t>
            </w:r>
            <w:r>
              <w:rPr>
                <w:rFonts w:hint="eastAsia" w:ascii="仿宋_GB2312" w:hAnsi="仿宋_GB2312" w:eastAsia="仿宋_GB2312" w:cs="仿宋_GB2312"/>
                <w:b w:val="0"/>
                <w:bCs w:val="0"/>
                <w:color w:val="auto"/>
                <w:kern w:val="2"/>
                <w:sz w:val="24"/>
                <w:szCs w:val="24"/>
                <w:highlight w:val="none"/>
                <w:lang w:val="en-US" w:eastAsia="en-US" w:bidi="ar-SA"/>
              </w:rPr>
              <w:t>班</w:t>
            </w:r>
            <w:r>
              <w:rPr>
                <w:rFonts w:hint="eastAsia" w:ascii="仿宋_GB2312" w:hAnsi="仿宋_GB2312" w:eastAsia="仿宋_GB2312" w:cs="仿宋_GB2312"/>
                <w:b w:val="0"/>
                <w:bCs w:val="0"/>
                <w:color w:val="auto"/>
                <w:spacing w:val="88"/>
                <w:kern w:val="2"/>
                <w:sz w:val="24"/>
                <w:szCs w:val="24"/>
                <w:highlight w:val="none"/>
                <w:lang w:val="en-US" w:eastAsia="en-US" w:bidi="ar-SA"/>
              </w:rPr>
              <w:t xml:space="preserve"> </w:t>
            </w:r>
            <w:r>
              <w:rPr>
                <w:rFonts w:hint="eastAsia" w:ascii="仿宋_GB2312" w:hAnsi="仿宋_GB2312" w:eastAsia="仿宋_GB2312" w:cs="仿宋_GB2312"/>
                <w:b w:val="0"/>
                <w:bCs w:val="0"/>
                <w:color w:val="auto"/>
                <w:kern w:val="2"/>
                <w:sz w:val="24"/>
                <w:szCs w:val="24"/>
                <w:highlight w:val="none"/>
                <w:lang w:val="en-US" w:eastAsia="en-US" w:bidi="ar-SA"/>
              </w:rPr>
              <w:t>时</w:t>
            </w:r>
            <w:r>
              <w:rPr>
                <w:rFonts w:hint="eastAsia" w:ascii="仿宋_GB2312" w:hAnsi="仿宋_GB2312" w:eastAsia="仿宋_GB2312" w:cs="仿宋_GB2312"/>
                <w:b w:val="0"/>
                <w:bCs w:val="0"/>
                <w:color w:val="auto"/>
                <w:spacing w:val="88"/>
                <w:kern w:val="2"/>
                <w:sz w:val="24"/>
                <w:szCs w:val="24"/>
                <w:highlight w:val="none"/>
                <w:lang w:val="en-US" w:eastAsia="en-US" w:bidi="ar-SA"/>
              </w:rPr>
              <w:t xml:space="preserve"> </w:t>
            </w:r>
            <w:r>
              <w:rPr>
                <w:rFonts w:hint="eastAsia" w:ascii="仿宋_GB2312" w:hAnsi="仿宋_GB2312" w:eastAsia="仿宋_GB2312" w:cs="仿宋_GB2312"/>
                <w:b w:val="0"/>
                <w:bCs w:val="0"/>
                <w:color w:val="auto"/>
                <w:kern w:val="2"/>
                <w:sz w:val="24"/>
                <w:szCs w:val="24"/>
                <w:highlight w:val="none"/>
                <w:lang w:val="en-US" w:eastAsia="en-US" w:bidi="ar-SA"/>
              </w:rPr>
              <w:t>间</w:t>
            </w:r>
          </w:p>
        </w:tc>
        <w:tc>
          <w:tcPr>
            <w:tcW w:w="7371" w:type="dxa"/>
            <w:gridSpan w:val="7"/>
            <w:noWrap w:val="0"/>
            <w:vAlign w:val="center"/>
          </w:tcPr>
          <w:p w14:paraId="6BF67483">
            <w:pPr>
              <w:keepNext w:val="0"/>
              <w:keepLines w:val="0"/>
              <w:pageBreakBefore w:val="0"/>
              <w:widowControl w:val="0"/>
              <w:kinsoku/>
              <w:wordWrap/>
              <w:overflowPunct/>
              <w:topLinePunct w:val="0"/>
              <w:autoSpaceDE/>
              <w:autoSpaceDN/>
              <w:bidi w:val="0"/>
              <w:adjustRightInd/>
              <w:snapToGrid/>
              <w:spacing w:line="341" w:lineRule="auto"/>
              <w:ind w:left="90" w:right="3774"/>
              <w:jc w:val="left"/>
              <w:textAlignment w:val="auto"/>
              <w:rPr>
                <w:rFonts w:hint="eastAsia" w:ascii="仿宋_GB2312" w:hAnsi="仿宋_GB2312" w:eastAsia="仿宋_GB2312" w:cs="仿宋_GB2312"/>
                <w:b w:val="0"/>
                <w:bCs w:val="0"/>
                <w:color w:val="auto"/>
                <w:spacing w:val="-15"/>
                <w:kern w:val="2"/>
                <w:sz w:val="24"/>
                <w:szCs w:val="24"/>
                <w:highlight w:val="none"/>
                <w:lang w:val="en-US" w:eastAsia="zh-CN" w:bidi="ar-SA"/>
              </w:rPr>
            </w:pPr>
            <w:r>
              <w:rPr>
                <w:rFonts w:hint="eastAsia" w:ascii="仿宋_GB2312" w:hAnsi="仿宋_GB2312" w:eastAsia="仿宋_GB2312" w:cs="仿宋_GB2312"/>
                <w:b w:val="0"/>
                <w:bCs w:val="0"/>
                <w:color w:val="auto"/>
                <w:spacing w:val="-15"/>
                <w:kern w:val="2"/>
                <w:sz w:val="24"/>
                <w:szCs w:val="24"/>
                <w:highlight w:val="none"/>
                <w:lang w:val="en-US" w:eastAsia="en-US" w:bidi="ar-SA"/>
              </w:rPr>
              <w:t>自：</w:t>
            </w:r>
            <w:r>
              <w:rPr>
                <w:rFonts w:hint="eastAsia" w:ascii="仿宋_GB2312" w:hAnsi="仿宋_GB2312" w:eastAsia="仿宋_GB2312" w:cs="仿宋_GB2312"/>
                <w:b w:val="0"/>
                <w:bCs w:val="0"/>
                <w:color w:val="auto"/>
                <w:spacing w:val="-15"/>
                <w:kern w:val="2"/>
                <w:sz w:val="24"/>
                <w:szCs w:val="24"/>
                <w:highlight w:val="none"/>
                <w:lang w:val="en-US" w:eastAsia="zh-CN" w:bidi="ar-SA"/>
              </w:rPr>
              <w:t xml:space="preserve"> </w:t>
            </w:r>
            <w:r>
              <w:rPr>
                <w:rFonts w:hint="eastAsia" w:ascii="仿宋_GB2312" w:hAnsi="仿宋_GB2312" w:eastAsia="仿宋_GB2312" w:cs="仿宋_GB2312"/>
                <w:b w:val="0"/>
                <w:bCs w:val="0"/>
                <w:color w:val="auto"/>
                <w:spacing w:val="-15"/>
                <w:kern w:val="2"/>
                <w:sz w:val="24"/>
                <w:szCs w:val="24"/>
                <w:highlight w:val="none"/>
                <w:u w:val="single"/>
                <w:lang w:val="en-US" w:eastAsia="zh-CN" w:bidi="ar-SA"/>
              </w:rPr>
              <w:t xml:space="preserve">       </w:t>
            </w:r>
            <w:r>
              <w:rPr>
                <w:rFonts w:hint="eastAsia" w:ascii="仿宋_GB2312" w:hAnsi="仿宋_GB2312" w:eastAsia="仿宋_GB2312" w:cs="仿宋_GB2312"/>
                <w:b w:val="0"/>
                <w:bCs w:val="0"/>
                <w:color w:val="auto"/>
                <w:spacing w:val="-15"/>
                <w:kern w:val="2"/>
                <w:sz w:val="24"/>
                <w:szCs w:val="24"/>
                <w:highlight w:val="none"/>
                <w:lang w:val="en-US" w:eastAsia="zh-CN" w:bidi="ar-SA"/>
              </w:rPr>
              <w:t xml:space="preserve">年 </w:t>
            </w:r>
            <w:r>
              <w:rPr>
                <w:rFonts w:hint="eastAsia" w:ascii="仿宋_GB2312" w:hAnsi="仿宋_GB2312" w:eastAsia="仿宋_GB2312" w:cs="仿宋_GB2312"/>
                <w:b w:val="0"/>
                <w:bCs w:val="0"/>
                <w:color w:val="auto"/>
                <w:spacing w:val="-15"/>
                <w:kern w:val="2"/>
                <w:sz w:val="24"/>
                <w:szCs w:val="24"/>
                <w:highlight w:val="none"/>
                <w:u w:val="single"/>
                <w:lang w:val="en-US" w:eastAsia="zh-CN" w:bidi="ar-SA"/>
              </w:rPr>
              <w:t xml:space="preserve">       </w:t>
            </w:r>
            <w:r>
              <w:rPr>
                <w:rFonts w:hint="eastAsia" w:ascii="仿宋_GB2312" w:hAnsi="仿宋_GB2312" w:eastAsia="仿宋_GB2312" w:cs="仿宋_GB2312"/>
                <w:b w:val="0"/>
                <w:bCs w:val="0"/>
                <w:color w:val="auto"/>
                <w:spacing w:val="-15"/>
                <w:kern w:val="2"/>
                <w:sz w:val="24"/>
                <w:szCs w:val="24"/>
                <w:highlight w:val="none"/>
                <w:lang w:val="en-US" w:eastAsia="zh-CN" w:bidi="ar-SA"/>
              </w:rPr>
              <w:t>月</w:t>
            </w:r>
            <w:r>
              <w:rPr>
                <w:rFonts w:hint="eastAsia" w:ascii="仿宋_GB2312" w:hAnsi="仿宋_GB2312" w:eastAsia="仿宋_GB2312" w:cs="仿宋_GB2312"/>
                <w:b w:val="0"/>
                <w:bCs w:val="0"/>
                <w:color w:val="auto"/>
                <w:spacing w:val="-15"/>
                <w:kern w:val="2"/>
                <w:sz w:val="24"/>
                <w:szCs w:val="24"/>
                <w:highlight w:val="none"/>
                <w:u w:val="single"/>
                <w:lang w:val="en-US" w:eastAsia="zh-CN" w:bidi="ar-SA"/>
              </w:rPr>
              <w:t xml:space="preserve"> </w:t>
            </w:r>
            <w:r>
              <w:rPr>
                <w:rFonts w:hint="eastAsia" w:ascii="仿宋_GB2312" w:hAnsi="仿宋_GB2312" w:eastAsia="仿宋_GB2312" w:cs="仿宋_GB2312"/>
                <w:b w:val="0"/>
                <w:bCs w:val="0"/>
                <w:color w:val="auto"/>
                <w:spacing w:val="-15"/>
                <w:kern w:val="2"/>
                <w:sz w:val="24"/>
                <w:szCs w:val="24"/>
                <w:highlight w:val="none"/>
                <w:lang w:val="en-US" w:eastAsia="zh-CN" w:bidi="ar-SA"/>
              </w:rPr>
              <w:t xml:space="preserve"> </w:t>
            </w:r>
            <w:r>
              <w:rPr>
                <w:rFonts w:hint="eastAsia" w:ascii="仿宋_GB2312" w:hAnsi="仿宋_GB2312" w:eastAsia="仿宋_GB2312" w:cs="仿宋_GB2312"/>
                <w:b w:val="0"/>
                <w:bCs w:val="0"/>
                <w:color w:val="auto"/>
                <w:spacing w:val="-15"/>
                <w:kern w:val="2"/>
                <w:sz w:val="24"/>
                <w:szCs w:val="24"/>
                <w:highlight w:val="none"/>
                <w:u w:val="single"/>
                <w:lang w:val="en-US" w:eastAsia="zh-CN" w:bidi="ar-SA"/>
              </w:rPr>
              <w:t xml:space="preserve">      </w:t>
            </w:r>
            <w:r>
              <w:rPr>
                <w:rFonts w:hint="eastAsia" w:ascii="仿宋_GB2312" w:hAnsi="仿宋_GB2312" w:eastAsia="仿宋_GB2312" w:cs="仿宋_GB2312"/>
                <w:b w:val="0"/>
                <w:bCs w:val="0"/>
                <w:color w:val="auto"/>
                <w:spacing w:val="-15"/>
                <w:kern w:val="2"/>
                <w:sz w:val="24"/>
                <w:szCs w:val="24"/>
                <w:highlight w:val="none"/>
                <w:lang w:val="en-US" w:eastAsia="zh-CN" w:bidi="ar-SA"/>
              </w:rPr>
              <w:t>日</w:t>
            </w:r>
          </w:p>
          <w:p w14:paraId="511916D8">
            <w:pPr>
              <w:keepNext w:val="0"/>
              <w:keepLines w:val="0"/>
              <w:pageBreakBefore w:val="0"/>
              <w:widowControl w:val="0"/>
              <w:kinsoku/>
              <w:wordWrap/>
              <w:overflowPunct/>
              <w:topLinePunct w:val="0"/>
              <w:autoSpaceDE/>
              <w:autoSpaceDN/>
              <w:bidi w:val="0"/>
              <w:adjustRightInd/>
              <w:snapToGrid/>
              <w:spacing w:line="341" w:lineRule="auto"/>
              <w:ind w:left="90" w:right="3774"/>
              <w:jc w:val="left"/>
              <w:textAlignment w:val="auto"/>
              <w:rPr>
                <w:rFonts w:hint="eastAsia" w:ascii="仿宋_GB2312" w:hAnsi="仿宋_GB2312" w:eastAsia="仿宋_GB2312" w:cs="仿宋_GB2312"/>
                <w:b w:val="0"/>
                <w:bCs w:val="0"/>
                <w:color w:val="auto"/>
                <w:spacing w:val="-15"/>
                <w:kern w:val="2"/>
                <w:sz w:val="24"/>
                <w:szCs w:val="24"/>
                <w:highlight w:val="none"/>
                <w:lang w:val="en-US" w:eastAsia="zh-CN" w:bidi="ar-SA"/>
              </w:rPr>
            </w:pPr>
            <w:r>
              <w:rPr>
                <w:rFonts w:hint="eastAsia" w:ascii="仿宋_GB2312" w:hAnsi="仿宋_GB2312" w:eastAsia="仿宋_GB2312" w:cs="仿宋_GB2312"/>
                <w:b w:val="0"/>
                <w:bCs w:val="0"/>
                <w:color w:val="auto"/>
                <w:spacing w:val="-15"/>
                <w:kern w:val="2"/>
                <w:sz w:val="24"/>
                <w:szCs w:val="24"/>
                <w:highlight w:val="none"/>
                <w:lang w:val="en-US" w:eastAsia="zh-CN" w:bidi="ar-SA"/>
              </w:rPr>
              <w:t xml:space="preserve">至： </w:t>
            </w:r>
            <w:r>
              <w:rPr>
                <w:rFonts w:hint="eastAsia" w:ascii="仿宋_GB2312" w:hAnsi="仿宋_GB2312" w:eastAsia="仿宋_GB2312" w:cs="仿宋_GB2312"/>
                <w:b w:val="0"/>
                <w:bCs w:val="0"/>
                <w:color w:val="auto"/>
                <w:spacing w:val="-15"/>
                <w:kern w:val="2"/>
                <w:sz w:val="24"/>
                <w:szCs w:val="24"/>
                <w:highlight w:val="none"/>
                <w:u w:val="single"/>
                <w:lang w:val="en-US" w:eastAsia="zh-CN" w:bidi="ar-SA"/>
              </w:rPr>
              <w:t xml:space="preserve">       </w:t>
            </w:r>
            <w:r>
              <w:rPr>
                <w:rFonts w:hint="eastAsia" w:ascii="仿宋_GB2312" w:hAnsi="仿宋_GB2312" w:eastAsia="仿宋_GB2312" w:cs="仿宋_GB2312"/>
                <w:b w:val="0"/>
                <w:bCs w:val="0"/>
                <w:color w:val="auto"/>
                <w:spacing w:val="-15"/>
                <w:kern w:val="2"/>
                <w:sz w:val="24"/>
                <w:szCs w:val="24"/>
                <w:highlight w:val="none"/>
                <w:lang w:val="en-US" w:eastAsia="zh-CN" w:bidi="ar-SA"/>
              </w:rPr>
              <w:t xml:space="preserve">年 </w:t>
            </w:r>
            <w:r>
              <w:rPr>
                <w:rFonts w:hint="eastAsia" w:ascii="仿宋_GB2312" w:hAnsi="仿宋_GB2312" w:eastAsia="仿宋_GB2312" w:cs="仿宋_GB2312"/>
                <w:b w:val="0"/>
                <w:bCs w:val="0"/>
                <w:color w:val="auto"/>
                <w:spacing w:val="-15"/>
                <w:kern w:val="2"/>
                <w:sz w:val="24"/>
                <w:szCs w:val="24"/>
                <w:highlight w:val="none"/>
                <w:u w:val="single"/>
                <w:lang w:val="en-US" w:eastAsia="zh-CN" w:bidi="ar-SA"/>
              </w:rPr>
              <w:t xml:space="preserve">       </w:t>
            </w:r>
            <w:r>
              <w:rPr>
                <w:rFonts w:hint="eastAsia" w:ascii="仿宋_GB2312" w:hAnsi="仿宋_GB2312" w:eastAsia="仿宋_GB2312" w:cs="仿宋_GB2312"/>
                <w:b w:val="0"/>
                <w:bCs w:val="0"/>
                <w:color w:val="auto"/>
                <w:spacing w:val="-15"/>
                <w:kern w:val="2"/>
                <w:sz w:val="24"/>
                <w:szCs w:val="24"/>
                <w:highlight w:val="none"/>
                <w:lang w:val="en-US" w:eastAsia="zh-CN" w:bidi="ar-SA"/>
              </w:rPr>
              <w:t>月</w:t>
            </w:r>
            <w:r>
              <w:rPr>
                <w:rFonts w:hint="eastAsia" w:ascii="仿宋_GB2312" w:hAnsi="仿宋_GB2312" w:eastAsia="仿宋_GB2312" w:cs="仿宋_GB2312"/>
                <w:b w:val="0"/>
                <w:bCs w:val="0"/>
                <w:color w:val="auto"/>
                <w:spacing w:val="-15"/>
                <w:kern w:val="2"/>
                <w:sz w:val="24"/>
                <w:szCs w:val="24"/>
                <w:highlight w:val="none"/>
                <w:u w:val="single"/>
                <w:lang w:val="en-US" w:eastAsia="zh-CN" w:bidi="ar-SA"/>
              </w:rPr>
              <w:t xml:space="preserve"> </w:t>
            </w:r>
            <w:r>
              <w:rPr>
                <w:rFonts w:hint="eastAsia" w:ascii="仿宋_GB2312" w:hAnsi="仿宋_GB2312" w:eastAsia="仿宋_GB2312" w:cs="仿宋_GB2312"/>
                <w:b w:val="0"/>
                <w:bCs w:val="0"/>
                <w:color w:val="auto"/>
                <w:spacing w:val="-15"/>
                <w:kern w:val="2"/>
                <w:sz w:val="24"/>
                <w:szCs w:val="24"/>
                <w:highlight w:val="none"/>
                <w:lang w:val="en-US" w:eastAsia="zh-CN" w:bidi="ar-SA"/>
              </w:rPr>
              <w:t xml:space="preserve"> </w:t>
            </w:r>
            <w:r>
              <w:rPr>
                <w:rFonts w:hint="eastAsia" w:ascii="仿宋_GB2312" w:hAnsi="仿宋_GB2312" w:eastAsia="仿宋_GB2312" w:cs="仿宋_GB2312"/>
                <w:b w:val="0"/>
                <w:bCs w:val="0"/>
                <w:color w:val="auto"/>
                <w:spacing w:val="-15"/>
                <w:kern w:val="2"/>
                <w:sz w:val="24"/>
                <w:szCs w:val="24"/>
                <w:highlight w:val="none"/>
                <w:u w:val="single"/>
                <w:lang w:val="en-US" w:eastAsia="zh-CN" w:bidi="ar-SA"/>
              </w:rPr>
              <w:t xml:space="preserve">      </w:t>
            </w:r>
            <w:r>
              <w:rPr>
                <w:rFonts w:hint="eastAsia" w:ascii="仿宋_GB2312" w:hAnsi="仿宋_GB2312" w:eastAsia="仿宋_GB2312" w:cs="仿宋_GB2312"/>
                <w:b w:val="0"/>
                <w:bCs w:val="0"/>
                <w:color w:val="auto"/>
                <w:spacing w:val="-15"/>
                <w:kern w:val="2"/>
                <w:sz w:val="24"/>
                <w:szCs w:val="24"/>
                <w:highlight w:val="none"/>
                <w:lang w:val="en-US" w:eastAsia="zh-CN" w:bidi="ar-SA"/>
              </w:rPr>
              <w:t>日</w:t>
            </w:r>
          </w:p>
          <w:p w14:paraId="0ABAC644">
            <w:pPr>
              <w:keepNext w:val="0"/>
              <w:keepLines w:val="0"/>
              <w:pageBreakBefore w:val="0"/>
              <w:widowControl w:val="0"/>
              <w:kinsoku/>
              <w:wordWrap/>
              <w:overflowPunct/>
              <w:topLinePunct w:val="0"/>
              <w:autoSpaceDE/>
              <w:autoSpaceDN/>
              <w:bidi w:val="0"/>
              <w:adjustRightInd/>
              <w:snapToGrid/>
              <w:spacing w:line="341" w:lineRule="auto"/>
              <w:ind w:left="90" w:right="3774"/>
              <w:jc w:val="left"/>
              <w:textAlignment w:val="auto"/>
              <w:rPr>
                <w:rFonts w:hint="eastAsia" w:ascii="仿宋_GB2312" w:hAnsi="仿宋_GB2312" w:eastAsia="仿宋_GB2312" w:cs="仿宋_GB2312"/>
                <w:b w:val="0"/>
                <w:bCs w:val="0"/>
                <w:color w:val="auto"/>
                <w:kern w:val="2"/>
                <w:sz w:val="24"/>
                <w:szCs w:val="24"/>
                <w:highlight w:val="none"/>
                <w:lang w:val="en-US" w:eastAsia="en-US" w:bidi="ar-SA"/>
              </w:rPr>
            </w:pPr>
            <w:r>
              <w:rPr>
                <w:rFonts w:hint="eastAsia" w:ascii="仿宋_GB2312" w:hAnsi="仿宋_GB2312" w:eastAsia="仿宋_GB2312" w:cs="仿宋_GB2312"/>
                <w:b w:val="0"/>
                <w:bCs w:val="0"/>
                <w:color w:val="auto"/>
                <w:kern w:val="2"/>
                <w:sz w:val="24"/>
                <w:szCs w:val="24"/>
                <w:highlight w:val="none"/>
                <w:lang w:val="en-US" w:eastAsia="en-US" w:bidi="ar-SA"/>
              </w:rPr>
              <w:t>共计：</w:t>
            </w:r>
            <w:r>
              <w:rPr>
                <w:rFonts w:hint="eastAsia" w:ascii="仿宋_GB2312" w:hAnsi="仿宋_GB2312" w:eastAsia="仿宋_GB2312" w:cs="仿宋_GB2312"/>
                <w:b w:val="0"/>
                <w:bCs w:val="0"/>
                <w:color w:val="auto"/>
                <w:kern w:val="2"/>
                <w:sz w:val="24"/>
                <w:szCs w:val="24"/>
                <w:highlight w:val="none"/>
                <w:u w:val="single"/>
                <w:lang w:val="en-US" w:eastAsia="zh-CN" w:bidi="ar-SA"/>
              </w:rPr>
              <w:t xml:space="preserve">      </w:t>
            </w:r>
            <w:r>
              <w:rPr>
                <w:rFonts w:hint="eastAsia" w:ascii="仿宋_GB2312" w:hAnsi="仿宋_GB2312" w:eastAsia="仿宋_GB2312" w:cs="仿宋_GB2312"/>
                <w:b w:val="0"/>
                <w:bCs w:val="0"/>
                <w:color w:val="auto"/>
                <w:kern w:val="2"/>
                <w:sz w:val="24"/>
                <w:szCs w:val="24"/>
                <w:highlight w:val="none"/>
                <w:lang w:val="en-US" w:eastAsia="en-US" w:bidi="ar-SA"/>
              </w:rPr>
              <w:t>小时/工作日</w:t>
            </w:r>
          </w:p>
          <w:p w14:paraId="1B1D478E">
            <w:pPr>
              <w:keepNext w:val="0"/>
              <w:keepLines w:val="0"/>
              <w:pageBreakBefore w:val="0"/>
              <w:widowControl w:val="0"/>
              <w:kinsoku/>
              <w:wordWrap/>
              <w:overflowPunct/>
              <w:topLinePunct w:val="0"/>
              <w:autoSpaceDE/>
              <w:autoSpaceDN/>
              <w:bidi w:val="0"/>
              <w:adjustRightInd/>
              <w:snapToGrid/>
              <w:spacing w:line="219" w:lineRule="auto"/>
              <w:ind w:left="100"/>
              <w:jc w:val="left"/>
              <w:textAlignment w:val="auto"/>
              <w:rPr>
                <w:rFonts w:hint="eastAsia" w:ascii="仿宋_GB2312" w:hAnsi="仿宋_GB2312" w:eastAsia="仿宋_GB2312" w:cs="仿宋_GB2312"/>
                <w:b w:val="0"/>
                <w:bCs w:val="0"/>
                <w:color w:val="auto"/>
                <w:kern w:val="2"/>
                <w:sz w:val="24"/>
                <w:szCs w:val="24"/>
                <w:highlight w:val="none"/>
                <w:lang w:val="en-US" w:eastAsia="en-US" w:bidi="ar-SA"/>
              </w:rPr>
            </w:pPr>
            <w:r>
              <w:rPr>
                <w:rFonts w:hint="eastAsia" w:ascii="仿宋_GB2312" w:hAnsi="仿宋_GB2312" w:eastAsia="仿宋_GB2312" w:cs="仿宋_GB2312"/>
                <w:b w:val="0"/>
                <w:bCs w:val="0"/>
                <w:color w:val="auto"/>
                <w:kern w:val="2"/>
                <w:sz w:val="24"/>
                <w:szCs w:val="24"/>
                <w:highlight w:val="none"/>
                <w:lang w:val="en-US" w:eastAsia="en-US" w:bidi="ar-SA"/>
              </w:rPr>
              <w:t>申请人签名：</w:t>
            </w:r>
            <w:r>
              <w:rPr>
                <w:rFonts w:hint="eastAsia" w:ascii="仿宋_GB2312" w:hAnsi="仿宋_GB2312" w:eastAsia="仿宋_GB2312" w:cs="仿宋_GB2312"/>
                <w:b w:val="0"/>
                <w:bCs w:val="0"/>
                <w:color w:val="auto"/>
                <w:spacing w:val="3"/>
                <w:kern w:val="2"/>
                <w:sz w:val="24"/>
                <w:szCs w:val="24"/>
                <w:highlight w:val="none"/>
                <w:u w:val="single"/>
                <w:lang w:val="en-US" w:eastAsia="en-US" w:bidi="ar-SA"/>
              </w:rPr>
              <w:t xml:space="preserve">                   </w:t>
            </w:r>
            <w:r>
              <w:rPr>
                <w:rFonts w:hint="eastAsia" w:ascii="仿宋_GB2312" w:hAnsi="仿宋_GB2312" w:eastAsia="仿宋_GB2312" w:cs="仿宋_GB2312"/>
                <w:b w:val="0"/>
                <w:bCs w:val="0"/>
                <w:color w:val="auto"/>
                <w:kern w:val="2"/>
                <w:sz w:val="24"/>
                <w:szCs w:val="24"/>
                <w:highlight w:val="none"/>
                <w:lang w:val="en-US" w:eastAsia="en-US" w:bidi="ar-SA"/>
              </w:rPr>
              <w:t>申请日期：</w:t>
            </w:r>
            <w:r>
              <w:rPr>
                <w:rFonts w:hint="eastAsia" w:ascii="仿宋_GB2312" w:hAnsi="仿宋_GB2312" w:eastAsia="仿宋_GB2312" w:cs="仿宋_GB2312"/>
                <w:b w:val="0"/>
                <w:bCs w:val="0"/>
                <w:color w:val="auto"/>
                <w:spacing w:val="3"/>
                <w:kern w:val="2"/>
                <w:sz w:val="24"/>
                <w:szCs w:val="24"/>
                <w:highlight w:val="none"/>
                <w:u w:val="single"/>
                <w:lang w:val="en-US" w:eastAsia="en-US" w:bidi="ar-SA"/>
              </w:rPr>
              <w:t xml:space="preserve">                   </w:t>
            </w:r>
          </w:p>
          <w:p w14:paraId="43BBB05C">
            <w:pPr>
              <w:keepNext w:val="0"/>
              <w:keepLines w:val="0"/>
              <w:pageBreakBefore w:val="0"/>
              <w:widowControl w:val="0"/>
              <w:kinsoku/>
              <w:wordWrap/>
              <w:overflowPunct/>
              <w:topLinePunct w:val="0"/>
              <w:autoSpaceDE/>
              <w:autoSpaceDN/>
              <w:bidi w:val="0"/>
              <w:adjustRightInd/>
              <w:snapToGrid/>
              <w:spacing w:line="165" w:lineRule="auto"/>
              <w:ind w:left="1000"/>
              <w:jc w:val="left"/>
              <w:textAlignment w:val="auto"/>
              <w:rPr>
                <w:rFonts w:hint="eastAsia" w:ascii="仿宋_GB2312" w:hAnsi="仿宋_GB2312" w:eastAsia="仿宋_GB2312" w:cs="仿宋_GB2312"/>
                <w:b w:val="0"/>
                <w:bCs w:val="0"/>
                <w:color w:val="auto"/>
                <w:kern w:val="2"/>
                <w:sz w:val="24"/>
                <w:szCs w:val="24"/>
                <w:highlight w:val="none"/>
                <w:lang w:val="en-US" w:eastAsia="en-US" w:bidi="ar-SA"/>
              </w:rPr>
            </w:pPr>
          </w:p>
        </w:tc>
      </w:tr>
      <w:tr w14:paraId="1977D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940" w:type="dxa"/>
            <w:vMerge w:val="restart"/>
            <w:tcBorders>
              <w:bottom w:val="nil"/>
            </w:tcBorders>
            <w:noWrap w:val="0"/>
            <w:textDirection w:val="tbRlV"/>
            <w:vAlign w:val="center"/>
          </w:tcPr>
          <w:p w14:paraId="0C72A0CB">
            <w:pPr>
              <w:keepNext w:val="0"/>
              <w:keepLines w:val="0"/>
              <w:pageBreakBefore w:val="0"/>
              <w:widowControl w:val="0"/>
              <w:kinsoku/>
              <w:wordWrap/>
              <w:overflowPunct/>
              <w:topLinePunct w:val="0"/>
              <w:autoSpaceDE/>
              <w:autoSpaceDN/>
              <w:bidi w:val="0"/>
              <w:adjustRightInd/>
              <w:snapToGrid/>
              <w:spacing w:line="203" w:lineRule="auto"/>
              <w:ind w:left="2115"/>
              <w:jc w:val="both"/>
              <w:textAlignment w:val="auto"/>
              <w:rPr>
                <w:rFonts w:hint="eastAsia" w:ascii="仿宋_GB2312" w:hAnsi="仿宋_GB2312" w:eastAsia="仿宋_GB2312" w:cs="仿宋_GB2312"/>
                <w:b w:val="0"/>
                <w:bCs w:val="0"/>
                <w:color w:val="auto"/>
                <w:kern w:val="2"/>
                <w:sz w:val="24"/>
                <w:szCs w:val="24"/>
                <w:highlight w:val="none"/>
                <w:lang w:val="en-US" w:eastAsia="en-US" w:bidi="ar-SA"/>
              </w:rPr>
            </w:pPr>
            <w:r>
              <w:rPr>
                <w:rFonts w:hint="eastAsia" w:ascii="仿宋_GB2312" w:hAnsi="仿宋_GB2312" w:eastAsia="仿宋_GB2312" w:cs="仿宋_GB2312"/>
                <w:b w:val="0"/>
                <w:bCs w:val="0"/>
                <w:color w:val="auto"/>
                <w:kern w:val="2"/>
                <w:sz w:val="24"/>
                <w:szCs w:val="24"/>
                <w:highlight w:val="none"/>
                <w:lang w:val="en-US" w:eastAsia="en-US" w:bidi="ar-SA"/>
              </w:rPr>
              <w:t>审</w:t>
            </w:r>
            <w:r>
              <w:rPr>
                <w:rFonts w:hint="eastAsia" w:ascii="仿宋_GB2312" w:hAnsi="仿宋_GB2312" w:eastAsia="仿宋_GB2312" w:cs="仿宋_GB2312"/>
                <w:b w:val="0"/>
                <w:bCs w:val="0"/>
                <w:color w:val="auto"/>
                <w:spacing w:val="81"/>
                <w:kern w:val="2"/>
                <w:sz w:val="24"/>
                <w:szCs w:val="24"/>
                <w:highlight w:val="none"/>
                <w:lang w:val="en-US" w:eastAsia="en-US" w:bidi="ar-SA"/>
              </w:rPr>
              <w:t xml:space="preserve"> </w:t>
            </w:r>
            <w:r>
              <w:rPr>
                <w:rFonts w:hint="eastAsia" w:ascii="仿宋_GB2312" w:hAnsi="仿宋_GB2312" w:eastAsia="仿宋_GB2312" w:cs="仿宋_GB2312"/>
                <w:b w:val="0"/>
                <w:bCs w:val="0"/>
                <w:color w:val="auto"/>
                <w:kern w:val="2"/>
                <w:sz w:val="24"/>
                <w:szCs w:val="24"/>
                <w:highlight w:val="none"/>
                <w:lang w:val="en-US" w:eastAsia="en-US" w:bidi="ar-SA"/>
              </w:rPr>
              <w:t>批</w:t>
            </w:r>
            <w:r>
              <w:rPr>
                <w:rFonts w:hint="eastAsia" w:ascii="仿宋_GB2312" w:hAnsi="仿宋_GB2312" w:eastAsia="仿宋_GB2312" w:cs="仿宋_GB2312"/>
                <w:b w:val="0"/>
                <w:bCs w:val="0"/>
                <w:color w:val="auto"/>
                <w:spacing w:val="81"/>
                <w:kern w:val="2"/>
                <w:sz w:val="24"/>
                <w:szCs w:val="24"/>
                <w:highlight w:val="none"/>
                <w:lang w:val="en-US" w:eastAsia="en-US" w:bidi="ar-SA"/>
              </w:rPr>
              <w:t xml:space="preserve"> </w:t>
            </w:r>
            <w:r>
              <w:rPr>
                <w:rFonts w:hint="eastAsia" w:ascii="仿宋_GB2312" w:hAnsi="仿宋_GB2312" w:eastAsia="仿宋_GB2312" w:cs="仿宋_GB2312"/>
                <w:b w:val="0"/>
                <w:bCs w:val="0"/>
                <w:color w:val="auto"/>
                <w:kern w:val="2"/>
                <w:sz w:val="24"/>
                <w:szCs w:val="24"/>
                <w:highlight w:val="none"/>
                <w:lang w:val="en-US" w:eastAsia="en-US" w:bidi="ar-SA"/>
              </w:rPr>
              <w:t>流</w:t>
            </w:r>
            <w:r>
              <w:rPr>
                <w:rFonts w:hint="eastAsia" w:ascii="仿宋_GB2312" w:hAnsi="仿宋_GB2312" w:eastAsia="仿宋_GB2312" w:cs="仿宋_GB2312"/>
                <w:b w:val="0"/>
                <w:bCs w:val="0"/>
                <w:color w:val="auto"/>
                <w:spacing w:val="81"/>
                <w:kern w:val="2"/>
                <w:sz w:val="24"/>
                <w:szCs w:val="24"/>
                <w:highlight w:val="none"/>
                <w:lang w:val="en-US" w:eastAsia="en-US" w:bidi="ar-SA"/>
              </w:rPr>
              <w:t xml:space="preserve"> </w:t>
            </w:r>
            <w:r>
              <w:rPr>
                <w:rFonts w:hint="eastAsia" w:ascii="仿宋_GB2312" w:hAnsi="仿宋_GB2312" w:eastAsia="仿宋_GB2312" w:cs="仿宋_GB2312"/>
                <w:b w:val="0"/>
                <w:bCs w:val="0"/>
                <w:color w:val="auto"/>
                <w:kern w:val="2"/>
                <w:sz w:val="24"/>
                <w:szCs w:val="24"/>
                <w:highlight w:val="none"/>
                <w:lang w:val="en-US" w:eastAsia="en-US" w:bidi="ar-SA"/>
              </w:rPr>
              <w:t>程</w:t>
            </w:r>
          </w:p>
        </w:tc>
        <w:tc>
          <w:tcPr>
            <w:tcW w:w="7371" w:type="dxa"/>
            <w:gridSpan w:val="7"/>
            <w:noWrap w:val="0"/>
            <w:vAlign w:val="center"/>
          </w:tcPr>
          <w:p w14:paraId="05B865BF">
            <w:pPr>
              <w:keepNext w:val="0"/>
              <w:keepLines w:val="0"/>
              <w:pageBreakBefore w:val="0"/>
              <w:widowControl w:val="0"/>
              <w:kinsoku/>
              <w:wordWrap/>
              <w:overflowPunct/>
              <w:topLinePunct w:val="0"/>
              <w:autoSpaceDE/>
              <w:autoSpaceDN/>
              <w:bidi w:val="0"/>
              <w:adjustRightInd/>
              <w:snapToGrid/>
              <w:spacing w:line="219" w:lineRule="auto"/>
              <w:ind w:left="110"/>
              <w:jc w:val="left"/>
              <w:textAlignment w:val="auto"/>
              <w:rPr>
                <w:rFonts w:hint="eastAsia" w:ascii="仿宋_GB2312" w:hAnsi="仿宋_GB2312" w:eastAsia="仿宋_GB2312" w:cs="仿宋_GB2312"/>
                <w:b w:val="0"/>
                <w:bCs w:val="0"/>
                <w:color w:val="auto"/>
                <w:kern w:val="2"/>
                <w:sz w:val="24"/>
                <w:szCs w:val="24"/>
                <w:highlight w:val="none"/>
                <w:lang w:val="en-US" w:eastAsia="en-US" w:bidi="ar-SA"/>
              </w:rPr>
            </w:pPr>
            <w:r>
              <w:rPr>
                <w:rFonts w:hint="eastAsia" w:ascii="仿宋_GB2312" w:hAnsi="仿宋_GB2312" w:eastAsia="仿宋_GB2312" w:cs="仿宋_GB2312"/>
                <w:b w:val="0"/>
                <w:bCs w:val="0"/>
                <w:color w:val="auto"/>
                <w:spacing w:val="-1"/>
                <w:kern w:val="2"/>
                <w:sz w:val="24"/>
                <w:szCs w:val="24"/>
                <w:highlight w:val="none"/>
                <w:lang w:val="en-US" w:eastAsia="en-US" w:bidi="ar-SA"/>
              </w:rPr>
              <w:t>部门负责人意见：</w:t>
            </w:r>
          </w:p>
          <w:p w14:paraId="12059844">
            <w:pPr>
              <w:keepNext w:val="0"/>
              <w:keepLines w:val="0"/>
              <w:pageBreakBefore w:val="0"/>
              <w:widowControl w:val="0"/>
              <w:kinsoku/>
              <w:wordWrap/>
              <w:overflowPunct/>
              <w:topLinePunct w:val="0"/>
              <w:autoSpaceDE/>
              <w:autoSpaceDN/>
              <w:bidi w:val="0"/>
              <w:adjustRightInd/>
              <w:snapToGrid/>
              <w:spacing w:line="395" w:lineRule="auto"/>
              <w:jc w:val="left"/>
              <w:textAlignment w:val="auto"/>
              <w:rPr>
                <w:rFonts w:hint="eastAsia" w:ascii="仿宋_GB2312" w:hAnsi="仿宋_GB2312" w:eastAsia="仿宋_GB2312" w:cs="仿宋_GB2312"/>
                <w:b w:val="0"/>
                <w:bCs w:val="0"/>
                <w:color w:val="auto"/>
                <w:sz w:val="24"/>
                <w:szCs w:val="24"/>
                <w:highlight w:val="none"/>
              </w:rPr>
            </w:pPr>
          </w:p>
          <w:p w14:paraId="748E7B01">
            <w:pPr>
              <w:keepNext w:val="0"/>
              <w:keepLines w:val="0"/>
              <w:pageBreakBefore w:val="0"/>
              <w:widowControl w:val="0"/>
              <w:kinsoku/>
              <w:wordWrap/>
              <w:overflowPunct/>
              <w:topLinePunct w:val="0"/>
              <w:autoSpaceDE/>
              <w:autoSpaceDN/>
              <w:bidi w:val="0"/>
              <w:adjustRightInd/>
              <w:snapToGrid/>
              <w:spacing w:line="220" w:lineRule="auto"/>
              <w:ind w:left="3680"/>
              <w:jc w:val="left"/>
              <w:textAlignment w:val="auto"/>
              <w:rPr>
                <w:rFonts w:hint="eastAsia" w:ascii="仿宋_GB2312" w:hAnsi="仿宋_GB2312" w:eastAsia="仿宋_GB2312" w:cs="仿宋_GB2312"/>
                <w:b w:val="0"/>
                <w:bCs w:val="0"/>
                <w:color w:val="auto"/>
                <w:kern w:val="2"/>
                <w:sz w:val="24"/>
                <w:szCs w:val="24"/>
                <w:highlight w:val="none"/>
                <w:lang w:val="en-US" w:eastAsia="en-US" w:bidi="ar-SA"/>
              </w:rPr>
            </w:pPr>
            <w:r>
              <w:rPr>
                <w:rFonts w:hint="eastAsia" w:ascii="仿宋_GB2312" w:hAnsi="仿宋_GB2312" w:eastAsia="仿宋_GB2312" w:cs="仿宋_GB2312"/>
                <w:b w:val="0"/>
                <w:bCs w:val="0"/>
                <w:color w:val="auto"/>
                <w:kern w:val="2"/>
                <w:sz w:val="24"/>
                <w:szCs w:val="24"/>
                <w:highlight w:val="none"/>
                <w:lang w:val="en-US" w:eastAsia="en-US" w:bidi="ar-SA"/>
              </w:rPr>
              <w:t>签字：</w:t>
            </w:r>
            <w:r>
              <w:rPr>
                <w:rFonts w:hint="eastAsia" w:ascii="仿宋_GB2312" w:hAnsi="仿宋_GB2312" w:eastAsia="仿宋_GB2312" w:cs="仿宋_GB2312"/>
                <w:b w:val="0"/>
                <w:bCs w:val="0"/>
                <w:color w:val="auto"/>
                <w:spacing w:val="2"/>
                <w:kern w:val="2"/>
                <w:sz w:val="24"/>
                <w:szCs w:val="24"/>
                <w:highlight w:val="none"/>
                <w:lang w:val="en-US" w:eastAsia="en-US" w:bidi="ar-SA"/>
              </w:rPr>
              <w:t xml:space="preserve">             </w:t>
            </w:r>
            <w:r>
              <w:rPr>
                <w:rFonts w:hint="eastAsia" w:ascii="仿宋_GB2312" w:hAnsi="仿宋_GB2312" w:eastAsia="仿宋_GB2312" w:cs="仿宋_GB2312"/>
                <w:b w:val="0"/>
                <w:bCs w:val="0"/>
                <w:color w:val="auto"/>
                <w:kern w:val="2"/>
                <w:sz w:val="24"/>
                <w:szCs w:val="24"/>
                <w:highlight w:val="none"/>
                <w:lang w:val="en-US" w:eastAsia="en-US" w:bidi="ar-SA"/>
              </w:rPr>
              <w:t>日期：</w:t>
            </w:r>
          </w:p>
        </w:tc>
      </w:tr>
      <w:tr w14:paraId="56D39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jc w:val="center"/>
        </w:trPr>
        <w:tc>
          <w:tcPr>
            <w:tcW w:w="940" w:type="dxa"/>
            <w:vMerge w:val="continue"/>
            <w:tcBorders>
              <w:top w:val="nil"/>
              <w:bottom w:val="nil"/>
            </w:tcBorders>
            <w:noWrap w:val="0"/>
            <w:textDirection w:val="tbRlV"/>
            <w:vAlign w:val="center"/>
          </w:tcPr>
          <w:p w14:paraId="0914109D">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color w:val="auto"/>
                <w:sz w:val="24"/>
                <w:szCs w:val="24"/>
                <w:highlight w:val="none"/>
              </w:rPr>
            </w:pPr>
          </w:p>
        </w:tc>
        <w:tc>
          <w:tcPr>
            <w:tcW w:w="7371" w:type="dxa"/>
            <w:gridSpan w:val="7"/>
            <w:noWrap w:val="0"/>
            <w:vAlign w:val="center"/>
          </w:tcPr>
          <w:p w14:paraId="44C8CE04">
            <w:pPr>
              <w:keepNext w:val="0"/>
              <w:keepLines w:val="0"/>
              <w:pageBreakBefore w:val="0"/>
              <w:widowControl w:val="0"/>
              <w:kinsoku/>
              <w:wordWrap/>
              <w:overflowPunct/>
              <w:topLinePunct w:val="0"/>
              <w:autoSpaceDE/>
              <w:autoSpaceDN/>
              <w:bidi w:val="0"/>
              <w:adjustRightInd/>
              <w:snapToGrid/>
              <w:spacing w:line="219" w:lineRule="auto"/>
              <w:ind w:left="90"/>
              <w:jc w:val="left"/>
              <w:textAlignment w:val="auto"/>
              <w:rPr>
                <w:rFonts w:hint="eastAsia" w:ascii="仿宋_GB2312" w:hAnsi="仿宋_GB2312" w:eastAsia="仿宋_GB2312" w:cs="仿宋_GB2312"/>
                <w:b w:val="0"/>
                <w:bCs w:val="0"/>
                <w:color w:val="auto"/>
                <w:kern w:val="2"/>
                <w:sz w:val="24"/>
                <w:szCs w:val="24"/>
                <w:highlight w:val="none"/>
                <w:lang w:val="en-US" w:eastAsia="en-US" w:bidi="ar-SA"/>
              </w:rPr>
            </w:pPr>
            <w:r>
              <w:rPr>
                <w:rFonts w:hint="eastAsia" w:ascii="仿宋_GB2312" w:hAnsi="仿宋_GB2312" w:eastAsia="仿宋_GB2312" w:cs="仿宋_GB2312"/>
                <w:b w:val="0"/>
                <w:bCs w:val="0"/>
                <w:color w:val="auto"/>
                <w:spacing w:val="-1"/>
                <w:kern w:val="2"/>
                <w:sz w:val="24"/>
                <w:szCs w:val="24"/>
                <w:highlight w:val="none"/>
                <w:lang w:val="en-US" w:eastAsia="en-US" w:bidi="ar-SA"/>
              </w:rPr>
              <w:t>主管</w:t>
            </w:r>
            <w:r>
              <w:rPr>
                <w:rFonts w:hint="eastAsia" w:ascii="仿宋_GB2312" w:hAnsi="仿宋_GB2312" w:eastAsia="仿宋_GB2312" w:cs="仿宋_GB2312"/>
                <w:b w:val="0"/>
                <w:bCs w:val="0"/>
                <w:color w:val="auto"/>
                <w:spacing w:val="-1"/>
                <w:kern w:val="2"/>
                <w:sz w:val="24"/>
                <w:szCs w:val="24"/>
                <w:highlight w:val="none"/>
                <w:lang w:val="en-US" w:eastAsia="zh-CN" w:bidi="ar-SA"/>
              </w:rPr>
              <w:t>副场长</w:t>
            </w:r>
            <w:r>
              <w:rPr>
                <w:rFonts w:hint="eastAsia" w:ascii="仿宋_GB2312" w:hAnsi="仿宋_GB2312" w:eastAsia="仿宋_GB2312" w:cs="仿宋_GB2312"/>
                <w:b w:val="0"/>
                <w:bCs w:val="0"/>
                <w:color w:val="auto"/>
                <w:spacing w:val="-1"/>
                <w:kern w:val="2"/>
                <w:sz w:val="24"/>
                <w:szCs w:val="24"/>
                <w:highlight w:val="none"/>
                <w:lang w:val="en-US" w:eastAsia="en-US" w:bidi="ar-SA"/>
              </w:rPr>
              <w:t>审核：</w:t>
            </w:r>
          </w:p>
          <w:p w14:paraId="243ABF1E">
            <w:pPr>
              <w:keepNext w:val="0"/>
              <w:keepLines w:val="0"/>
              <w:pageBreakBefore w:val="0"/>
              <w:widowControl w:val="0"/>
              <w:kinsoku/>
              <w:wordWrap/>
              <w:overflowPunct/>
              <w:topLinePunct w:val="0"/>
              <w:autoSpaceDE/>
              <w:autoSpaceDN/>
              <w:bidi w:val="0"/>
              <w:adjustRightInd/>
              <w:snapToGrid/>
              <w:spacing w:line="395" w:lineRule="auto"/>
              <w:jc w:val="left"/>
              <w:textAlignment w:val="auto"/>
              <w:rPr>
                <w:rFonts w:hint="eastAsia" w:ascii="仿宋_GB2312" w:hAnsi="仿宋_GB2312" w:eastAsia="仿宋_GB2312" w:cs="仿宋_GB2312"/>
                <w:b w:val="0"/>
                <w:bCs w:val="0"/>
                <w:color w:val="auto"/>
                <w:sz w:val="24"/>
                <w:szCs w:val="24"/>
                <w:highlight w:val="none"/>
              </w:rPr>
            </w:pPr>
          </w:p>
          <w:p w14:paraId="09463E6F">
            <w:pPr>
              <w:keepNext w:val="0"/>
              <w:keepLines w:val="0"/>
              <w:pageBreakBefore w:val="0"/>
              <w:widowControl w:val="0"/>
              <w:kinsoku/>
              <w:wordWrap/>
              <w:overflowPunct/>
              <w:topLinePunct w:val="0"/>
              <w:autoSpaceDE/>
              <w:autoSpaceDN/>
              <w:bidi w:val="0"/>
              <w:adjustRightInd/>
              <w:snapToGrid/>
              <w:spacing w:line="220" w:lineRule="auto"/>
              <w:ind w:left="3680"/>
              <w:jc w:val="left"/>
              <w:textAlignment w:val="auto"/>
              <w:rPr>
                <w:rFonts w:hint="eastAsia" w:ascii="仿宋_GB2312" w:hAnsi="仿宋_GB2312" w:eastAsia="仿宋_GB2312" w:cs="仿宋_GB2312"/>
                <w:b w:val="0"/>
                <w:bCs w:val="0"/>
                <w:color w:val="auto"/>
                <w:kern w:val="2"/>
                <w:sz w:val="24"/>
                <w:szCs w:val="24"/>
                <w:highlight w:val="none"/>
                <w:lang w:val="en-US" w:eastAsia="en-US" w:bidi="ar-SA"/>
              </w:rPr>
            </w:pPr>
            <w:r>
              <w:rPr>
                <w:rFonts w:hint="eastAsia" w:ascii="仿宋_GB2312" w:hAnsi="仿宋_GB2312" w:eastAsia="仿宋_GB2312" w:cs="仿宋_GB2312"/>
                <w:b w:val="0"/>
                <w:bCs w:val="0"/>
                <w:color w:val="auto"/>
                <w:spacing w:val="1"/>
                <w:kern w:val="2"/>
                <w:sz w:val="24"/>
                <w:szCs w:val="24"/>
                <w:highlight w:val="none"/>
                <w:lang w:val="en-US" w:eastAsia="en-US" w:bidi="ar-SA"/>
              </w:rPr>
              <w:t>签字：             日期：</w:t>
            </w:r>
          </w:p>
        </w:tc>
      </w:tr>
      <w:tr w14:paraId="3C8E7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jc w:val="center"/>
        </w:trPr>
        <w:tc>
          <w:tcPr>
            <w:tcW w:w="940" w:type="dxa"/>
            <w:vMerge w:val="continue"/>
            <w:tcBorders>
              <w:top w:val="nil"/>
              <w:bottom w:val="nil"/>
            </w:tcBorders>
            <w:noWrap w:val="0"/>
            <w:textDirection w:val="tbRlV"/>
            <w:vAlign w:val="center"/>
          </w:tcPr>
          <w:p w14:paraId="2346819B">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color w:val="auto"/>
                <w:sz w:val="24"/>
                <w:szCs w:val="24"/>
                <w:highlight w:val="none"/>
              </w:rPr>
            </w:pPr>
          </w:p>
        </w:tc>
        <w:tc>
          <w:tcPr>
            <w:tcW w:w="7371" w:type="dxa"/>
            <w:gridSpan w:val="7"/>
            <w:noWrap w:val="0"/>
            <w:vAlign w:val="center"/>
          </w:tcPr>
          <w:p w14:paraId="55E7C520">
            <w:pPr>
              <w:keepNext w:val="0"/>
              <w:keepLines w:val="0"/>
              <w:pageBreakBefore w:val="0"/>
              <w:widowControl w:val="0"/>
              <w:kinsoku/>
              <w:wordWrap/>
              <w:overflowPunct/>
              <w:topLinePunct w:val="0"/>
              <w:autoSpaceDE/>
              <w:autoSpaceDN/>
              <w:bidi w:val="0"/>
              <w:adjustRightInd/>
              <w:snapToGrid/>
              <w:spacing w:line="219" w:lineRule="auto"/>
              <w:ind w:left="100"/>
              <w:jc w:val="left"/>
              <w:textAlignment w:val="auto"/>
              <w:rPr>
                <w:rFonts w:hint="eastAsia" w:ascii="仿宋_GB2312" w:hAnsi="仿宋_GB2312" w:eastAsia="仿宋_GB2312" w:cs="仿宋_GB2312"/>
                <w:b w:val="0"/>
                <w:bCs w:val="0"/>
                <w:color w:val="auto"/>
                <w:kern w:val="2"/>
                <w:sz w:val="24"/>
                <w:szCs w:val="24"/>
                <w:highlight w:val="none"/>
                <w:lang w:val="en-US" w:eastAsia="en-US" w:bidi="ar-SA"/>
              </w:rPr>
            </w:pPr>
            <w:r>
              <w:rPr>
                <w:rFonts w:hint="eastAsia" w:ascii="仿宋_GB2312" w:hAnsi="仿宋_GB2312" w:eastAsia="仿宋_GB2312" w:cs="仿宋_GB2312"/>
                <w:b w:val="0"/>
                <w:bCs w:val="0"/>
                <w:color w:val="auto"/>
                <w:spacing w:val="-1"/>
                <w:kern w:val="2"/>
                <w:sz w:val="24"/>
                <w:szCs w:val="24"/>
                <w:highlight w:val="none"/>
                <w:lang w:val="en-US" w:eastAsia="zh-CN" w:bidi="ar-SA"/>
              </w:rPr>
              <w:t>人力资源部门</w:t>
            </w:r>
            <w:r>
              <w:rPr>
                <w:rFonts w:hint="eastAsia" w:ascii="仿宋_GB2312" w:hAnsi="仿宋_GB2312" w:eastAsia="仿宋_GB2312" w:cs="仿宋_GB2312"/>
                <w:b w:val="0"/>
                <w:bCs w:val="0"/>
                <w:color w:val="auto"/>
                <w:spacing w:val="-1"/>
                <w:kern w:val="2"/>
                <w:sz w:val="24"/>
                <w:szCs w:val="24"/>
                <w:highlight w:val="none"/>
                <w:lang w:val="en-US" w:eastAsia="en-US" w:bidi="ar-SA"/>
              </w:rPr>
              <w:t>审核：</w:t>
            </w:r>
          </w:p>
          <w:p w14:paraId="510B8FD8">
            <w:pPr>
              <w:keepNext w:val="0"/>
              <w:keepLines w:val="0"/>
              <w:pageBreakBefore w:val="0"/>
              <w:widowControl w:val="0"/>
              <w:kinsoku/>
              <w:wordWrap/>
              <w:overflowPunct/>
              <w:topLinePunct w:val="0"/>
              <w:autoSpaceDE/>
              <w:autoSpaceDN/>
              <w:bidi w:val="0"/>
              <w:adjustRightInd/>
              <w:snapToGrid/>
              <w:spacing w:line="405" w:lineRule="auto"/>
              <w:jc w:val="left"/>
              <w:textAlignment w:val="auto"/>
              <w:rPr>
                <w:rFonts w:hint="eastAsia" w:ascii="仿宋_GB2312" w:hAnsi="仿宋_GB2312" w:eastAsia="仿宋_GB2312" w:cs="仿宋_GB2312"/>
                <w:b w:val="0"/>
                <w:bCs w:val="0"/>
                <w:color w:val="auto"/>
                <w:sz w:val="24"/>
                <w:szCs w:val="24"/>
                <w:highlight w:val="none"/>
              </w:rPr>
            </w:pPr>
          </w:p>
          <w:p w14:paraId="742A3BA2">
            <w:pPr>
              <w:keepNext w:val="0"/>
              <w:keepLines w:val="0"/>
              <w:pageBreakBefore w:val="0"/>
              <w:widowControl w:val="0"/>
              <w:kinsoku/>
              <w:wordWrap/>
              <w:overflowPunct/>
              <w:topLinePunct w:val="0"/>
              <w:autoSpaceDE/>
              <w:autoSpaceDN/>
              <w:bidi w:val="0"/>
              <w:adjustRightInd/>
              <w:snapToGrid/>
              <w:spacing w:line="220" w:lineRule="auto"/>
              <w:ind w:left="3680"/>
              <w:jc w:val="left"/>
              <w:textAlignment w:val="auto"/>
              <w:rPr>
                <w:rFonts w:hint="eastAsia" w:ascii="仿宋_GB2312" w:hAnsi="仿宋_GB2312" w:eastAsia="仿宋_GB2312" w:cs="仿宋_GB2312"/>
                <w:b w:val="0"/>
                <w:bCs w:val="0"/>
                <w:color w:val="auto"/>
                <w:kern w:val="2"/>
                <w:sz w:val="24"/>
                <w:szCs w:val="24"/>
                <w:highlight w:val="none"/>
                <w:lang w:val="en-US" w:eastAsia="en-US" w:bidi="ar-SA"/>
              </w:rPr>
            </w:pPr>
            <w:r>
              <w:rPr>
                <w:rFonts w:hint="eastAsia" w:ascii="仿宋_GB2312" w:hAnsi="仿宋_GB2312" w:eastAsia="仿宋_GB2312" w:cs="仿宋_GB2312"/>
                <w:b w:val="0"/>
                <w:bCs w:val="0"/>
                <w:color w:val="auto"/>
                <w:spacing w:val="1"/>
                <w:kern w:val="2"/>
                <w:sz w:val="24"/>
                <w:szCs w:val="24"/>
                <w:highlight w:val="none"/>
                <w:lang w:val="en-US" w:eastAsia="en-US" w:bidi="ar-SA"/>
              </w:rPr>
              <w:t>签字：             日期：</w:t>
            </w:r>
          </w:p>
        </w:tc>
      </w:tr>
      <w:tr w14:paraId="689CB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jc w:val="center"/>
        </w:trPr>
        <w:tc>
          <w:tcPr>
            <w:tcW w:w="940" w:type="dxa"/>
            <w:vMerge w:val="continue"/>
            <w:tcBorders>
              <w:top w:val="nil"/>
            </w:tcBorders>
            <w:noWrap w:val="0"/>
            <w:textDirection w:val="tbRlV"/>
            <w:vAlign w:val="center"/>
          </w:tcPr>
          <w:p w14:paraId="1E43051F">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color w:val="auto"/>
                <w:sz w:val="24"/>
                <w:szCs w:val="24"/>
                <w:highlight w:val="none"/>
              </w:rPr>
            </w:pPr>
          </w:p>
        </w:tc>
        <w:tc>
          <w:tcPr>
            <w:tcW w:w="7371" w:type="dxa"/>
            <w:gridSpan w:val="7"/>
            <w:noWrap w:val="0"/>
            <w:vAlign w:val="center"/>
          </w:tcPr>
          <w:p w14:paraId="452DA6EB">
            <w:pPr>
              <w:keepNext w:val="0"/>
              <w:keepLines w:val="0"/>
              <w:pageBreakBefore w:val="0"/>
              <w:widowControl w:val="0"/>
              <w:kinsoku/>
              <w:wordWrap/>
              <w:overflowPunct/>
              <w:topLinePunct w:val="0"/>
              <w:autoSpaceDE/>
              <w:autoSpaceDN/>
              <w:bidi w:val="0"/>
              <w:adjustRightInd/>
              <w:snapToGrid/>
              <w:spacing w:line="220" w:lineRule="auto"/>
              <w:ind w:left="90"/>
              <w:jc w:val="left"/>
              <w:textAlignment w:val="auto"/>
              <w:rPr>
                <w:rFonts w:hint="eastAsia" w:ascii="仿宋_GB2312" w:hAnsi="仿宋_GB2312" w:eastAsia="仿宋_GB2312" w:cs="仿宋_GB2312"/>
                <w:b w:val="0"/>
                <w:bCs w:val="0"/>
                <w:color w:val="auto"/>
                <w:kern w:val="2"/>
                <w:sz w:val="24"/>
                <w:szCs w:val="24"/>
                <w:highlight w:val="none"/>
                <w:lang w:val="en-US" w:eastAsia="en-US" w:bidi="ar-SA"/>
              </w:rPr>
            </w:pPr>
            <w:r>
              <w:rPr>
                <w:rFonts w:hint="eastAsia" w:ascii="仿宋_GB2312" w:hAnsi="仿宋_GB2312" w:eastAsia="仿宋_GB2312" w:cs="仿宋_GB2312"/>
                <w:b w:val="0"/>
                <w:bCs w:val="0"/>
                <w:color w:val="auto"/>
                <w:spacing w:val="-1"/>
                <w:kern w:val="2"/>
                <w:sz w:val="24"/>
                <w:szCs w:val="24"/>
                <w:highlight w:val="none"/>
                <w:lang w:val="en-US" w:eastAsia="zh-CN" w:bidi="ar-SA"/>
              </w:rPr>
              <w:t>场长</w:t>
            </w:r>
            <w:r>
              <w:rPr>
                <w:rFonts w:hint="eastAsia" w:ascii="仿宋_GB2312" w:hAnsi="仿宋_GB2312" w:eastAsia="仿宋_GB2312" w:cs="仿宋_GB2312"/>
                <w:b w:val="0"/>
                <w:bCs w:val="0"/>
                <w:color w:val="auto"/>
                <w:spacing w:val="-1"/>
                <w:kern w:val="2"/>
                <w:sz w:val="24"/>
                <w:szCs w:val="24"/>
                <w:highlight w:val="none"/>
                <w:lang w:val="en-US" w:eastAsia="en-US" w:bidi="ar-SA"/>
              </w:rPr>
              <w:t>审批：</w:t>
            </w:r>
          </w:p>
          <w:p w14:paraId="4F313C1D">
            <w:pPr>
              <w:keepNext w:val="0"/>
              <w:keepLines w:val="0"/>
              <w:pageBreakBefore w:val="0"/>
              <w:widowControl w:val="0"/>
              <w:kinsoku/>
              <w:wordWrap/>
              <w:overflowPunct/>
              <w:topLinePunct w:val="0"/>
              <w:autoSpaceDE/>
              <w:autoSpaceDN/>
              <w:bidi w:val="0"/>
              <w:adjustRightInd/>
              <w:snapToGrid/>
              <w:spacing w:line="423" w:lineRule="auto"/>
              <w:jc w:val="left"/>
              <w:textAlignment w:val="auto"/>
              <w:rPr>
                <w:rFonts w:hint="eastAsia" w:ascii="仿宋_GB2312" w:hAnsi="仿宋_GB2312" w:eastAsia="仿宋_GB2312" w:cs="仿宋_GB2312"/>
                <w:b w:val="0"/>
                <w:bCs w:val="0"/>
                <w:color w:val="auto"/>
                <w:sz w:val="24"/>
                <w:szCs w:val="24"/>
                <w:highlight w:val="none"/>
              </w:rPr>
            </w:pPr>
          </w:p>
          <w:p w14:paraId="77D208CB">
            <w:pPr>
              <w:keepNext w:val="0"/>
              <w:keepLines w:val="0"/>
              <w:pageBreakBefore w:val="0"/>
              <w:widowControl w:val="0"/>
              <w:kinsoku/>
              <w:wordWrap/>
              <w:overflowPunct/>
              <w:topLinePunct w:val="0"/>
              <w:autoSpaceDE/>
              <w:autoSpaceDN/>
              <w:bidi w:val="0"/>
              <w:adjustRightInd/>
              <w:snapToGrid/>
              <w:spacing w:line="220" w:lineRule="auto"/>
              <w:ind w:left="3690"/>
              <w:jc w:val="left"/>
              <w:textAlignment w:val="auto"/>
              <w:rPr>
                <w:rFonts w:hint="eastAsia" w:ascii="仿宋_GB2312" w:hAnsi="仿宋_GB2312" w:eastAsia="仿宋_GB2312" w:cs="仿宋_GB2312"/>
                <w:b w:val="0"/>
                <w:bCs w:val="0"/>
                <w:color w:val="auto"/>
                <w:kern w:val="2"/>
                <w:sz w:val="24"/>
                <w:szCs w:val="24"/>
                <w:highlight w:val="none"/>
                <w:lang w:val="en-US" w:eastAsia="en-US" w:bidi="ar-SA"/>
              </w:rPr>
            </w:pPr>
            <w:r>
              <w:rPr>
                <w:rFonts w:hint="eastAsia" w:ascii="仿宋_GB2312" w:hAnsi="仿宋_GB2312" w:eastAsia="仿宋_GB2312" w:cs="仿宋_GB2312"/>
                <w:b w:val="0"/>
                <w:bCs w:val="0"/>
                <w:color w:val="auto"/>
                <w:kern w:val="2"/>
                <w:sz w:val="24"/>
                <w:szCs w:val="24"/>
                <w:highlight w:val="none"/>
                <w:lang w:val="en-US" w:eastAsia="en-US" w:bidi="ar-SA"/>
              </w:rPr>
              <w:t>签字：             日期：</w:t>
            </w:r>
          </w:p>
        </w:tc>
      </w:tr>
    </w:tbl>
    <w:p w14:paraId="25D24A09">
      <w:pPr>
        <w:pageBreakBefore w:val="0"/>
        <w:numPr>
          <w:ilvl w:val="0"/>
          <w:numId w:val="0"/>
        </w:numPr>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（3）值班规定：</w:t>
      </w:r>
    </w:p>
    <w:p w14:paraId="04F4C8B1">
      <w:pPr>
        <w:pageBreakBefore w:val="0"/>
        <w:numPr>
          <w:ilvl w:val="0"/>
          <w:numId w:val="0"/>
        </w:numPr>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依据</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中华人民共</w:t>
      </w:r>
      <w:r>
        <w:rPr>
          <w:rFonts w:hint="eastAsia" w:ascii="仿宋_GB2312" w:hAnsi="仿宋_GB2312" w:eastAsia="仿宋_GB2312" w:cs="仿宋_GB2312"/>
          <w:color w:val="auto"/>
          <w:sz w:val="32"/>
          <w:szCs w:val="32"/>
          <w:highlight w:val="none"/>
          <w:lang w:eastAsia="zh-CN"/>
        </w:rPr>
        <w:t>和国劳动法</w:t>
      </w:r>
      <w:r>
        <w:rPr>
          <w:rFonts w:hint="eastAsia" w:ascii="仿宋_GB2312" w:hAnsi="仿宋_GB2312" w:eastAsia="仿宋_GB2312" w:cs="仿宋_GB2312"/>
          <w:color w:val="auto"/>
          <w:sz w:val="32"/>
          <w:szCs w:val="32"/>
          <w:highlight w:val="none"/>
        </w:rPr>
        <w:t>》及相关法律法规，</w:t>
      </w:r>
      <w:r>
        <w:rPr>
          <w:rFonts w:hint="eastAsia" w:ascii="仿宋_GB2312" w:hAnsi="仿宋_GB2312" w:eastAsia="仿宋_GB2312" w:cs="仿宋_GB2312"/>
          <w:color w:val="auto"/>
          <w:sz w:val="32"/>
          <w:szCs w:val="32"/>
          <w:highlight w:val="none"/>
          <w:lang w:val="en-US" w:eastAsia="zh-CN"/>
        </w:rPr>
        <w:t>应急及节假日值班等，根据实际情况统筹安排。</w:t>
      </w:r>
    </w:p>
    <w:p w14:paraId="04E7C1C6">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）按日及不足日计算薪酬范围</w:t>
      </w:r>
    </w:p>
    <w:p w14:paraId="55B6208E">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A新聘职工；（新聘职工当月不足月者，按实际工作天数支付工资）</w:t>
      </w:r>
    </w:p>
    <w:p w14:paraId="4236AF6A">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B离职职工；（离职人员薪酬结算与新型集体林场薪资结算同步）</w:t>
      </w:r>
    </w:p>
    <w:p w14:paraId="70C858CF">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）病/事假薪酬。（按照请假的相关规定执行，需要扣除工资者，根据相关制度按天扣除基础工资）</w:t>
      </w:r>
    </w:p>
    <w:p w14:paraId="58074D86">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法律法规</w:t>
      </w:r>
      <w:r>
        <w:rPr>
          <w:rFonts w:hint="eastAsia" w:ascii="仿宋_GB2312" w:hAnsi="仿宋_GB2312" w:eastAsia="仿宋_GB2312" w:cs="仿宋_GB2312"/>
          <w:color w:val="auto"/>
          <w:sz w:val="32"/>
          <w:szCs w:val="32"/>
          <w:highlight w:val="none"/>
        </w:rPr>
        <w:t>，规定可以从工资中扣除的其他费用。</w:t>
      </w:r>
    </w:p>
    <w:p w14:paraId="70FBE863">
      <w:pPr>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outlineLvl w:val="3"/>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4.固定薪酬全额发放</w:t>
      </w:r>
    </w:p>
    <w:p w14:paraId="6567B0DC">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（1）按照国家、北京市或有关部门规定，经批准职工休假、带薪年假、婚假、丧假、生育假等。</w:t>
      </w:r>
    </w:p>
    <w:p w14:paraId="49E800B1">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（2）由新型集体林场安排参加的脱产学习、实习、培训等。</w:t>
      </w:r>
    </w:p>
    <w:p w14:paraId="08E21297">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（3）薪酬扣除、补发项目。</w:t>
      </w:r>
    </w:p>
    <w:p w14:paraId="4AA5F664">
      <w:pPr>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outlineLvl w:val="3"/>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5.工资补发项目</w:t>
      </w:r>
    </w:p>
    <w:p w14:paraId="2F59FA4A">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（1）因核算错误而少发的部分；</w:t>
      </w:r>
    </w:p>
    <w:p w14:paraId="05587BEF">
      <w:pPr>
        <w:keepNext/>
        <w:keepLines/>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（2）新型集体林场的政策规定补发给职工的部分；</w:t>
      </w:r>
    </w:p>
    <w:p w14:paraId="328E12FC">
      <w:pPr>
        <w:keepNext/>
        <w:keepLines/>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（3）其他应付而未付的部分。</w:t>
      </w:r>
    </w:p>
    <w:p w14:paraId="725B0663">
      <w:pPr>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outlineLvl w:val="3"/>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6.个人相关扣款</w:t>
      </w:r>
    </w:p>
    <w:p w14:paraId="64DD8446">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（1）个人所得税。</w:t>
      </w:r>
    </w:p>
    <w:p w14:paraId="0AA4E1F5">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pacing w:val="-6"/>
          <w:sz w:val="32"/>
          <w:szCs w:val="32"/>
          <w:highlight w:val="none"/>
        </w:rPr>
        <w:t>由职工个人负担缴纳的各项社会保险费用和公积金。</w:t>
      </w:r>
    </w:p>
    <w:p w14:paraId="6CDA05DE">
      <w:pPr>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outlineLvl w:val="3"/>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7.试用期薪酬</w:t>
      </w:r>
    </w:p>
    <w:p w14:paraId="6FED4A31">
      <w:pPr>
        <w:pageBreakBefore w:val="0"/>
        <w:widowControl/>
        <w:kinsoku/>
        <w:wordWrap/>
        <w:overflowPunct/>
        <w:topLinePunct w:val="0"/>
        <w:autoSpaceDE/>
        <w:autoSpaceDN/>
        <w:bidi w:val="0"/>
        <w:adjustRightInd/>
        <w:spacing w:beforeAutospacing="0" w:afterAutospacing="0" w:line="560" w:lineRule="exact"/>
        <w:ind w:left="0" w:right="0" w:firstLine="640"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凡新型集体林场新进职工在试用期内薪资标准按基础工资的80%执行。</w:t>
      </w:r>
    </w:p>
    <w:p w14:paraId="557B7129">
      <w:pPr>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outlineLvl w:val="3"/>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8.薪酬调整</w:t>
      </w:r>
    </w:p>
    <w:p w14:paraId="3EA291B6">
      <w:pPr>
        <w:pageBreakBefore w:val="0"/>
        <w:widowControl/>
        <w:kinsoku/>
        <w:wordWrap/>
        <w:overflowPunct/>
        <w:topLinePunct w:val="0"/>
        <w:autoSpaceDE/>
        <w:autoSpaceDN/>
        <w:bidi w:val="0"/>
        <w:adjustRightInd/>
        <w:spacing w:beforeAutospacing="0" w:afterAutospacing="0" w:line="560" w:lineRule="exact"/>
        <w:ind w:left="0" w:right="0" w:firstLine="640"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整体调整：根据国家政策和物价水平等宏观因素的变化、行业及地区竞争状况以及新型集体林场整体效益情况而进行的调整，包括薪酬水平调整和薪酬结构调整，调整幅度根据经营状况，由综合部研究并上报上级部门审批通过。</w:t>
      </w:r>
    </w:p>
    <w:p w14:paraId="35F421A9">
      <w:pPr>
        <w:pageBreakBefore w:val="0"/>
        <w:kinsoku/>
        <w:wordWrap/>
        <w:overflowPunct/>
        <w:topLinePunct w:val="0"/>
        <w:autoSpaceDE/>
        <w:autoSpaceDN/>
        <w:bidi w:val="0"/>
        <w:adjustRightInd/>
        <w:spacing w:beforeAutospacing="0" w:afterAutospacing="0" w:line="560" w:lineRule="exact"/>
        <w:ind w:left="0" w:right="0" w:firstLine="640"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（2）个别调整：主要指薪酬级别的调整，指由于职务变动等原因对职工薪酬进行的调整及因个人工作范围、工作量、工作能力可适当增减除基础工资以外的福利待遇。</w:t>
      </w:r>
    </w:p>
    <w:p w14:paraId="023C1722">
      <w:pPr>
        <w:pageBreakBefore w:val="0"/>
        <w:widowControl/>
        <w:kinsoku/>
        <w:wordWrap/>
        <w:overflowPunct/>
        <w:topLinePunct w:val="0"/>
        <w:autoSpaceDE/>
        <w:autoSpaceDN/>
        <w:bidi w:val="0"/>
        <w:adjustRightInd/>
        <w:spacing w:beforeAutospacing="0" w:afterAutospacing="0" w:line="560" w:lineRule="exact"/>
        <w:ind w:left="0" w:right="0" w:firstLine="640"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（3）各岗位职工薪酬调整由新型集体林场</w:t>
      </w:r>
      <w:r>
        <w:rPr>
          <w:rFonts w:hint="eastAsia" w:ascii="仿宋_GB2312" w:hAnsi="仿宋_GB2312" w:eastAsia="仿宋_GB2312" w:cs="仿宋_GB2312"/>
          <w:b w:val="0"/>
          <w:bCs w:val="0"/>
          <w:color w:val="auto"/>
          <w:sz w:val="32"/>
          <w:szCs w:val="32"/>
          <w:highlight w:val="none"/>
          <w:lang w:val="en-US" w:eastAsia="zh-CN"/>
        </w:rPr>
        <w:t>人力资源部门</w:t>
      </w:r>
      <w:r>
        <w:rPr>
          <w:rFonts w:hint="eastAsia" w:ascii="仿宋_GB2312" w:hAnsi="仿宋_GB2312" w:eastAsia="仿宋_GB2312" w:cs="仿宋_GB2312"/>
          <w:b w:val="0"/>
          <w:bCs w:val="0"/>
          <w:color w:val="auto"/>
          <w:sz w:val="32"/>
          <w:szCs w:val="32"/>
          <w:highlight w:val="none"/>
        </w:rPr>
        <w:t>审批并报场长</w:t>
      </w:r>
      <w:r>
        <w:rPr>
          <w:rFonts w:hint="eastAsia" w:ascii="仿宋_GB2312" w:hAnsi="仿宋_GB2312" w:eastAsia="仿宋_GB2312" w:cs="仿宋_GB2312"/>
          <w:b w:val="0"/>
          <w:bCs w:val="0"/>
          <w:color w:val="auto"/>
          <w:sz w:val="32"/>
          <w:szCs w:val="32"/>
          <w:highlight w:val="none"/>
          <w:lang w:val="en-US" w:eastAsia="zh-CN"/>
        </w:rPr>
        <w:t>办公会</w:t>
      </w:r>
      <w:r>
        <w:rPr>
          <w:rFonts w:hint="eastAsia" w:ascii="仿宋_GB2312" w:hAnsi="仿宋_GB2312" w:eastAsia="仿宋_GB2312" w:cs="仿宋_GB2312"/>
          <w:b w:val="0"/>
          <w:bCs w:val="0"/>
          <w:color w:val="auto"/>
          <w:sz w:val="32"/>
          <w:szCs w:val="32"/>
          <w:highlight w:val="none"/>
        </w:rPr>
        <w:t>通过，审批通过的调整方案和各项薪酬发放方案由</w:t>
      </w:r>
      <w:r>
        <w:rPr>
          <w:rFonts w:hint="eastAsia" w:ascii="仿宋_GB2312" w:hAnsi="仿宋_GB2312" w:eastAsia="仿宋_GB2312" w:cs="仿宋_GB2312"/>
          <w:b w:val="0"/>
          <w:bCs w:val="0"/>
          <w:color w:val="auto"/>
          <w:sz w:val="32"/>
          <w:szCs w:val="32"/>
          <w:highlight w:val="none"/>
          <w:lang w:eastAsia="zh-CN"/>
        </w:rPr>
        <w:t>人力资源部门</w:t>
      </w:r>
      <w:r>
        <w:rPr>
          <w:rFonts w:hint="eastAsia" w:ascii="仿宋_GB2312" w:hAnsi="仿宋_GB2312" w:eastAsia="仿宋_GB2312" w:cs="仿宋_GB2312"/>
          <w:b w:val="0"/>
          <w:bCs w:val="0"/>
          <w:color w:val="auto"/>
          <w:sz w:val="32"/>
          <w:szCs w:val="32"/>
          <w:highlight w:val="none"/>
        </w:rPr>
        <w:t>及</w:t>
      </w:r>
      <w:r>
        <w:rPr>
          <w:rFonts w:hint="eastAsia" w:ascii="仿宋_GB2312" w:hAnsi="仿宋_GB2312" w:eastAsia="仿宋_GB2312" w:cs="仿宋_GB2312"/>
          <w:b w:val="0"/>
          <w:bCs w:val="0"/>
          <w:color w:val="auto"/>
          <w:sz w:val="32"/>
          <w:szCs w:val="32"/>
          <w:highlight w:val="none"/>
          <w:lang w:eastAsia="zh-CN"/>
        </w:rPr>
        <w:t>财务部门</w:t>
      </w:r>
      <w:r>
        <w:rPr>
          <w:rFonts w:hint="eastAsia" w:ascii="仿宋_GB2312" w:hAnsi="仿宋_GB2312" w:eastAsia="仿宋_GB2312" w:cs="仿宋_GB2312"/>
          <w:b w:val="0"/>
          <w:bCs w:val="0"/>
          <w:color w:val="auto"/>
          <w:sz w:val="32"/>
          <w:szCs w:val="32"/>
          <w:highlight w:val="none"/>
        </w:rPr>
        <w:t>执行。</w:t>
      </w:r>
    </w:p>
    <w:p w14:paraId="5E3A8F8E">
      <w:pPr>
        <w:pageBreakBefore w:val="0"/>
        <w:kinsoku/>
        <w:wordWrap/>
        <w:overflowPunct/>
        <w:topLinePunct w:val="0"/>
        <w:autoSpaceDE/>
        <w:autoSpaceDN/>
        <w:bidi w:val="0"/>
        <w:adjustRightInd/>
        <w:spacing w:beforeAutospacing="0" w:afterAutospacing="0" w:line="560" w:lineRule="exact"/>
        <w:ind w:left="0" w:right="0" w:firstLine="640"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（4）在月度薪酬计算期间发生岗位变动、薪级和薪</w:t>
      </w:r>
      <w:r>
        <w:rPr>
          <w:rFonts w:hint="eastAsia" w:ascii="仿宋_GB2312" w:hAnsi="仿宋_GB2312" w:eastAsia="仿宋_GB2312" w:cs="仿宋_GB2312"/>
          <w:b w:val="0"/>
          <w:bCs w:val="0"/>
          <w:color w:val="auto"/>
          <w:sz w:val="32"/>
          <w:szCs w:val="32"/>
          <w:highlight w:val="none"/>
          <w:lang w:eastAsia="zh-CN"/>
        </w:rPr>
        <w:t>酬</w:t>
      </w:r>
      <w:r>
        <w:rPr>
          <w:rFonts w:hint="eastAsia" w:ascii="仿宋_GB2312" w:hAnsi="仿宋_GB2312" w:eastAsia="仿宋_GB2312" w:cs="仿宋_GB2312"/>
          <w:b w:val="0"/>
          <w:bCs w:val="0"/>
          <w:color w:val="auto"/>
          <w:sz w:val="32"/>
          <w:szCs w:val="32"/>
          <w:highlight w:val="none"/>
        </w:rPr>
        <w:t>调整，从下一个月度调整。</w:t>
      </w:r>
    </w:p>
    <w:p w14:paraId="2C9479AE">
      <w:pPr>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outlineLvl w:val="3"/>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9.薪酬的支付</w:t>
      </w:r>
    </w:p>
    <w:p w14:paraId="7B69BA99">
      <w:pPr>
        <w:pageBreakBefore w:val="0"/>
        <w:widowControl/>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新型集体林场将按国家规定的当年月平均上班天数计算工资。</w:t>
      </w:r>
      <w:r>
        <w:rPr>
          <w:rFonts w:hint="eastAsia" w:ascii="仿宋_GB2312" w:hAnsi="仿宋_GB2312" w:eastAsia="仿宋_GB2312" w:cs="仿宋_GB2312"/>
          <w:b w:val="0"/>
          <w:bCs w:val="0"/>
          <w:color w:val="auto"/>
          <w:sz w:val="32"/>
          <w:szCs w:val="32"/>
          <w:highlight w:val="none"/>
          <w:lang w:val="en-US" w:eastAsia="zh-CN"/>
        </w:rPr>
        <w:t>按照各新型集体林场签订的劳动（劳务）合同约定的方式发放</w:t>
      </w:r>
      <w:r>
        <w:rPr>
          <w:rFonts w:hint="eastAsia" w:ascii="仿宋_GB2312" w:hAnsi="仿宋_GB2312" w:eastAsia="仿宋_GB2312" w:cs="仿宋_GB2312"/>
          <w:b w:val="0"/>
          <w:bCs w:val="0"/>
          <w:color w:val="auto"/>
          <w:sz w:val="32"/>
          <w:szCs w:val="32"/>
          <w:highlight w:val="none"/>
        </w:rPr>
        <w:t>。</w:t>
      </w:r>
    </w:p>
    <w:p w14:paraId="02AC3A0E">
      <w:pPr>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outlineLvl w:val="3"/>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10.其他说明</w:t>
      </w:r>
    </w:p>
    <w:p w14:paraId="5599B27C">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val="en-US" w:eastAsia="zh-CN"/>
        </w:rPr>
        <w:t>新型集体林场的所有薪酬支出均由银行转账支付，实行“非现金”结算，核算单位精确到分，发放到职工的工资卡中坚决杜绝“现金结算”，职工的工资卡必须是本人实名银行卡。</w:t>
      </w:r>
    </w:p>
    <w:p w14:paraId="5863C6A1">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职工提供正常劳动的前提下，新型集体林场支付给工人的薪酬不得低于北京市规定的最低工资标准的1.2倍，财政投入的平原生态林养护专项资金用于支付职工工资的占比不高于65%，并随国家政策性调整而相应调整。</w:t>
      </w:r>
    </w:p>
    <w:p w14:paraId="729C37B7">
      <w:pPr>
        <w:keepNext/>
        <w:keepLines/>
        <w:pageBreakBefore w:val="0"/>
        <w:widowControl w:val="0"/>
        <w:kinsoku/>
        <w:wordWrap/>
        <w:overflowPunct/>
        <w:topLinePunct w:val="0"/>
        <w:autoSpaceDE/>
        <w:autoSpaceDN/>
        <w:bidi w:val="0"/>
        <w:adjustRightInd/>
        <w:snapToGrid/>
        <w:spacing w:before="0" w:after="0" w:line="413" w:lineRule="auto"/>
        <w:ind w:firstLine="643" w:firstLineChars="200"/>
        <w:jc w:val="both"/>
        <w:textAlignment w:val="auto"/>
        <w:outlineLvl w:val="1"/>
        <w:rPr>
          <w:rFonts w:hint="eastAsia" w:ascii="楷体_GB2312" w:hAnsi="楷体_GB2312" w:eastAsia="楷体_GB2312" w:cs="楷体_GB2312"/>
          <w:b/>
          <w:color w:val="auto"/>
          <w:kern w:val="2"/>
          <w:sz w:val="32"/>
          <w:szCs w:val="32"/>
          <w:highlight w:val="none"/>
          <w:lang w:val="en-US" w:eastAsia="zh-CN" w:bidi="ar-SA"/>
        </w:rPr>
      </w:pPr>
      <w:bookmarkStart w:id="58" w:name="_Toc31547"/>
    </w:p>
    <w:p w14:paraId="5F04AD33">
      <w:pPr>
        <w:keepNext/>
        <w:keepLines/>
        <w:pageBreakBefore w:val="0"/>
        <w:widowControl w:val="0"/>
        <w:kinsoku/>
        <w:wordWrap/>
        <w:overflowPunct/>
        <w:topLinePunct w:val="0"/>
        <w:autoSpaceDE/>
        <w:autoSpaceDN/>
        <w:bidi w:val="0"/>
        <w:adjustRightInd/>
        <w:snapToGrid/>
        <w:spacing w:before="0" w:after="0" w:line="413" w:lineRule="auto"/>
        <w:ind w:firstLine="643" w:firstLineChars="200"/>
        <w:jc w:val="both"/>
        <w:textAlignment w:val="auto"/>
        <w:outlineLvl w:val="1"/>
        <w:rPr>
          <w:rFonts w:hint="eastAsia" w:ascii="楷体_GB2312" w:hAnsi="楷体_GB2312" w:eastAsia="楷体_GB2312" w:cs="楷体_GB2312"/>
          <w:b/>
          <w:color w:val="auto"/>
          <w:kern w:val="2"/>
          <w:sz w:val="32"/>
          <w:szCs w:val="32"/>
          <w:highlight w:val="none"/>
          <w:lang w:val="en-US" w:eastAsia="zh-CN" w:bidi="ar-SA"/>
        </w:rPr>
      </w:pPr>
      <w:r>
        <w:rPr>
          <w:rFonts w:hint="eastAsia" w:ascii="楷体_GB2312" w:hAnsi="楷体_GB2312" w:eastAsia="楷体_GB2312" w:cs="楷体_GB2312"/>
          <w:b/>
          <w:color w:val="auto"/>
          <w:kern w:val="2"/>
          <w:sz w:val="32"/>
          <w:szCs w:val="32"/>
          <w:highlight w:val="none"/>
          <w:lang w:val="en-US" w:eastAsia="zh-CN" w:bidi="ar-SA"/>
        </w:rPr>
        <w:t>（三）财务管理制度</w:t>
      </w:r>
      <w:bookmarkEnd w:id="58"/>
      <w:r>
        <w:rPr>
          <w:rFonts w:hint="eastAsia" w:ascii="楷体_GB2312" w:hAnsi="楷体_GB2312" w:eastAsia="楷体_GB2312" w:cs="楷体_GB2312"/>
          <w:b/>
          <w:color w:val="auto"/>
          <w:kern w:val="2"/>
          <w:sz w:val="32"/>
          <w:szCs w:val="32"/>
          <w:highlight w:val="none"/>
          <w:lang w:val="en-US" w:eastAsia="zh-CN" w:bidi="ar-SA"/>
        </w:rPr>
        <w:t>模板</w:t>
      </w:r>
    </w:p>
    <w:p w14:paraId="6618E435">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59" w:name="_Toc7753"/>
      <w:bookmarkStart w:id="60" w:name="_Toc19100"/>
      <w:bookmarkStart w:id="61" w:name="_Toc31244"/>
      <w:bookmarkStart w:id="62" w:name="_Toc10483"/>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第一章 总  则</w:t>
      </w:r>
      <w:bookmarkEnd w:id="59"/>
      <w:bookmarkEnd w:id="60"/>
      <w:bookmarkEnd w:id="61"/>
      <w:bookmarkEnd w:id="62"/>
    </w:p>
    <w:p w14:paraId="7CF3FC9B">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第一条 为了规范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新型集体林场的会计确认、计量和报告行为，加强林场内部财务管理，有效防范财务风险，确保新型集体林场的各项具体财务核算及其管理工作制度化，保证会计信息质量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依据新型集体林场的集体所有制性质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根据《中华人民共和国会计法》和财政部颁发的</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法律法规</w:t>
      </w:r>
      <w:r>
        <w:rPr>
          <w:rFonts w:hint="eastAsia" w:ascii="仿宋_GB2312" w:hAnsi="仿宋_GB2312" w:eastAsia="仿宋_GB2312" w:cs="仿宋_GB2312"/>
          <w:color w:val="auto"/>
          <w:sz w:val="32"/>
          <w:szCs w:val="32"/>
          <w:highlight w:val="none"/>
          <w:lang w:val="en-US" w:eastAsia="zh-CN"/>
        </w:rPr>
        <w:t>，研究制定本制度</w:t>
      </w:r>
      <w:r>
        <w:rPr>
          <w:rFonts w:hint="eastAsia" w:ascii="仿宋_GB2312" w:hAnsi="仿宋_GB2312" w:eastAsia="仿宋_GB2312" w:cs="仿宋_GB2312"/>
          <w:color w:val="auto"/>
          <w:sz w:val="32"/>
          <w:szCs w:val="32"/>
          <w:highlight w:val="none"/>
          <w:lang w:eastAsia="zh-CN"/>
        </w:rPr>
        <w:t>。</w:t>
      </w:r>
    </w:p>
    <w:p w14:paraId="46EE95ED">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第二条 本管理制度主要包括财务部门岗位职责、货币资金管理制度、费用报销管理制度、固定资产管理制度等财务制度。</w:t>
      </w:r>
      <w:r>
        <w:rPr>
          <w:rFonts w:hint="eastAsia" w:ascii="仿宋_GB2312" w:hAnsi="仿宋_GB2312" w:eastAsia="仿宋_GB2312" w:cs="仿宋_GB2312"/>
          <w:color w:val="auto"/>
          <w:sz w:val="32"/>
          <w:szCs w:val="32"/>
          <w:highlight w:val="none"/>
          <w:lang w:val="en-US" w:eastAsia="zh-CN"/>
        </w:rPr>
        <w:t>要求</w:t>
      </w:r>
      <w:r>
        <w:rPr>
          <w:rFonts w:hint="eastAsia" w:ascii="仿宋_GB2312" w:hAnsi="仿宋_GB2312" w:eastAsia="仿宋_GB2312" w:cs="仿宋_GB2312"/>
          <w:color w:val="auto"/>
          <w:sz w:val="32"/>
          <w:szCs w:val="32"/>
          <w:highlight w:val="none"/>
        </w:rPr>
        <w:t>会计、财务、出纳人员必须是专职专岗。</w:t>
      </w:r>
    </w:p>
    <w:p w14:paraId="5FB1CB50">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第三条 新型集体林场各项财务支付实行用款前申请、用款后授权审批及复核制度。各级审批、复核人须依据本制度，在授权范围内进行审批、复核，不得越权审批、复核。经办人须在职责范围内，按照有效审批、复核人意见办理货币资金领、付业务。</w:t>
      </w:r>
    </w:p>
    <w:p w14:paraId="34CB4CDC">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第四条 本办法适用于</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新型集体林场。</w:t>
      </w:r>
    </w:p>
    <w:p w14:paraId="73B799E8">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63" w:name="_Toc3782"/>
      <w:bookmarkStart w:id="64" w:name="_Toc4300"/>
      <w:bookmarkStart w:id="65" w:name="_Toc8605"/>
      <w:bookmarkStart w:id="66" w:name="_Toc17792"/>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第二章 财务部门岗位职责</w:t>
      </w:r>
      <w:bookmarkEnd w:id="63"/>
      <w:bookmarkEnd w:id="64"/>
      <w:bookmarkEnd w:id="65"/>
      <w:bookmarkEnd w:id="66"/>
    </w:p>
    <w:p w14:paraId="5375222E">
      <w:pPr>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outlineLvl w:val="3"/>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第五条 会计岗位职责</w:t>
      </w:r>
    </w:p>
    <w:p w14:paraId="457489BB">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（一）负责</w:t>
      </w:r>
      <w:r>
        <w:rPr>
          <w:rFonts w:hint="eastAsia" w:ascii="仿宋_GB2312" w:hAnsi="仿宋_GB2312" w:eastAsia="仿宋_GB2312" w:cs="仿宋_GB2312"/>
          <w:color w:val="auto"/>
          <w:sz w:val="32"/>
          <w:szCs w:val="32"/>
          <w:highlight w:val="none"/>
          <w:lang w:eastAsia="zh-CN"/>
        </w:rPr>
        <w:t>财务部门</w:t>
      </w:r>
      <w:r>
        <w:rPr>
          <w:rFonts w:hint="eastAsia" w:ascii="仿宋_GB2312" w:hAnsi="仿宋_GB2312" w:eastAsia="仿宋_GB2312" w:cs="仿宋_GB2312"/>
          <w:color w:val="auto"/>
          <w:sz w:val="32"/>
          <w:szCs w:val="32"/>
          <w:highlight w:val="none"/>
        </w:rPr>
        <w:t>的日常管理工作及资金监管工作，妥善保管网银U盾及财务章。</w:t>
      </w:r>
    </w:p>
    <w:p w14:paraId="3E62F720">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（二）根据《中华人民共和国会计法》和新型集体林场财务管理制度，执行会计核算工作，审核日常费用报销单据、记账凭证及财务报表。</w:t>
      </w:r>
    </w:p>
    <w:p w14:paraId="6223AF2E">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（三）实施账务核对、财务结账工作，做到日清月结，保证新型集体林场财务核算的准确性。</w:t>
      </w:r>
    </w:p>
    <w:p w14:paraId="22D467D0">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（四）根据税务相关法规，准确计算并按时申报各类税费，按时报送报表。及时搜集新型集体林场适用的税收优惠政策，关注新政的颁布施行，合理降低企业税负。</w:t>
      </w:r>
    </w:p>
    <w:p w14:paraId="5EB1B488">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（五）录入、编制会计凭证。</w:t>
      </w:r>
    </w:p>
    <w:p w14:paraId="4D399A6B">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（六）执行记账凭证和报表的装订、归档及保管工作。</w:t>
      </w:r>
    </w:p>
    <w:p w14:paraId="42323D5A">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（七）完成上级领导交办的其他工作任务。</w:t>
      </w:r>
    </w:p>
    <w:p w14:paraId="7926BB8B">
      <w:pPr>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第六条 出纳岗位职责</w:t>
      </w:r>
    </w:p>
    <w:p w14:paraId="56CE1C86">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（一）负责办理银行相关业务，开户、销户、领取回单、打印对账单、缴纳税费等，妥善保管网银U盾及法人私章。</w:t>
      </w:r>
    </w:p>
    <w:p w14:paraId="23B5B9B7">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（二）负责日常收支管理和登记核对，确保资金核算准确无误，按时编制银行存款余额调节表。</w:t>
      </w:r>
    </w:p>
    <w:p w14:paraId="24D4A7C7">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（三）负责新型集体林场原始单据审核报销，编制会计凭证，完成月底结账并编制财务报表。</w:t>
      </w:r>
    </w:p>
    <w:p w14:paraId="087E46B5">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（四）负责新型集体林场各类凭证、账表定期打印整理，装订成册并及时归档，按照《会计档案管理办法》妥善保管。</w:t>
      </w:r>
    </w:p>
    <w:p w14:paraId="72783542">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（五）负责银行存款、库存现金的对账工作，保证资金安全准确，做到日清月结。</w:t>
      </w:r>
    </w:p>
    <w:p w14:paraId="1FD0CBDE">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67" w:name="_Toc24108"/>
      <w:bookmarkStart w:id="68" w:name="_Toc1198"/>
      <w:bookmarkStart w:id="69" w:name="_Toc9418"/>
      <w:bookmarkStart w:id="70" w:name="_Toc3049"/>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第三章 货币资金管理制度</w:t>
      </w:r>
      <w:bookmarkEnd w:id="67"/>
      <w:bookmarkEnd w:id="68"/>
      <w:bookmarkEnd w:id="69"/>
      <w:bookmarkEnd w:id="70"/>
    </w:p>
    <w:p w14:paraId="4B917843">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bookmarkStart w:id="71" w:name="_Hlk60930141"/>
      <w:r>
        <w:rPr>
          <w:rFonts w:hint="eastAsia" w:ascii="仿宋_GB2312" w:hAnsi="仿宋_GB2312" w:eastAsia="仿宋_GB2312" w:cs="仿宋_GB2312"/>
          <w:color w:val="auto"/>
          <w:sz w:val="32"/>
          <w:szCs w:val="32"/>
          <w:highlight w:val="none"/>
        </w:rPr>
        <w:t xml:space="preserve">第七条 本制度所称货币资金是指新型集体林场所拥有的现金、银行存款和其他货币资金。 </w:t>
      </w:r>
    </w:p>
    <w:p w14:paraId="77FF4FE3">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第八条 新型集体林场必须严格遵守《现金管理暂行条例》的规定，办理货币资金支付业务要优先通过银行办理转账结算，符合《现金管理暂行条例》的规定并且确实无法办理转账结算的货币资金支付业务，才可以用现金支付。</w:t>
      </w:r>
    </w:p>
    <w:p w14:paraId="3B3CD153">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第九条 新型集体林场的资金使用必须坚持“计划在先，用款在后”。</w:t>
      </w:r>
      <w:r>
        <w:rPr>
          <w:rFonts w:hint="eastAsia" w:ascii="仿宋_GB2312" w:hAnsi="仿宋_GB2312" w:eastAsia="仿宋_GB2312" w:cs="仿宋_GB2312"/>
          <w:color w:val="auto"/>
          <w:sz w:val="32"/>
          <w:szCs w:val="32"/>
          <w:highlight w:val="none"/>
          <w:lang w:val="en-US" w:eastAsia="zh-CN"/>
        </w:rPr>
        <w:t>资金的使用计划需经场务会通过后实施，</w:t>
      </w:r>
      <w:r>
        <w:rPr>
          <w:rFonts w:hint="eastAsia" w:ascii="仿宋_GB2312" w:hAnsi="仿宋_GB2312" w:eastAsia="仿宋_GB2312" w:cs="仿宋_GB2312"/>
          <w:color w:val="auto"/>
          <w:sz w:val="32"/>
          <w:szCs w:val="32"/>
          <w:highlight w:val="none"/>
        </w:rPr>
        <w:t>具体审批流程</w:t>
      </w:r>
      <w:r>
        <w:rPr>
          <w:rFonts w:hint="eastAsia" w:ascii="仿宋_GB2312" w:hAnsi="仿宋_GB2312" w:eastAsia="仿宋_GB2312" w:cs="仿宋_GB2312"/>
          <w:color w:val="auto"/>
          <w:sz w:val="32"/>
          <w:szCs w:val="32"/>
          <w:highlight w:val="none"/>
          <w:lang w:val="en-US" w:eastAsia="zh-CN"/>
        </w:rPr>
        <w:t>参考资产采购管理制度、“三重一大”管理制度。</w:t>
      </w:r>
    </w:p>
    <w:p w14:paraId="3B6B96C8">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第十条 库存现金的管理</w:t>
      </w:r>
    </w:p>
    <w:p w14:paraId="1FB14294">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（一）按照人民银行《现金管理暂行条例》的规定，在规定范围内使用现金，不属于现金开支范围的业务应当通过银行办理转账结算。</w:t>
      </w:r>
    </w:p>
    <w:bookmarkEnd w:id="71"/>
    <w:p w14:paraId="0F250081">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（二）日常备用金开支所需现金，</w:t>
      </w:r>
      <w:r>
        <w:rPr>
          <w:rFonts w:hint="eastAsia" w:ascii="仿宋_GB2312" w:hAnsi="仿宋_GB2312" w:eastAsia="仿宋_GB2312" w:cs="仿宋_GB2312"/>
          <w:color w:val="auto"/>
          <w:sz w:val="32"/>
          <w:szCs w:val="32"/>
          <w:highlight w:val="none"/>
          <w:lang w:val="en-US" w:eastAsia="zh-CN"/>
        </w:rPr>
        <w:t>所需部门</w:t>
      </w:r>
      <w:r>
        <w:rPr>
          <w:rFonts w:hint="eastAsia" w:ascii="仿宋_GB2312" w:hAnsi="仿宋_GB2312" w:eastAsia="仿宋_GB2312" w:cs="仿宋_GB2312"/>
          <w:color w:val="auto"/>
          <w:sz w:val="32"/>
          <w:szCs w:val="32"/>
          <w:highlight w:val="none"/>
        </w:rPr>
        <w:t>提前一个工作日</w:t>
      </w:r>
      <w:r>
        <w:rPr>
          <w:rFonts w:hint="eastAsia" w:ascii="仿宋_GB2312" w:hAnsi="仿宋_GB2312" w:eastAsia="仿宋_GB2312" w:cs="仿宋_GB2312"/>
          <w:color w:val="auto"/>
          <w:sz w:val="32"/>
          <w:szCs w:val="32"/>
          <w:highlight w:val="none"/>
          <w:lang w:eastAsia="zh-CN"/>
        </w:rPr>
        <w:t>向</w:t>
      </w:r>
      <w:r>
        <w:rPr>
          <w:rFonts w:hint="eastAsia" w:ascii="仿宋_GB2312" w:hAnsi="仿宋_GB2312" w:eastAsia="仿宋_GB2312" w:cs="仿宋_GB2312"/>
          <w:color w:val="auto"/>
          <w:sz w:val="32"/>
          <w:szCs w:val="32"/>
          <w:highlight w:val="none"/>
        </w:rPr>
        <w:t xml:space="preserve">财务部门申报计划。 </w:t>
      </w:r>
    </w:p>
    <w:p w14:paraId="7616C01C">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（三）日常现金收支管理</w:t>
      </w:r>
    </w:p>
    <w:p w14:paraId="3294B69F">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所有现金收支由新型集体林场的专职出纳负责</w:t>
      </w:r>
      <w:r>
        <w:rPr>
          <w:rFonts w:hint="eastAsia" w:ascii="仿宋_GB2312" w:hAnsi="仿宋_GB2312" w:eastAsia="仿宋_GB2312" w:cs="仿宋_GB2312"/>
          <w:color w:val="auto"/>
          <w:sz w:val="32"/>
          <w:szCs w:val="32"/>
          <w:highlight w:val="none"/>
          <w:lang w:eastAsia="zh-CN"/>
        </w:rPr>
        <w:t>；</w:t>
      </w:r>
    </w:p>
    <w:p w14:paraId="476C52A8">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建立和健全《现金日记账》登记制度，做到日清月结，每月月末出纳员应将现金日记账与总账核对相符</w:t>
      </w:r>
      <w:r>
        <w:rPr>
          <w:rFonts w:hint="eastAsia" w:ascii="仿宋_GB2312" w:hAnsi="仿宋_GB2312" w:eastAsia="仿宋_GB2312" w:cs="仿宋_GB2312"/>
          <w:color w:val="auto"/>
          <w:sz w:val="32"/>
          <w:szCs w:val="32"/>
          <w:highlight w:val="none"/>
          <w:lang w:eastAsia="zh-CN"/>
        </w:rPr>
        <w:t>；</w:t>
      </w:r>
    </w:p>
    <w:p w14:paraId="609E04DF">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出纳收取现金时，须立即开具一式三联的收款收据，由</w:t>
      </w:r>
      <w:r>
        <w:rPr>
          <w:rFonts w:hint="eastAsia" w:ascii="仿宋_GB2312" w:hAnsi="仿宋_GB2312" w:eastAsia="仿宋_GB2312" w:cs="仿宋_GB2312"/>
          <w:color w:val="auto"/>
          <w:spacing w:val="-6"/>
          <w:sz w:val="32"/>
          <w:szCs w:val="32"/>
          <w:highlight w:val="none"/>
        </w:rPr>
        <w:t>缴款人在右下角签名后，交缴款人、出纳、会计各留存一联；</w:t>
      </w:r>
    </w:p>
    <w:p w14:paraId="4BB85BB2">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现金收支单据办理完毕后，出纳须在审核无误的收支凭单上签章，并在原始单据上加盖现金收讫、付讫章，防止重复报销；</w:t>
      </w:r>
    </w:p>
    <w:p w14:paraId="30B173F9">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建立收据的领用制度。领用的收据必须登记数量和起讫编号，由领用人签字，收回收据后，由保管人员办理核销手续，对空白收据应定期检查，以防止短缺；</w:t>
      </w:r>
    </w:p>
    <w:p w14:paraId="6D351C69">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实行印鉴分管制度。填写银行结算凭证的有关印鉴不能</w:t>
      </w:r>
      <w:r>
        <w:rPr>
          <w:rFonts w:hint="eastAsia" w:ascii="仿宋_GB2312" w:hAnsi="仿宋_GB2312" w:eastAsia="仿宋_GB2312" w:cs="仿宋_GB2312"/>
          <w:color w:val="auto"/>
          <w:spacing w:val="-6"/>
          <w:sz w:val="32"/>
          <w:szCs w:val="32"/>
          <w:highlight w:val="none"/>
        </w:rPr>
        <w:t>由一个人保管，签发支票和付款单据由会计和出纳分别盖章。</w:t>
      </w:r>
    </w:p>
    <w:p w14:paraId="1CB4268D">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第十一条  银行存款的管理</w:t>
      </w:r>
    </w:p>
    <w:p w14:paraId="327C1C68">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（一）银行账户必须按国家规定开设和使用，银行账户只供新型集体林场经营业务收支结算使用，严禁出借账户供外</w:t>
      </w:r>
      <w:r>
        <w:rPr>
          <w:rFonts w:hint="eastAsia" w:ascii="仿宋_GB2312" w:hAnsi="仿宋_GB2312" w:eastAsia="仿宋_GB2312" w:cs="仿宋_GB2312"/>
          <w:color w:val="auto"/>
          <w:spacing w:val="-6"/>
          <w:sz w:val="32"/>
          <w:szCs w:val="32"/>
          <w:highlight w:val="none"/>
        </w:rPr>
        <w:t>单位或个人使用，严禁为外单位或个人代收代支、转账套现。</w:t>
      </w:r>
    </w:p>
    <w:p w14:paraId="67F7D3BF">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pacing w:val="-6"/>
          <w:sz w:val="32"/>
          <w:szCs w:val="32"/>
          <w:highlight w:val="none"/>
        </w:rPr>
        <w:t>银行账户的账号必须保密，非因业务需要不准外泄。</w:t>
      </w:r>
    </w:p>
    <w:p w14:paraId="01076529">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银行账户印鉴的使用实行两章分管并用制，即：财务章由会计保管，法定代表人私章由出纳保管，不准一人统一保管使用。网上银行支付程序的制单由出纳操作，授权审批业务由会计进行操作，银行网银U盾必须由会计和出纳各执一个，不准一人统一操作。</w:t>
      </w:r>
    </w:p>
    <w:p w14:paraId="5DD7B43A">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（四）出纳人员办理银行存款收付业务，必须经常掌握各个银行账户的结余情况，并按照规定正确使用汇票、本票、支票等各种结算方式，对日常银行存款的付款事项，都必须由经办人员签字和</w:t>
      </w:r>
      <w:r>
        <w:rPr>
          <w:rFonts w:hint="eastAsia" w:ascii="仿宋_GB2312" w:hAnsi="仿宋_GB2312" w:eastAsia="仿宋_GB2312" w:cs="仿宋_GB2312"/>
          <w:color w:val="auto"/>
          <w:sz w:val="32"/>
          <w:szCs w:val="32"/>
          <w:highlight w:val="none"/>
          <w:lang w:val="en-US" w:eastAsia="zh-CN"/>
        </w:rPr>
        <w:t>场长</w:t>
      </w:r>
      <w:r>
        <w:rPr>
          <w:rFonts w:hint="eastAsia" w:ascii="仿宋_GB2312" w:hAnsi="仿宋_GB2312" w:eastAsia="仿宋_GB2312" w:cs="仿宋_GB2312"/>
          <w:color w:val="auto"/>
          <w:sz w:val="32"/>
          <w:szCs w:val="32"/>
          <w:highlight w:val="none"/>
        </w:rPr>
        <w:t>审核批准，手续齐全；财务人员应认真审核有关凭证、合同文件等的真实性、手续的完备性后再予以办理，对于一切违反</w:t>
      </w:r>
      <w:r>
        <w:rPr>
          <w:rFonts w:hint="eastAsia" w:ascii="仿宋_GB2312" w:hAnsi="仿宋_GB2312" w:eastAsia="仿宋_GB2312" w:cs="仿宋_GB2312"/>
          <w:color w:val="auto"/>
          <w:sz w:val="32"/>
          <w:szCs w:val="32"/>
          <w:highlight w:val="none"/>
          <w:lang w:eastAsia="zh-CN"/>
        </w:rPr>
        <w:t>法律法规</w:t>
      </w:r>
      <w:r>
        <w:rPr>
          <w:rFonts w:hint="eastAsia" w:ascii="仿宋_GB2312" w:hAnsi="仿宋_GB2312" w:eastAsia="仿宋_GB2312" w:cs="仿宋_GB2312"/>
          <w:color w:val="auto"/>
          <w:sz w:val="32"/>
          <w:szCs w:val="32"/>
          <w:highlight w:val="none"/>
        </w:rPr>
        <w:t>和制度规定的收支，应当拒绝办理并及时报告</w:t>
      </w:r>
      <w:r>
        <w:rPr>
          <w:rFonts w:hint="eastAsia" w:ascii="仿宋_GB2312" w:hAnsi="仿宋_GB2312" w:eastAsia="仿宋_GB2312" w:cs="仿宋_GB2312"/>
          <w:color w:val="auto"/>
          <w:sz w:val="32"/>
          <w:szCs w:val="32"/>
          <w:highlight w:val="none"/>
          <w:lang w:val="en-US" w:eastAsia="zh-CN"/>
        </w:rPr>
        <w:t>场长</w:t>
      </w:r>
      <w:r>
        <w:rPr>
          <w:rFonts w:hint="eastAsia" w:ascii="仿宋_GB2312" w:hAnsi="仿宋_GB2312" w:eastAsia="仿宋_GB2312" w:cs="仿宋_GB2312"/>
          <w:color w:val="auto"/>
          <w:sz w:val="32"/>
          <w:szCs w:val="32"/>
          <w:highlight w:val="none"/>
        </w:rPr>
        <w:t xml:space="preserve">进行处理。 </w:t>
      </w:r>
    </w:p>
    <w:p w14:paraId="70946DA5">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（五）银行支票的使用规定</w:t>
      </w:r>
    </w:p>
    <w:p w14:paraId="491B3442">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经办人员到</w:t>
      </w:r>
      <w:r>
        <w:rPr>
          <w:rFonts w:hint="eastAsia" w:ascii="仿宋_GB2312" w:hAnsi="仿宋_GB2312" w:eastAsia="仿宋_GB2312" w:cs="仿宋_GB2312"/>
          <w:color w:val="auto"/>
          <w:sz w:val="32"/>
          <w:szCs w:val="32"/>
          <w:highlight w:val="none"/>
          <w:lang w:eastAsia="zh-CN"/>
        </w:rPr>
        <w:t>财务部门</w:t>
      </w:r>
      <w:r>
        <w:rPr>
          <w:rFonts w:hint="eastAsia" w:ascii="仿宋_GB2312" w:hAnsi="仿宋_GB2312" w:eastAsia="仿宋_GB2312" w:cs="仿宋_GB2312"/>
          <w:color w:val="auto"/>
          <w:sz w:val="32"/>
          <w:szCs w:val="32"/>
          <w:highlight w:val="none"/>
        </w:rPr>
        <w:t>领用银行支票，必须凭付款审批单，写明用途、金额、日期，由部门负责人，财务审核人，</w:t>
      </w:r>
      <w:r>
        <w:rPr>
          <w:rFonts w:hint="eastAsia" w:ascii="仿宋_GB2312" w:hAnsi="仿宋_GB2312" w:eastAsia="仿宋_GB2312" w:cs="仿宋_GB2312"/>
          <w:color w:val="auto"/>
          <w:sz w:val="32"/>
          <w:szCs w:val="32"/>
          <w:highlight w:val="none"/>
          <w:lang w:val="en-US" w:eastAsia="zh-CN"/>
        </w:rPr>
        <w:t>场长</w:t>
      </w:r>
      <w:r>
        <w:rPr>
          <w:rFonts w:hint="eastAsia" w:ascii="仿宋_GB2312" w:hAnsi="仿宋_GB2312" w:eastAsia="仿宋_GB2312" w:cs="仿宋_GB2312"/>
          <w:color w:val="auto"/>
          <w:sz w:val="32"/>
          <w:szCs w:val="32"/>
          <w:highlight w:val="none"/>
        </w:rPr>
        <w:t>及经办人签字；</w:t>
      </w:r>
    </w:p>
    <w:p w14:paraId="74D21DBF">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出纳签发银行支票，要求经办人员同时在银行支票复印件和使用登记簿上签字签收，登记银行支票号码、金额、收款人；</w:t>
      </w:r>
    </w:p>
    <w:p w14:paraId="123217C3">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签发银行支票必须按照要求填上日期、大小写金额、收款人、用途等，不得签发空白支票、空头支票；</w:t>
      </w:r>
    </w:p>
    <w:p w14:paraId="4B041939">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经办人员收到支票应及时到财务部门办理入账手续。</w:t>
      </w:r>
    </w:p>
    <w:p w14:paraId="302F6182">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（六）财务部门出纳人员负责保管各种空白支票，包括转账支票、现金支票等银行结算票据；新型集体林场票据不得外借，不得丢失。 </w:t>
      </w:r>
    </w:p>
    <w:p w14:paraId="65900016">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（七）出纳每月月末应将银行存款日记账的账面余额与开户银行对账单的余额进行核对，对未达账项应编制“银行存款余额调节表”，由财务会计进行检查核对。如调节后不符，应查明原因，及时上报处理。</w:t>
      </w:r>
    </w:p>
    <w:p w14:paraId="0AE81BD6">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72" w:name="_Toc12369"/>
      <w:bookmarkStart w:id="73" w:name="_Toc3535"/>
      <w:bookmarkStart w:id="74" w:name="_Toc8066"/>
      <w:bookmarkStart w:id="75" w:name="_Toc22036"/>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第四章 费用管理制度</w:t>
      </w:r>
      <w:bookmarkEnd w:id="72"/>
      <w:bookmarkEnd w:id="73"/>
      <w:bookmarkEnd w:id="74"/>
      <w:bookmarkEnd w:id="75"/>
    </w:p>
    <w:p w14:paraId="23BA62DF">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第十二条 本制度所指费用包括新型集体林场各部门如下费用：职工薪资、职工培训费、福利费、办公费、邮寄费、通讯费、保险费、差旅费、业务费、运杂费、银行手续费、税费、物资采买费用等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财务上分制造费用、管理费用、财务费用分别进行核算。 </w:t>
      </w:r>
    </w:p>
    <w:p w14:paraId="33712EA1">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第十三条 新型集体林场对各部门费用实行部门负责制度，各项费用在报销后按部门进行明细分类核算，以便统计各部门费用具体情况。</w:t>
      </w:r>
    </w:p>
    <w:p w14:paraId="6ABDC63A">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第十四条 费用开支和报销的原则</w:t>
      </w:r>
    </w:p>
    <w:p w14:paraId="147B44D1">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（一）节约使用、发挥效用，取得效益；</w:t>
      </w:r>
    </w:p>
    <w:p w14:paraId="0FEB0C98">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（二）综合考虑工作的实际需要与新型集体林场的负担能力；</w:t>
      </w:r>
    </w:p>
    <w:p w14:paraId="62CE4F8B">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（三）分级审批、严格监督。</w:t>
      </w:r>
    </w:p>
    <w:p w14:paraId="0213FA23">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第十五条 员工薪酬费用指员工的工资费用、福利费用、社会保险及其他工资性费用，由</w:t>
      </w:r>
      <w:r>
        <w:rPr>
          <w:rFonts w:hint="eastAsia" w:ascii="仿宋_GB2312" w:hAnsi="仿宋_GB2312" w:eastAsia="仿宋_GB2312" w:cs="仿宋_GB2312"/>
          <w:color w:val="auto"/>
          <w:sz w:val="32"/>
          <w:szCs w:val="32"/>
          <w:highlight w:val="none"/>
          <w:lang w:eastAsia="zh-CN"/>
        </w:rPr>
        <w:t>人力资源部门</w:t>
      </w:r>
      <w:r>
        <w:rPr>
          <w:rFonts w:hint="eastAsia" w:ascii="仿宋_GB2312" w:hAnsi="仿宋_GB2312" w:eastAsia="仿宋_GB2312" w:cs="仿宋_GB2312"/>
          <w:color w:val="auto"/>
          <w:sz w:val="32"/>
          <w:szCs w:val="32"/>
          <w:highlight w:val="none"/>
          <w:lang w:val="en-US" w:eastAsia="zh-CN"/>
        </w:rPr>
        <w:t>负责人</w:t>
      </w:r>
      <w:r>
        <w:rPr>
          <w:rFonts w:hint="eastAsia" w:ascii="仿宋_GB2312" w:hAnsi="仿宋_GB2312" w:eastAsia="仿宋_GB2312" w:cs="仿宋_GB2312"/>
          <w:color w:val="auto"/>
          <w:sz w:val="32"/>
          <w:szCs w:val="32"/>
          <w:highlight w:val="none"/>
        </w:rPr>
        <w:t>进行开支管理，开支时必须经</w:t>
      </w:r>
      <w:r>
        <w:rPr>
          <w:rFonts w:hint="eastAsia" w:ascii="仿宋_GB2312" w:hAnsi="仿宋_GB2312" w:eastAsia="仿宋_GB2312" w:cs="仿宋_GB2312"/>
          <w:color w:val="auto"/>
          <w:sz w:val="32"/>
          <w:szCs w:val="32"/>
          <w:highlight w:val="none"/>
          <w:lang w:eastAsia="zh-CN"/>
        </w:rPr>
        <w:t>人力资源部门</w:t>
      </w:r>
      <w:r>
        <w:rPr>
          <w:rFonts w:hint="eastAsia" w:ascii="仿宋_GB2312" w:hAnsi="仿宋_GB2312" w:eastAsia="仿宋_GB2312" w:cs="仿宋_GB2312"/>
          <w:color w:val="auto"/>
          <w:sz w:val="32"/>
          <w:szCs w:val="32"/>
          <w:highlight w:val="none"/>
          <w:lang w:val="en-US" w:eastAsia="zh-CN"/>
        </w:rPr>
        <w:t>负责人</w:t>
      </w:r>
      <w:r>
        <w:rPr>
          <w:rFonts w:hint="eastAsia" w:ascii="仿宋_GB2312" w:hAnsi="仿宋_GB2312" w:eastAsia="仿宋_GB2312" w:cs="仿宋_GB2312"/>
          <w:color w:val="auto"/>
          <w:sz w:val="32"/>
          <w:szCs w:val="32"/>
          <w:highlight w:val="none"/>
        </w:rPr>
        <w:t xml:space="preserve">批准。 </w:t>
      </w:r>
    </w:p>
    <w:p w14:paraId="636AD053">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第十六条 办公用品费的管理规定 </w:t>
      </w:r>
    </w:p>
    <w:p w14:paraId="32FFD35B">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（一）办公用品是指不作为低值易耗品核算、单位价值较低、使用年限在一年以下的非生产用物品；</w:t>
      </w:r>
    </w:p>
    <w:p w14:paraId="05D2EB52">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（二）办公用品统一由综合</w:t>
      </w:r>
      <w:r>
        <w:rPr>
          <w:rFonts w:hint="eastAsia" w:ascii="仿宋_GB2312" w:hAnsi="仿宋_GB2312" w:eastAsia="仿宋_GB2312" w:cs="仿宋_GB2312"/>
          <w:color w:val="auto"/>
          <w:sz w:val="32"/>
          <w:szCs w:val="32"/>
          <w:highlight w:val="none"/>
          <w:lang w:val="en-US" w:eastAsia="zh-CN"/>
        </w:rPr>
        <w:t>部</w:t>
      </w:r>
      <w:r>
        <w:rPr>
          <w:rFonts w:hint="eastAsia" w:ascii="仿宋_GB2312" w:hAnsi="仿宋_GB2312" w:eastAsia="仿宋_GB2312" w:cs="仿宋_GB2312"/>
          <w:color w:val="auto"/>
          <w:sz w:val="32"/>
          <w:szCs w:val="32"/>
          <w:highlight w:val="none"/>
        </w:rPr>
        <w:t>指派专人进行管理，负责办公用品的计划、购买，综合</w:t>
      </w:r>
      <w:r>
        <w:rPr>
          <w:rFonts w:hint="eastAsia" w:ascii="仿宋_GB2312" w:hAnsi="仿宋_GB2312" w:eastAsia="仿宋_GB2312" w:cs="仿宋_GB2312"/>
          <w:color w:val="auto"/>
          <w:sz w:val="32"/>
          <w:szCs w:val="32"/>
          <w:highlight w:val="none"/>
          <w:lang w:val="en-US" w:eastAsia="zh-CN"/>
        </w:rPr>
        <w:t>部</w:t>
      </w:r>
      <w:r>
        <w:rPr>
          <w:rFonts w:hint="eastAsia" w:ascii="仿宋_GB2312" w:hAnsi="仿宋_GB2312" w:eastAsia="仿宋_GB2312" w:cs="仿宋_GB2312"/>
          <w:color w:val="auto"/>
          <w:sz w:val="32"/>
          <w:szCs w:val="32"/>
          <w:highlight w:val="none"/>
        </w:rPr>
        <w:t>物品管理员负责发放；</w:t>
      </w:r>
    </w:p>
    <w:p w14:paraId="04A9D283">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（三）办公用品费的报销：购买办公用品的费用由物品管理员负责申请，综合</w:t>
      </w:r>
      <w:r>
        <w:rPr>
          <w:rFonts w:hint="eastAsia" w:ascii="仿宋_GB2312" w:hAnsi="仿宋_GB2312" w:eastAsia="仿宋_GB2312" w:cs="仿宋_GB2312"/>
          <w:color w:val="auto"/>
          <w:sz w:val="32"/>
          <w:szCs w:val="32"/>
          <w:highlight w:val="none"/>
          <w:lang w:val="en-US" w:eastAsia="zh-CN"/>
        </w:rPr>
        <w:t>部负责人</w:t>
      </w:r>
      <w:r>
        <w:rPr>
          <w:rFonts w:hint="eastAsia" w:ascii="仿宋_GB2312" w:hAnsi="仿宋_GB2312" w:eastAsia="仿宋_GB2312" w:cs="仿宋_GB2312"/>
          <w:color w:val="auto"/>
          <w:sz w:val="32"/>
          <w:szCs w:val="32"/>
          <w:highlight w:val="none"/>
        </w:rPr>
        <w:t>审核，按正常报销流程进行审批。</w:t>
      </w:r>
    </w:p>
    <w:p w14:paraId="709AAD8F">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第十七条 汽车费用管理规定</w:t>
      </w:r>
    </w:p>
    <w:p w14:paraId="799D0DA8">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（一）新型集体林场车辆使用由</w:t>
      </w:r>
      <w:r>
        <w:rPr>
          <w:rFonts w:hint="eastAsia" w:ascii="仿宋_GB2312" w:hAnsi="仿宋_GB2312" w:eastAsia="仿宋_GB2312" w:cs="仿宋_GB2312"/>
          <w:color w:val="auto"/>
          <w:sz w:val="32"/>
          <w:szCs w:val="32"/>
          <w:highlight w:val="none"/>
          <w:lang w:eastAsia="zh-CN"/>
        </w:rPr>
        <w:t>综合部</w:t>
      </w:r>
      <w:r>
        <w:rPr>
          <w:rFonts w:hint="eastAsia" w:ascii="仿宋_GB2312" w:hAnsi="仿宋_GB2312" w:eastAsia="仿宋_GB2312" w:cs="仿宋_GB2312"/>
          <w:color w:val="auto"/>
          <w:sz w:val="32"/>
          <w:szCs w:val="32"/>
          <w:highlight w:val="none"/>
        </w:rPr>
        <w:t xml:space="preserve">统一管理，应指定维修点，维修费用一般采取银行转账的方式进行结算； </w:t>
      </w:r>
    </w:p>
    <w:p w14:paraId="27705C2C">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（二）车辆的保险费由</w:t>
      </w:r>
      <w:r>
        <w:rPr>
          <w:rFonts w:hint="eastAsia" w:ascii="仿宋_GB2312" w:hAnsi="仿宋_GB2312" w:eastAsia="仿宋_GB2312" w:cs="仿宋_GB2312"/>
          <w:color w:val="auto"/>
          <w:sz w:val="32"/>
          <w:szCs w:val="32"/>
          <w:highlight w:val="none"/>
          <w:lang w:eastAsia="zh-CN"/>
        </w:rPr>
        <w:t>综合部</w:t>
      </w:r>
      <w:r>
        <w:rPr>
          <w:rFonts w:hint="eastAsia" w:ascii="仿宋_GB2312" w:hAnsi="仿宋_GB2312" w:eastAsia="仿宋_GB2312" w:cs="仿宋_GB2312"/>
          <w:color w:val="auto"/>
          <w:sz w:val="32"/>
          <w:szCs w:val="32"/>
          <w:highlight w:val="none"/>
        </w:rPr>
        <w:t>统一安排，同样采取银行转账的方式结算；</w:t>
      </w:r>
    </w:p>
    <w:p w14:paraId="4FB0F4C7">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（三）新型集体林场加油费用由</w:t>
      </w:r>
      <w:r>
        <w:rPr>
          <w:rFonts w:hint="eastAsia" w:ascii="仿宋_GB2312" w:hAnsi="仿宋_GB2312" w:eastAsia="仿宋_GB2312" w:cs="仿宋_GB2312"/>
          <w:color w:val="auto"/>
          <w:sz w:val="32"/>
          <w:szCs w:val="32"/>
          <w:highlight w:val="none"/>
          <w:lang w:eastAsia="zh-CN"/>
        </w:rPr>
        <w:t>财务部门</w:t>
      </w:r>
      <w:r>
        <w:rPr>
          <w:rFonts w:hint="eastAsia" w:ascii="仿宋_GB2312" w:hAnsi="仿宋_GB2312" w:eastAsia="仿宋_GB2312" w:cs="仿宋_GB2312"/>
          <w:color w:val="auto"/>
          <w:sz w:val="32"/>
          <w:szCs w:val="32"/>
          <w:highlight w:val="none"/>
        </w:rPr>
        <w:t>统一办理加油卡，</w:t>
      </w:r>
      <w:r>
        <w:rPr>
          <w:rFonts w:hint="eastAsia" w:ascii="仿宋_GB2312" w:hAnsi="仿宋_GB2312" w:eastAsia="仿宋_GB2312" w:cs="仿宋_GB2312"/>
          <w:color w:val="auto"/>
          <w:sz w:val="32"/>
          <w:szCs w:val="32"/>
          <w:highlight w:val="none"/>
          <w:lang w:eastAsia="zh-CN"/>
        </w:rPr>
        <w:t>综合部</w:t>
      </w:r>
      <w:r>
        <w:rPr>
          <w:rFonts w:hint="eastAsia" w:ascii="仿宋_GB2312" w:hAnsi="仿宋_GB2312" w:eastAsia="仿宋_GB2312" w:cs="仿宋_GB2312"/>
          <w:color w:val="auto"/>
          <w:sz w:val="32"/>
          <w:szCs w:val="32"/>
          <w:highlight w:val="none"/>
        </w:rPr>
        <w:t>保管，按照车号管理加油卡，一车一卡密码设定，加油费直接对公银行转账</w:t>
      </w:r>
      <w:r>
        <w:rPr>
          <w:rFonts w:hint="eastAsia" w:ascii="仿宋_GB2312" w:hAnsi="仿宋_GB2312" w:eastAsia="仿宋_GB2312" w:cs="仿宋_GB2312"/>
          <w:color w:val="auto"/>
          <w:sz w:val="32"/>
          <w:szCs w:val="32"/>
          <w:highlight w:val="none"/>
          <w:lang w:eastAsia="zh-CN"/>
        </w:rPr>
        <w:t>；</w:t>
      </w:r>
    </w:p>
    <w:p w14:paraId="53E5F14A">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四）非道路移动机械所用油品遵循实名登记购销制度，建立用油台账。新型集体林场应积极推广使用节能环保型、新能源型非道路移动机械。</w:t>
      </w:r>
    </w:p>
    <w:p w14:paraId="3E7118AF">
      <w:pPr>
        <w:pageBreakBefore w:val="0"/>
        <w:numPr>
          <w:ilvl w:val="0"/>
          <w:numId w:val="0"/>
        </w:numPr>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第十八条 机械设备租赁管理</w:t>
      </w:r>
    </w:p>
    <w:p w14:paraId="59738481">
      <w:pPr>
        <w:pageBreakBefore w:val="0"/>
        <w:numPr>
          <w:ilvl w:val="0"/>
          <w:numId w:val="0"/>
        </w:numPr>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（一）为规范机械设备租赁行为，加强机械设备租赁管理工作，明确各环节中责任人的职责，防止盲目租用导致成本增加，确保机械设备的租赁可控有序。</w:t>
      </w:r>
    </w:p>
    <w:p w14:paraId="1EF43BE5">
      <w:pPr>
        <w:pageBreakBefore w:val="0"/>
        <w:numPr>
          <w:ilvl w:val="0"/>
          <w:numId w:val="0"/>
        </w:numPr>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新型集体林场</w:t>
      </w:r>
      <w:r>
        <w:rPr>
          <w:rFonts w:hint="eastAsia" w:ascii="仿宋_GB2312" w:hAnsi="仿宋_GB2312" w:eastAsia="仿宋_GB2312" w:cs="仿宋_GB2312"/>
          <w:color w:val="auto"/>
          <w:sz w:val="32"/>
          <w:szCs w:val="32"/>
          <w:highlight w:val="none"/>
          <w:lang w:val="en-US" w:eastAsia="zh-CN"/>
        </w:rPr>
        <w:t>机械设备需租赁时，需先填写机械租赁申请表，申请表内容至少包括：机械设备名称、规格、数量、使用时间、工作内容、申请人、申请部门、审批人等，经过场务会审核通过后方可租赁。</w:t>
      </w:r>
    </w:p>
    <w:p w14:paraId="1D714CDD">
      <w:pPr>
        <w:pageBreakBefore w:val="0"/>
        <w:numPr>
          <w:ilvl w:val="0"/>
          <w:numId w:val="0"/>
        </w:numPr>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（三）租赁设备的服务商选用流程参照《固定资产采购制度》中服务商的选用流程。</w:t>
      </w:r>
    </w:p>
    <w:p w14:paraId="5D385B23">
      <w:pPr>
        <w:pageBreakBefore w:val="0"/>
        <w:numPr>
          <w:ilvl w:val="0"/>
          <w:numId w:val="0"/>
        </w:numPr>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新型集体林场</w:t>
      </w:r>
      <w:r>
        <w:rPr>
          <w:rFonts w:hint="eastAsia" w:ascii="仿宋_GB2312" w:hAnsi="仿宋_GB2312" w:eastAsia="仿宋_GB2312" w:cs="仿宋_GB2312"/>
          <w:color w:val="auto"/>
          <w:sz w:val="32"/>
          <w:szCs w:val="32"/>
          <w:highlight w:val="none"/>
          <w:lang w:val="en-US" w:eastAsia="zh-CN"/>
        </w:rPr>
        <w:t>租赁设备必须签订租赁合同，并建立租赁档案。</w:t>
      </w:r>
    </w:p>
    <w:p w14:paraId="4FA9CB39">
      <w:pPr>
        <w:pageBreakBefore w:val="0"/>
        <w:numPr>
          <w:ilvl w:val="0"/>
          <w:numId w:val="0"/>
        </w:numPr>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（五）租用设备使用时需填写使用记录台账，根据使用记录台账核算租赁成本，及时退租超额的租赁设备。</w:t>
      </w:r>
    </w:p>
    <w:p w14:paraId="5972054E">
      <w:pPr>
        <w:pageBreakBefore w:val="0"/>
        <w:numPr>
          <w:ilvl w:val="0"/>
          <w:numId w:val="0"/>
        </w:numPr>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（六）主管副场长对租赁的机械设备的使用、调度进行统筹，场长进行监督并负责。</w:t>
      </w:r>
    </w:p>
    <w:p w14:paraId="1A466529">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rPr>
        <w:t>条 办公电话费和网费管理规定</w:t>
      </w:r>
    </w:p>
    <w:p w14:paraId="153EAB44">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（一）办公固定电话费用和网费由</w:t>
      </w:r>
      <w:r>
        <w:rPr>
          <w:rFonts w:hint="eastAsia" w:ascii="仿宋_GB2312" w:hAnsi="仿宋_GB2312" w:eastAsia="仿宋_GB2312" w:cs="仿宋_GB2312"/>
          <w:color w:val="auto"/>
          <w:sz w:val="32"/>
          <w:szCs w:val="32"/>
          <w:highlight w:val="none"/>
          <w:lang w:eastAsia="zh-CN"/>
        </w:rPr>
        <w:t>综合部</w:t>
      </w:r>
      <w:r>
        <w:rPr>
          <w:rFonts w:hint="eastAsia" w:ascii="仿宋_GB2312" w:hAnsi="仿宋_GB2312" w:eastAsia="仿宋_GB2312" w:cs="仿宋_GB2312"/>
          <w:color w:val="auto"/>
          <w:sz w:val="32"/>
          <w:szCs w:val="32"/>
          <w:highlight w:val="none"/>
        </w:rPr>
        <w:t>统一办理缴费、费用归入</w:t>
      </w:r>
      <w:r>
        <w:rPr>
          <w:rFonts w:hint="eastAsia" w:ascii="仿宋_GB2312" w:hAnsi="仿宋_GB2312" w:eastAsia="仿宋_GB2312" w:cs="仿宋_GB2312"/>
          <w:color w:val="auto"/>
          <w:sz w:val="32"/>
          <w:szCs w:val="32"/>
          <w:highlight w:val="none"/>
          <w:lang w:eastAsia="zh-CN"/>
        </w:rPr>
        <w:t>综合部</w:t>
      </w:r>
      <w:r>
        <w:rPr>
          <w:rFonts w:hint="eastAsia" w:ascii="仿宋_GB2312" w:hAnsi="仿宋_GB2312" w:eastAsia="仿宋_GB2312" w:cs="仿宋_GB2312"/>
          <w:color w:val="auto"/>
          <w:sz w:val="32"/>
          <w:szCs w:val="32"/>
          <w:highlight w:val="none"/>
        </w:rPr>
        <w:t>；</w:t>
      </w:r>
    </w:p>
    <w:p w14:paraId="5C5C60FA">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综合部</w:t>
      </w:r>
      <w:r>
        <w:rPr>
          <w:rFonts w:hint="eastAsia" w:ascii="仿宋_GB2312" w:hAnsi="仿宋_GB2312" w:eastAsia="仿宋_GB2312" w:cs="仿宋_GB2312"/>
          <w:color w:val="auto"/>
          <w:sz w:val="32"/>
          <w:szCs w:val="32"/>
          <w:highlight w:val="none"/>
        </w:rPr>
        <w:t>用</w:t>
      </w:r>
      <w:r>
        <w:rPr>
          <w:rFonts w:hint="eastAsia" w:ascii="仿宋_GB2312" w:hAnsi="仿宋_GB2312" w:eastAsia="仿宋_GB2312" w:cs="仿宋_GB2312"/>
          <w:color w:val="auto"/>
          <w:sz w:val="32"/>
          <w:szCs w:val="32"/>
          <w:highlight w:val="none"/>
          <w:lang w:val="en-US" w:eastAsia="zh-CN"/>
        </w:rPr>
        <w:t>合法票据</w:t>
      </w:r>
      <w:r>
        <w:rPr>
          <w:rFonts w:hint="eastAsia" w:ascii="仿宋_GB2312" w:hAnsi="仿宋_GB2312" w:eastAsia="仿宋_GB2312" w:cs="仿宋_GB2312"/>
          <w:color w:val="auto"/>
          <w:sz w:val="32"/>
          <w:szCs w:val="32"/>
          <w:highlight w:val="none"/>
        </w:rPr>
        <w:t>进行报销。</w:t>
      </w:r>
    </w:p>
    <w:p w14:paraId="29FF34F9">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二十</w:t>
      </w:r>
      <w:r>
        <w:rPr>
          <w:rFonts w:hint="eastAsia" w:ascii="仿宋_GB2312" w:hAnsi="仿宋_GB2312" w:eastAsia="仿宋_GB2312" w:cs="仿宋_GB2312"/>
          <w:color w:val="auto"/>
          <w:sz w:val="32"/>
          <w:szCs w:val="32"/>
          <w:highlight w:val="none"/>
        </w:rPr>
        <w:t>条 费用报销管理规定</w:t>
      </w:r>
    </w:p>
    <w:p w14:paraId="7990FC47">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（一）报销方式：财务部</w:t>
      </w:r>
      <w:r>
        <w:rPr>
          <w:rFonts w:hint="eastAsia" w:ascii="仿宋_GB2312" w:hAnsi="仿宋_GB2312" w:eastAsia="仿宋_GB2312" w:cs="仿宋_GB2312"/>
          <w:color w:val="auto"/>
          <w:sz w:val="32"/>
          <w:szCs w:val="32"/>
          <w:highlight w:val="none"/>
          <w:lang w:val="en-US" w:eastAsia="zh-CN"/>
        </w:rPr>
        <w:t>门</w:t>
      </w:r>
      <w:r>
        <w:rPr>
          <w:rFonts w:hint="eastAsia" w:ascii="仿宋_GB2312" w:hAnsi="仿宋_GB2312" w:eastAsia="仿宋_GB2312" w:cs="仿宋_GB2312"/>
          <w:color w:val="auto"/>
          <w:sz w:val="32"/>
          <w:szCs w:val="32"/>
          <w:highlight w:val="none"/>
        </w:rPr>
        <w:t>按批准金额给予现金支付或银行转账，无特殊情况采取银行转账方式。</w:t>
      </w:r>
    </w:p>
    <w:p w14:paraId="2A380DAA">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（二）报销要求：</w:t>
      </w:r>
    </w:p>
    <w:p w14:paraId="5BF14491">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 xml:space="preserve">报销凭据的基本要求：真实可靠、内容完整、填制及时、书写清楚。①票据粘贴要平整美观，且分类排列汇总统计数量和金额；②书写要清晰，计算要正确，不得涂改；③票据真实合法，票据上的大小写金额要一致； ④报销审批手续齐全。 </w:t>
      </w:r>
    </w:p>
    <w:p w14:paraId="307C3ED7">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费用发生时应取得合法、正确、规范的正式票据，不得用代票、白条报账。①正式票据是指当地税务部门监制的在有效期内的工业企业、商业、服务业等行业开具的发票或当地财政部门监制的在有效期内的行政事业性基金票据和收款收据。②由单位开具的报销凭据，必须盖有填制单位的发票专用章，发票抬头必须包含“</w:t>
      </w:r>
      <w:r>
        <w:rPr>
          <w:rFonts w:hint="eastAsia" w:ascii="仿宋_GB2312" w:hAnsi="仿宋_GB2312" w:eastAsia="仿宋_GB2312" w:cs="仿宋_GB2312"/>
          <w:color w:val="auto"/>
          <w:sz w:val="32"/>
          <w:szCs w:val="32"/>
          <w:highlight w:val="none"/>
          <w:lang w:val="en-US" w:eastAsia="zh-CN"/>
        </w:rPr>
        <w:t>北京（市）</w:t>
      </w:r>
      <w:r>
        <w:rPr>
          <w:rFonts w:hint="eastAsia" w:ascii="仿宋_GB2312" w:hAnsi="仿宋_GB2312" w:eastAsia="仿宋_GB2312" w:cs="仿宋_GB2312"/>
          <w:color w:val="auto"/>
          <w:sz w:val="32"/>
          <w:szCs w:val="32"/>
          <w:highlight w:val="none"/>
        </w:rPr>
        <w:t>通州</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XXX</w:t>
      </w:r>
      <w:r>
        <w:rPr>
          <w:rFonts w:hint="eastAsia" w:ascii="仿宋_GB2312" w:hAnsi="仿宋_GB2312" w:eastAsia="仿宋_GB2312" w:cs="仿宋_GB2312"/>
          <w:color w:val="auto"/>
          <w:sz w:val="32"/>
          <w:szCs w:val="32"/>
          <w:highlight w:val="none"/>
        </w:rPr>
        <w:t>新型集体林场”全称及发票日期。</w:t>
      </w:r>
    </w:p>
    <w:p w14:paraId="2CDE726A">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购买材料或消费品的单据在“品名”栏内不能填写诸如“办公用品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电脑耗材”之类；“数量”栏内不能填写“一批”，购买物品种类较多时，机打发票或卷式发票可按照上述方式开具，但必须附物品清单，应注明物品名称、计量单位、数量、单价及金额，并加盖售货单位发票专用章；增值税发票必须附上税控系统生成的销售货物或劳务清单，并加盖发票专用章。</w:t>
      </w:r>
    </w:p>
    <w:p w14:paraId="203EDA9F">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（三）报销使用单据：差旅费使用《差旅费报销单》并附领导审批，其他使用《费用报销单》并附有关批准报告。对公付款业务选择《付款通知单》，如个人因特殊情况需要提前借支款项，填写《借款单》。</w:t>
      </w:r>
    </w:p>
    <w:p w14:paraId="0D539192">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）审批流程：所有支付票据、附件等，必须有经办人、部门</w:t>
      </w:r>
      <w:r>
        <w:rPr>
          <w:rFonts w:hint="eastAsia" w:ascii="仿宋_GB2312" w:hAnsi="仿宋_GB2312" w:eastAsia="仿宋_GB2312" w:cs="仿宋_GB2312"/>
          <w:color w:val="auto"/>
          <w:sz w:val="32"/>
          <w:szCs w:val="32"/>
          <w:highlight w:val="none"/>
          <w:lang w:val="en-US" w:eastAsia="zh-CN"/>
        </w:rPr>
        <w:t>负责人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副场长、场长</w:t>
      </w:r>
      <w:r>
        <w:rPr>
          <w:rFonts w:hint="eastAsia" w:ascii="仿宋_GB2312" w:hAnsi="仿宋_GB2312" w:eastAsia="仿宋_GB2312" w:cs="仿宋_GB2312"/>
          <w:color w:val="auto"/>
          <w:sz w:val="32"/>
          <w:szCs w:val="32"/>
          <w:highlight w:val="none"/>
        </w:rPr>
        <w:t>签字后方可记账。</w:t>
      </w:r>
    </w:p>
    <w:p w14:paraId="3B2808EC">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）具体付款、报销时审批流程如下：</w:t>
      </w:r>
    </w:p>
    <w:p w14:paraId="7E6A602E">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借款/对公付款审批流程</w:t>
      </w:r>
    </w:p>
    <w:tbl>
      <w:tblPr>
        <w:tblStyle w:val="19"/>
        <w:tblW w:w="86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0"/>
        <w:gridCol w:w="1148"/>
        <w:gridCol w:w="1040"/>
        <w:gridCol w:w="2816"/>
        <w:gridCol w:w="1492"/>
        <w:gridCol w:w="1382"/>
      </w:tblGrid>
      <w:tr w14:paraId="34AAE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740" w:type="dxa"/>
            <w:noWrap w:val="0"/>
            <w:vAlign w:val="center"/>
          </w:tcPr>
          <w:p w14:paraId="35A0EB3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节点</w:t>
            </w:r>
          </w:p>
        </w:tc>
        <w:tc>
          <w:tcPr>
            <w:tcW w:w="1148" w:type="dxa"/>
            <w:noWrap w:val="0"/>
            <w:vAlign w:val="center"/>
          </w:tcPr>
          <w:p w14:paraId="0F5C511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流程活动</w:t>
            </w:r>
          </w:p>
        </w:tc>
        <w:tc>
          <w:tcPr>
            <w:tcW w:w="1040" w:type="dxa"/>
            <w:noWrap w:val="0"/>
            <w:vAlign w:val="center"/>
          </w:tcPr>
          <w:p w14:paraId="674F3BA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责任部门岗位</w:t>
            </w:r>
          </w:p>
        </w:tc>
        <w:tc>
          <w:tcPr>
            <w:tcW w:w="2816" w:type="dxa"/>
            <w:noWrap w:val="0"/>
            <w:vAlign w:val="center"/>
          </w:tcPr>
          <w:p w14:paraId="5F86E52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工作重点及要求</w:t>
            </w:r>
          </w:p>
        </w:tc>
        <w:tc>
          <w:tcPr>
            <w:tcW w:w="1492" w:type="dxa"/>
            <w:noWrap w:val="0"/>
            <w:vAlign w:val="center"/>
          </w:tcPr>
          <w:p w14:paraId="54096AB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完成时限</w:t>
            </w:r>
          </w:p>
        </w:tc>
        <w:tc>
          <w:tcPr>
            <w:tcW w:w="1382" w:type="dxa"/>
            <w:noWrap w:val="0"/>
            <w:vAlign w:val="center"/>
          </w:tcPr>
          <w:p w14:paraId="327BB95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输出记录</w:t>
            </w:r>
          </w:p>
        </w:tc>
      </w:tr>
      <w:tr w14:paraId="17AB9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1" w:hRule="atLeast"/>
          <w:jc w:val="center"/>
        </w:trPr>
        <w:tc>
          <w:tcPr>
            <w:tcW w:w="740" w:type="dxa"/>
            <w:noWrap w:val="0"/>
            <w:vAlign w:val="center"/>
          </w:tcPr>
          <w:p w14:paraId="1D17DC8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148" w:type="dxa"/>
            <w:noWrap w:val="0"/>
            <w:vAlign w:val="center"/>
          </w:tcPr>
          <w:p w14:paraId="4CC736E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填写《借款单》/《付款申请单》</w:t>
            </w:r>
          </w:p>
        </w:tc>
        <w:tc>
          <w:tcPr>
            <w:tcW w:w="1040" w:type="dxa"/>
            <w:noWrap w:val="0"/>
            <w:vAlign w:val="center"/>
          </w:tcPr>
          <w:p w14:paraId="1650FB3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经办人员</w:t>
            </w:r>
          </w:p>
        </w:tc>
        <w:tc>
          <w:tcPr>
            <w:tcW w:w="2816" w:type="dxa"/>
            <w:noWrap w:val="0"/>
            <w:vAlign w:val="center"/>
          </w:tcPr>
          <w:p w14:paraId="47852C1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如需现金借款经办人员提前2天告知财务，明确部门、款项用途、金额。（2）对公付款需明确对方单位名称、账号、开户行及款项用途、金额。</w:t>
            </w:r>
          </w:p>
        </w:tc>
        <w:tc>
          <w:tcPr>
            <w:tcW w:w="1492" w:type="dxa"/>
            <w:noWrap w:val="0"/>
            <w:vAlign w:val="center"/>
          </w:tcPr>
          <w:p w14:paraId="6D7F5EA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用款前2个工作日</w:t>
            </w:r>
          </w:p>
        </w:tc>
        <w:tc>
          <w:tcPr>
            <w:tcW w:w="1382" w:type="dxa"/>
            <w:noWrap w:val="0"/>
            <w:vAlign w:val="center"/>
          </w:tcPr>
          <w:p w14:paraId="08FCB00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《借款单》</w:t>
            </w:r>
          </w:p>
          <w:p w14:paraId="35E044E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《付款申请单》</w:t>
            </w:r>
          </w:p>
        </w:tc>
      </w:tr>
      <w:tr w14:paraId="5B49E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2" w:hRule="atLeast"/>
          <w:jc w:val="center"/>
        </w:trPr>
        <w:tc>
          <w:tcPr>
            <w:tcW w:w="740" w:type="dxa"/>
            <w:noWrap w:val="0"/>
            <w:vAlign w:val="center"/>
          </w:tcPr>
          <w:p w14:paraId="67C5836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1148" w:type="dxa"/>
            <w:noWrap w:val="0"/>
            <w:vAlign w:val="center"/>
          </w:tcPr>
          <w:p w14:paraId="2A9AC01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部门负责人审核</w:t>
            </w:r>
          </w:p>
        </w:tc>
        <w:tc>
          <w:tcPr>
            <w:tcW w:w="1040" w:type="dxa"/>
            <w:noWrap w:val="0"/>
            <w:vAlign w:val="center"/>
          </w:tcPr>
          <w:p w14:paraId="1F131B8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部门负责人</w:t>
            </w:r>
          </w:p>
        </w:tc>
        <w:tc>
          <w:tcPr>
            <w:tcW w:w="2816" w:type="dxa"/>
            <w:noWrap w:val="0"/>
            <w:vAlign w:val="center"/>
          </w:tcPr>
          <w:p w14:paraId="6FC7929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部门负责人对经办人员费用用途、金额进行核查、确保真实</w:t>
            </w:r>
          </w:p>
        </w:tc>
        <w:tc>
          <w:tcPr>
            <w:tcW w:w="1492" w:type="dxa"/>
            <w:noWrap w:val="0"/>
            <w:vAlign w:val="center"/>
          </w:tcPr>
          <w:p w14:paraId="262E93A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用款前2个工作日</w:t>
            </w:r>
          </w:p>
        </w:tc>
        <w:tc>
          <w:tcPr>
            <w:tcW w:w="1382" w:type="dxa"/>
            <w:noWrap w:val="0"/>
            <w:vAlign w:val="center"/>
          </w:tcPr>
          <w:p w14:paraId="5B68FF3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《借款单</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《付款申请单》</w:t>
            </w:r>
          </w:p>
        </w:tc>
      </w:tr>
      <w:tr w14:paraId="183D1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jc w:val="center"/>
        </w:trPr>
        <w:tc>
          <w:tcPr>
            <w:tcW w:w="740" w:type="dxa"/>
            <w:noWrap w:val="0"/>
            <w:vAlign w:val="center"/>
          </w:tcPr>
          <w:p w14:paraId="7CF3875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1148" w:type="dxa"/>
            <w:noWrap w:val="0"/>
            <w:vAlign w:val="center"/>
          </w:tcPr>
          <w:p w14:paraId="22FB8FC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分管</w:t>
            </w:r>
            <w:r>
              <w:rPr>
                <w:rFonts w:hint="eastAsia" w:ascii="仿宋_GB2312" w:hAnsi="仿宋_GB2312" w:eastAsia="仿宋_GB2312" w:cs="仿宋_GB2312"/>
                <w:color w:val="auto"/>
                <w:sz w:val="24"/>
                <w:szCs w:val="24"/>
                <w:highlight w:val="none"/>
                <w:lang w:eastAsia="zh-CN"/>
              </w:rPr>
              <w:t>副场长</w:t>
            </w:r>
            <w:r>
              <w:rPr>
                <w:rFonts w:hint="eastAsia" w:ascii="仿宋_GB2312" w:hAnsi="仿宋_GB2312" w:eastAsia="仿宋_GB2312" w:cs="仿宋_GB2312"/>
                <w:color w:val="auto"/>
                <w:sz w:val="24"/>
                <w:szCs w:val="24"/>
                <w:highlight w:val="none"/>
              </w:rPr>
              <w:t>审核</w:t>
            </w:r>
          </w:p>
        </w:tc>
        <w:tc>
          <w:tcPr>
            <w:tcW w:w="1040" w:type="dxa"/>
            <w:noWrap w:val="0"/>
            <w:vAlign w:val="center"/>
          </w:tcPr>
          <w:p w14:paraId="1B0E3F7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副</w:t>
            </w:r>
            <w:r>
              <w:rPr>
                <w:rFonts w:hint="eastAsia" w:ascii="仿宋_GB2312" w:hAnsi="仿宋_GB2312" w:eastAsia="仿宋_GB2312" w:cs="仿宋_GB2312"/>
                <w:color w:val="auto"/>
                <w:sz w:val="24"/>
                <w:szCs w:val="24"/>
                <w:highlight w:val="none"/>
                <w:lang w:eastAsia="zh-CN"/>
              </w:rPr>
              <w:t>场长</w:t>
            </w:r>
          </w:p>
        </w:tc>
        <w:tc>
          <w:tcPr>
            <w:tcW w:w="2816" w:type="dxa"/>
            <w:noWrap w:val="0"/>
            <w:vAlign w:val="center"/>
          </w:tcPr>
          <w:p w14:paraId="77EE3AE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对《借款单》/《付款申请单》进行审批</w:t>
            </w:r>
          </w:p>
        </w:tc>
        <w:tc>
          <w:tcPr>
            <w:tcW w:w="1492" w:type="dxa"/>
            <w:noWrap w:val="0"/>
            <w:vAlign w:val="center"/>
          </w:tcPr>
          <w:p w14:paraId="1817B7E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1382" w:type="dxa"/>
            <w:noWrap w:val="0"/>
            <w:vAlign w:val="center"/>
          </w:tcPr>
          <w:p w14:paraId="363F001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《借款单》</w:t>
            </w:r>
          </w:p>
          <w:p w14:paraId="3A5596E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《付款申请单》</w:t>
            </w:r>
          </w:p>
        </w:tc>
      </w:tr>
      <w:tr w14:paraId="3CB38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jc w:val="center"/>
        </w:trPr>
        <w:tc>
          <w:tcPr>
            <w:tcW w:w="740" w:type="dxa"/>
            <w:noWrap w:val="0"/>
            <w:vAlign w:val="center"/>
          </w:tcPr>
          <w:p w14:paraId="4BA79B5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1148" w:type="dxa"/>
            <w:noWrap w:val="0"/>
            <w:vAlign w:val="center"/>
          </w:tcPr>
          <w:p w14:paraId="15E0A3A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场长</w:t>
            </w:r>
            <w:r>
              <w:rPr>
                <w:rFonts w:hint="eastAsia" w:ascii="仿宋_GB2312" w:hAnsi="仿宋_GB2312" w:eastAsia="仿宋_GB2312" w:cs="仿宋_GB2312"/>
                <w:color w:val="auto"/>
                <w:sz w:val="24"/>
                <w:szCs w:val="24"/>
                <w:highlight w:val="none"/>
              </w:rPr>
              <w:t>审批</w:t>
            </w:r>
          </w:p>
        </w:tc>
        <w:tc>
          <w:tcPr>
            <w:tcW w:w="1040" w:type="dxa"/>
            <w:noWrap w:val="0"/>
            <w:vAlign w:val="center"/>
          </w:tcPr>
          <w:p w14:paraId="335FE61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场长</w:t>
            </w:r>
          </w:p>
        </w:tc>
        <w:tc>
          <w:tcPr>
            <w:tcW w:w="2816" w:type="dxa"/>
            <w:noWrap w:val="0"/>
            <w:vAlign w:val="center"/>
          </w:tcPr>
          <w:p w14:paraId="7C6BD2D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对《借款单》/《付款申请单》进行审批</w:t>
            </w:r>
          </w:p>
        </w:tc>
        <w:tc>
          <w:tcPr>
            <w:tcW w:w="1492" w:type="dxa"/>
            <w:noWrap w:val="0"/>
            <w:vAlign w:val="center"/>
          </w:tcPr>
          <w:p w14:paraId="732FC69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1382" w:type="dxa"/>
            <w:noWrap w:val="0"/>
            <w:vAlign w:val="center"/>
          </w:tcPr>
          <w:p w14:paraId="13BC2D4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《借款单》</w:t>
            </w:r>
          </w:p>
          <w:p w14:paraId="4087734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《付款申请单》</w:t>
            </w:r>
          </w:p>
        </w:tc>
      </w:tr>
      <w:tr w14:paraId="082D3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jc w:val="center"/>
        </w:trPr>
        <w:tc>
          <w:tcPr>
            <w:tcW w:w="740" w:type="dxa"/>
            <w:noWrap w:val="0"/>
            <w:vAlign w:val="center"/>
          </w:tcPr>
          <w:p w14:paraId="65F4B77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p>
        </w:tc>
        <w:tc>
          <w:tcPr>
            <w:tcW w:w="1148" w:type="dxa"/>
            <w:noWrap w:val="0"/>
            <w:vAlign w:val="center"/>
          </w:tcPr>
          <w:p w14:paraId="0E6BD06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会计审核</w:t>
            </w:r>
          </w:p>
        </w:tc>
        <w:tc>
          <w:tcPr>
            <w:tcW w:w="1040" w:type="dxa"/>
            <w:noWrap w:val="0"/>
            <w:vAlign w:val="center"/>
          </w:tcPr>
          <w:p w14:paraId="3EC1AC0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会计</w:t>
            </w:r>
          </w:p>
        </w:tc>
        <w:tc>
          <w:tcPr>
            <w:tcW w:w="2816" w:type="dxa"/>
            <w:noWrap w:val="0"/>
            <w:vAlign w:val="center"/>
          </w:tcPr>
          <w:p w14:paraId="7D1F79E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《借款单》/《付款申请单》填写的规范性 、税务规范性进行审核</w:t>
            </w:r>
          </w:p>
        </w:tc>
        <w:tc>
          <w:tcPr>
            <w:tcW w:w="1492" w:type="dxa"/>
            <w:noWrap w:val="0"/>
            <w:vAlign w:val="center"/>
          </w:tcPr>
          <w:p w14:paraId="2B1234D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用款前2个工作日</w:t>
            </w:r>
          </w:p>
        </w:tc>
        <w:tc>
          <w:tcPr>
            <w:tcW w:w="1382" w:type="dxa"/>
            <w:noWrap w:val="0"/>
            <w:vAlign w:val="center"/>
          </w:tcPr>
          <w:p w14:paraId="5400DAD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《借款单》</w:t>
            </w:r>
          </w:p>
          <w:p w14:paraId="1D1891D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《付款申请单》</w:t>
            </w:r>
          </w:p>
        </w:tc>
      </w:tr>
      <w:tr w14:paraId="369F5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0" w:type="dxa"/>
            <w:noWrap w:val="0"/>
            <w:vAlign w:val="center"/>
          </w:tcPr>
          <w:p w14:paraId="5E09107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p>
        </w:tc>
        <w:tc>
          <w:tcPr>
            <w:tcW w:w="1148" w:type="dxa"/>
            <w:noWrap w:val="0"/>
            <w:vAlign w:val="center"/>
          </w:tcPr>
          <w:p w14:paraId="21BBC83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出纳付款</w:t>
            </w:r>
          </w:p>
        </w:tc>
        <w:tc>
          <w:tcPr>
            <w:tcW w:w="1040" w:type="dxa"/>
            <w:noWrap w:val="0"/>
            <w:vAlign w:val="center"/>
          </w:tcPr>
          <w:p w14:paraId="543E6B7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出纳</w:t>
            </w:r>
          </w:p>
        </w:tc>
        <w:tc>
          <w:tcPr>
            <w:tcW w:w="2816" w:type="dxa"/>
            <w:noWrap w:val="0"/>
            <w:vAlign w:val="center"/>
          </w:tcPr>
          <w:p w14:paraId="05A8774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根据《借款单》/《付款申请单》付款</w:t>
            </w:r>
          </w:p>
        </w:tc>
        <w:tc>
          <w:tcPr>
            <w:tcW w:w="1492" w:type="dxa"/>
            <w:noWrap w:val="0"/>
            <w:vAlign w:val="center"/>
          </w:tcPr>
          <w:p w14:paraId="25BA861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收到《借款单》/《付款申请单》2个工作日完成汇款</w:t>
            </w:r>
          </w:p>
        </w:tc>
        <w:tc>
          <w:tcPr>
            <w:tcW w:w="1382" w:type="dxa"/>
            <w:noWrap w:val="0"/>
            <w:vAlign w:val="center"/>
          </w:tcPr>
          <w:p w14:paraId="7FC64F4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场务会通过后方可付款</w:t>
            </w:r>
          </w:p>
        </w:tc>
      </w:tr>
      <w:tr w14:paraId="6DB24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0" w:type="dxa"/>
            <w:noWrap w:val="0"/>
            <w:vAlign w:val="center"/>
          </w:tcPr>
          <w:p w14:paraId="395C1A6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p>
        </w:tc>
        <w:tc>
          <w:tcPr>
            <w:tcW w:w="1148" w:type="dxa"/>
            <w:noWrap w:val="0"/>
            <w:vAlign w:val="center"/>
          </w:tcPr>
          <w:p w14:paraId="3DC354D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会计记账</w:t>
            </w:r>
          </w:p>
        </w:tc>
        <w:tc>
          <w:tcPr>
            <w:tcW w:w="1040" w:type="dxa"/>
            <w:noWrap w:val="0"/>
            <w:vAlign w:val="center"/>
          </w:tcPr>
          <w:p w14:paraId="3310D17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会计</w:t>
            </w:r>
          </w:p>
        </w:tc>
        <w:tc>
          <w:tcPr>
            <w:tcW w:w="2816" w:type="dxa"/>
            <w:noWrap w:val="0"/>
            <w:vAlign w:val="center"/>
          </w:tcPr>
          <w:p w14:paraId="6D43C56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根据《借款单》</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《付款申请单》填制记账凭证</w:t>
            </w:r>
          </w:p>
        </w:tc>
        <w:tc>
          <w:tcPr>
            <w:tcW w:w="1492" w:type="dxa"/>
            <w:noWrap w:val="0"/>
            <w:vAlign w:val="center"/>
          </w:tcPr>
          <w:p w14:paraId="58183B1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收到 《借款单》/《付款申请单》1个工作日完成汇款</w:t>
            </w:r>
          </w:p>
        </w:tc>
        <w:tc>
          <w:tcPr>
            <w:tcW w:w="1382" w:type="dxa"/>
            <w:noWrap w:val="0"/>
            <w:vAlign w:val="center"/>
          </w:tcPr>
          <w:p w14:paraId="595CFC6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r>
    </w:tbl>
    <w:p w14:paraId="7690AB69">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注：借款使用《借款单》，对公付款填写《付款申请单》。借款和对公付款业务需要还</w:t>
      </w:r>
      <w:r>
        <w:rPr>
          <w:rFonts w:hint="eastAsia" w:ascii="仿宋_GB2312" w:hAnsi="仿宋_GB2312" w:eastAsia="仿宋_GB2312" w:cs="仿宋_GB2312"/>
          <w:color w:val="auto"/>
          <w:sz w:val="32"/>
          <w:szCs w:val="32"/>
          <w:highlight w:val="none"/>
          <w:lang w:val="en-US" w:eastAsia="zh-CN"/>
        </w:rPr>
        <w:t>票据</w:t>
      </w:r>
      <w:r>
        <w:rPr>
          <w:rFonts w:hint="eastAsia" w:ascii="仿宋_GB2312" w:hAnsi="仿宋_GB2312" w:eastAsia="仿宋_GB2312" w:cs="仿宋_GB2312"/>
          <w:color w:val="auto"/>
          <w:sz w:val="32"/>
          <w:szCs w:val="32"/>
          <w:highlight w:val="none"/>
        </w:rPr>
        <w:t>圆帐时，填写《费用报销单》，并在单据右上角注明圆帐二字。</w:t>
      </w:r>
    </w:p>
    <w:p w14:paraId="439EE156">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差旅费/费用报销审批流程</w:t>
      </w:r>
    </w:p>
    <w:tbl>
      <w:tblPr>
        <w:tblStyle w:val="19"/>
        <w:tblW w:w="89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7"/>
        <w:gridCol w:w="1063"/>
        <w:gridCol w:w="1086"/>
        <w:gridCol w:w="2889"/>
        <w:gridCol w:w="1716"/>
        <w:gridCol w:w="1656"/>
      </w:tblGrid>
      <w:tr w14:paraId="53557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blHeader/>
          <w:jc w:val="center"/>
        </w:trPr>
        <w:tc>
          <w:tcPr>
            <w:tcW w:w="507" w:type="dxa"/>
            <w:noWrap w:val="0"/>
            <w:vAlign w:val="center"/>
          </w:tcPr>
          <w:p w14:paraId="64E3DED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节点</w:t>
            </w:r>
          </w:p>
        </w:tc>
        <w:tc>
          <w:tcPr>
            <w:tcW w:w="1063" w:type="dxa"/>
            <w:noWrap w:val="0"/>
            <w:vAlign w:val="center"/>
          </w:tcPr>
          <w:p w14:paraId="3CF6685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流程活动</w:t>
            </w:r>
          </w:p>
        </w:tc>
        <w:tc>
          <w:tcPr>
            <w:tcW w:w="1086" w:type="dxa"/>
            <w:noWrap w:val="0"/>
            <w:vAlign w:val="center"/>
          </w:tcPr>
          <w:p w14:paraId="5F2A3FA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责任部门岗位</w:t>
            </w:r>
          </w:p>
        </w:tc>
        <w:tc>
          <w:tcPr>
            <w:tcW w:w="2889" w:type="dxa"/>
            <w:noWrap w:val="0"/>
            <w:vAlign w:val="center"/>
          </w:tcPr>
          <w:p w14:paraId="449BE7E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工作重点及要求</w:t>
            </w:r>
          </w:p>
        </w:tc>
        <w:tc>
          <w:tcPr>
            <w:tcW w:w="1716" w:type="dxa"/>
            <w:noWrap w:val="0"/>
            <w:vAlign w:val="center"/>
          </w:tcPr>
          <w:p w14:paraId="0F3BB44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完成时限</w:t>
            </w:r>
          </w:p>
        </w:tc>
        <w:tc>
          <w:tcPr>
            <w:tcW w:w="1656" w:type="dxa"/>
            <w:noWrap w:val="0"/>
            <w:vAlign w:val="center"/>
          </w:tcPr>
          <w:p w14:paraId="5DB64BE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输出记录</w:t>
            </w:r>
          </w:p>
        </w:tc>
      </w:tr>
      <w:tr w14:paraId="2034F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7" w:hRule="atLeast"/>
          <w:jc w:val="center"/>
        </w:trPr>
        <w:tc>
          <w:tcPr>
            <w:tcW w:w="507" w:type="dxa"/>
            <w:noWrap w:val="0"/>
            <w:vAlign w:val="center"/>
          </w:tcPr>
          <w:p w14:paraId="66209F8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063" w:type="dxa"/>
            <w:noWrap w:val="0"/>
            <w:vAlign w:val="center"/>
          </w:tcPr>
          <w:p w14:paraId="0773188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填写《差旅费报销单》/《费用报销单》</w:t>
            </w:r>
          </w:p>
        </w:tc>
        <w:tc>
          <w:tcPr>
            <w:tcW w:w="1086" w:type="dxa"/>
            <w:noWrap w:val="0"/>
            <w:vAlign w:val="center"/>
          </w:tcPr>
          <w:p w14:paraId="182E399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经办人员</w:t>
            </w:r>
          </w:p>
        </w:tc>
        <w:tc>
          <w:tcPr>
            <w:tcW w:w="2889" w:type="dxa"/>
            <w:noWrap w:val="0"/>
            <w:vAlign w:val="center"/>
          </w:tcPr>
          <w:p w14:paraId="71D71B3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经办人员业务开展完成10个工作日内填写《费用报销单》《差旅费报销单》，按财务相关规定粘贴有效凭证。（2）费用报销人员填写费用报销单时，应另附（申请费用时相关的审批单）。（3）出差人员填写差旅费报销单时应另附（公务出差审批单）。</w:t>
            </w:r>
          </w:p>
        </w:tc>
        <w:tc>
          <w:tcPr>
            <w:tcW w:w="1716" w:type="dxa"/>
            <w:noWrap w:val="0"/>
            <w:vAlign w:val="center"/>
          </w:tcPr>
          <w:p w14:paraId="7630906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员工需要在出差结束后十日内提交差旅费报销单，费用报销单当月费用在当月进行报销。</w:t>
            </w:r>
          </w:p>
        </w:tc>
        <w:tc>
          <w:tcPr>
            <w:tcW w:w="1656" w:type="dxa"/>
            <w:noWrap w:val="0"/>
            <w:vAlign w:val="center"/>
          </w:tcPr>
          <w:p w14:paraId="6578E56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《差旅费报销单》《费用报销单》</w:t>
            </w:r>
          </w:p>
        </w:tc>
      </w:tr>
      <w:tr w14:paraId="10909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2" w:hRule="atLeast"/>
          <w:jc w:val="center"/>
        </w:trPr>
        <w:tc>
          <w:tcPr>
            <w:tcW w:w="507" w:type="dxa"/>
            <w:noWrap w:val="0"/>
            <w:vAlign w:val="center"/>
          </w:tcPr>
          <w:p w14:paraId="67727D1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1063" w:type="dxa"/>
            <w:noWrap w:val="0"/>
            <w:vAlign w:val="center"/>
          </w:tcPr>
          <w:p w14:paraId="3FC84D9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部门负责人审核</w:t>
            </w:r>
          </w:p>
        </w:tc>
        <w:tc>
          <w:tcPr>
            <w:tcW w:w="1086" w:type="dxa"/>
            <w:noWrap w:val="0"/>
            <w:vAlign w:val="center"/>
          </w:tcPr>
          <w:p w14:paraId="5EF32D7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部门负责人</w:t>
            </w:r>
          </w:p>
        </w:tc>
        <w:tc>
          <w:tcPr>
            <w:tcW w:w="2889" w:type="dxa"/>
            <w:noWrap w:val="0"/>
            <w:vAlign w:val="center"/>
          </w:tcPr>
          <w:p w14:paraId="5945BAF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部门负责人对经办人员费用用途、金额进行核查、确保真实性。</w:t>
            </w:r>
          </w:p>
        </w:tc>
        <w:tc>
          <w:tcPr>
            <w:tcW w:w="1716" w:type="dxa"/>
            <w:noWrap w:val="0"/>
            <w:vAlign w:val="center"/>
          </w:tcPr>
          <w:p w14:paraId="5D35427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2个工作日完成</w:t>
            </w:r>
          </w:p>
        </w:tc>
        <w:tc>
          <w:tcPr>
            <w:tcW w:w="1656" w:type="dxa"/>
            <w:noWrap w:val="0"/>
            <w:vAlign w:val="center"/>
          </w:tcPr>
          <w:p w14:paraId="6326508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《差旅费报销单》《费用报销单》</w:t>
            </w:r>
          </w:p>
        </w:tc>
      </w:tr>
      <w:tr w14:paraId="5AC61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9" w:hRule="atLeast"/>
          <w:jc w:val="center"/>
        </w:trPr>
        <w:tc>
          <w:tcPr>
            <w:tcW w:w="507" w:type="dxa"/>
            <w:noWrap w:val="0"/>
            <w:vAlign w:val="center"/>
          </w:tcPr>
          <w:p w14:paraId="5E59E3B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1063" w:type="dxa"/>
            <w:noWrap w:val="0"/>
            <w:vAlign w:val="center"/>
          </w:tcPr>
          <w:p w14:paraId="1291984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会计审核</w:t>
            </w:r>
          </w:p>
        </w:tc>
        <w:tc>
          <w:tcPr>
            <w:tcW w:w="1086" w:type="dxa"/>
            <w:noWrap w:val="0"/>
            <w:vAlign w:val="center"/>
          </w:tcPr>
          <w:p w14:paraId="476EB8F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会计</w:t>
            </w:r>
          </w:p>
        </w:tc>
        <w:tc>
          <w:tcPr>
            <w:tcW w:w="2889" w:type="dxa"/>
            <w:noWrap w:val="0"/>
            <w:vAlign w:val="center"/>
          </w:tcPr>
          <w:p w14:paraId="6F09B33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对《费用报销单》《差旅费报销单》填写的规范性、票据的真实真伪、金额的符合性进行审核。</w:t>
            </w:r>
          </w:p>
        </w:tc>
        <w:tc>
          <w:tcPr>
            <w:tcW w:w="1716" w:type="dxa"/>
            <w:noWrap w:val="0"/>
            <w:vAlign w:val="center"/>
          </w:tcPr>
          <w:p w14:paraId="12B861C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对提交的票据</w:t>
            </w:r>
            <w:r>
              <w:rPr>
                <w:rFonts w:hint="eastAsia" w:ascii="仿宋_GB2312" w:hAnsi="仿宋_GB2312" w:eastAsia="仿宋_GB2312" w:cs="仿宋_GB2312"/>
                <w:color w:val="auto"/>
                <w:sz w:val="24"/>
                <w:szCs w:val="24"/>
                <w:highlight w:val="none"/>
              </w:rPr>
              <w:t>当天完成审核。</w:t>
            </w:r>
          </w:p>
        </w:tc>
        <w:tc>
          <w:tcPr>
            <w:tcW w:w="1656" w:type="dxa"/>
            <w:noWrap w:val="0"/>
            <w:vAlign w:val="center"/>
          </w:tcPr>
          <w:p w14:paraId="40BFCEC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《差旅费报销单》《费用报销单》</w:t>
            </w:r>
          </w:p>
        </w:tc>
      </w:tr>
      <w:tr w14:paraId="1B87A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507" w:type="dxa"/>
            <w:noWrap w:val="0"/>
            <w:vAlign w:val="center"/>
          </w:tcPr>
          <w:p w14:paraId="454BC60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1063" w:type="dxa"/>
            <w:noWrap w:val="0"/>
            <w:vAlign w:val="center"/>
          </w:tcPr>
          <w:p w14:paraId="4D7A828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分管</w:t>
            </w:r>
            <w:r>
              <w:rPr>
                <w:rFonts w:hint="eastAsia" w:ascii="仿宋_GB2312" w:hAnsi="仿宋_GB2312" w:eastAsia="仿宋_GB2312" w:cs="仿宋_GB2312"/>
                <w:color w:val="auto"/>
                <w:sz w:val="24"/>
                <w:szCs w:val="24"/>
                <w:highlight w:val="none"/>
                <w:lang w:eastAsia="zh-CN"/>
              </w:rPr>
              <w:t>副场长</w:t>
            </w:r>
            <w:r>
              <w:rPr>
                <w:rFonts w:hint="eastAsia" w:ascii="仿宋_GB2312" w:hAnsi="仿宋_GB2312" w:eastAsia="仿宋_GB2312" w:cs="仿宋_GB2312"/>
                <w:color w:val="auto"/>
                <w:sz w:val="24"/>
                <w:szCs w:val="24"/>
                <w:highlight w:val="none"/>
              </w:rPr>
              <w:t>审核</w:t>
            </w:r>
          </w:p>
        </w:tc>
        <w:tc>
          <w:tcPr>
            <w:tcW w:w="1086" w:type="dxa"/>
            <w:noWrap w:val="0"/>
            <w:vAlign w:val="center"/>
          </w:tcPr>
          <w:p w14:paraId="15C28AE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副</w:t>
            </w:r>
            <w:r>
              <w:rPr>
                <w:rFonts w:hint="eastAsia" w:ascii="仿宋_GB2312" w:hAnsi="仿宋_GB2312" w:eastAsia="仿宋_GB2312" w:cs="仿宋_GB2312"/>
                <w:color w:val="auto"/>
                <w:sz w:val="24"/>
                <w:szCs w:val="24"/>
                <w:highlight w:val="none"/>
                <w:lang w:eastAsia="zh-CN"/>
              </w:rPr>
              <w:t>场长</w:t>
            </w:r>
          </w:p>
        </w:tc>
        <w:tc>
          <w:tcPr>
            <w:tcW w:w="2889" w:type="dxa"/>
            <w:noWrap w:val="0"/>
            <w:vAlign w:val="center"/>
          </w:tcPr>
          <w:p w14:paraId="22E9C0A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对《费用报销单》《差旅费报销单》审批。</w:t>
            </w:r>
          </w:p>
        </w:tc>
        <w:tc>
          <w:tcPr>
            <w:tcW w:w="1716" w:type="dxa"/>
            <w:noWrap w:val="0"/>
            <w:vAlign w:val="center"/>
          </w:tcPr>
          <w:p w14:paraId="5D7AA8C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1656" w:type="dxa"/>
            <w:noWrap w:val="0"/>
            <w:vAlign w:val="center"/>
          </w:tcPr>
          <w:p w14:paraId="250DFEB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《差旅费报销单》《费用报销单》</w:t>
            </w:r>
          </w:p>
        </w:tc>
      </w:tr>
      <w:tr w14:paraId="0DE7D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507" w:type="dxa"/>
            <w:noWrap w:val="0"/>
            <w:vAlign w:val="center"/>
          </w:tcPr>
          <w:p w14:paraId="753C518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p>
        </w:tc>
        <w:tc>
          <w:tcPr>
            <w:tcW w:w="1063" w:type="dxa"/>
            <w:noWrap w:val="0"/>
            <w:vAlign w:val="center"/>
          </w:tcPr>
          <w:p w14:paraId="3AC0418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场长</w:t>
            </w:r>
            <w:r>
              <w:rPr>
                <w:rFonts w:hint="eastAsia" w:ascii="仿宋_GB2312" w:hAnsi="仿宋_GB2312" w:eastAsia="仿宋_GB2312" w:cs="仿宋_GB2312"/>
                <w:color w:val="auto"/>
                <w:sz w:val="24"/>
                <w:szCs w:val="24"/>
                <w:highlight w:val="none"/>
              </w:rPr>
              <w:t>审批</w:t>
            </w:r>
          </w:p>
        </w:tc>
        <w:tc>
          <w:tcPr>
            <w:tcW w:w="1086" w:type="dxa"/>
            <w:noWrap w:val="0"/>
            <w:vAlign w:val="center"/>
          </w:tcPr>
          <w:p w14:paraId="31B1A91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场长</w:t>
            </w:r>
          </w:p>
        </w:tc>
        <w:tc>
          <w:tcPr>
            <w:tcW w:w="2889" w:type="dxa"/>
            <w:noWrap w:val="0"/>
            <w:vAlign w:val="center"/>
          </w:tcPr>
          <w:p w14:paraId="438BB01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对《费用报销单》《差旅费报销单》审批。</w:t>
            </w:r>
          </w:p>
        </w:tc>
        <w:tc>
          <w:tcPr>
            <w:tcW w:w="1716" w:type="dxa"/>
            <w:noWrap w:val="0"/>
            <w:vAlign w:val="center"/>
          </w:tcPr>
          <w:p w14:paraId="55D4179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1656" w:type="dxa"/>
            <w:noWrap w:val="0"/>
            <w:vAlign w:val="center"/>
          </w:tcPr>
          <w:p w14:paraId="26770EC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《差旅费报销单》《费用报销单》</w:t>
            </w:r>
          </w:p>
        </w:tc>
      </w:tr>
      <w:tr w14:paraId="6B861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9" w:hRule="atLeast"/>
          <w:jc w:val="center"/>
        </w:trPr>
        <w:tc>
          <w:tcPr>
            <w:tcW w:w="507" w:type="dxa"/>
            <w:noWrap w:val="0"/>
            <w:vAlign w:val="center"/>
          </w:tcPr>
          <w:p w14:paraId="52BC2A0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p>
        </w:tc>
        <w:tc>
          <w:tcPr>
            <w:tcW w:w="1063" w:type="dxa"/>
            <w:noWrap w:val="0"/>
            <w:vAlign w:val="center"/>
          </w:tcPr>
          <w:p w14:paraId="74937AB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出纳付款</w:t>
            </w:r>
          </w:p>
        </w:tc>
        <w:tc>
          <w:tcPr>
            <w:tcW w:w="1086" w:type="dxa"/>
            <w:noWrap w:val="0"/>
            <w:vAlign w:val="center"/>
          </w:tcPr>
          <w:p w14:paraId="1439097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出纳</w:t>
            </w:r>
          </w:p>
        </w:tc>
        <w:tc>
          <w:tcPr>
            <w:tcW w:w="2889" w:type="dxa"/>
            <w:noWrap w:val="0"/>
            <w:vAlign w:val="center"/>
          </w:tcPr>
          <w:p w14:paraId="2EA705A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根据《费用报销单》《差旅费报销单》进行费用清算，然后进行收付款，前款不清，后款不借。</w:t>
            </w:r>
          </w:p>
        </w:tc>
        <w:tc>
          <w:tcPr>
            <w:tcW w:w="1716" w:type="dxa"/>
            <w:noWrap w:val="0"/>
            <w:vAlign w:val="center"/>
          </w:tcPr>
          <w:p w14:paraId="1D98E7F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收到《费用报销单》《差旅费报销单》付款。</w:t>
            </w:r>
          </w:p>
        </w:tc>
        <w:tc>
          <w:tcPr>
            <w:tcW w:w="1656" w:type="dxa"/>
            <w:noWrap w:val="0"/>
            <w:vAlign w:val="center"/>
          </w:tcPr>
          <w:p w14:paraId="13914A3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场务会通过后方可付款</w:t>
            </w:r>
          </w:p>
        </w:tc>
      </w:tr>
      <w:tr w14:paraId="00063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9" w:hRule="atLeast"/>
          <w:jc w:val="center"/>
        </w:trPr>
        <w:tc>
          <w:tcPr>
            <w:tcW w:w="507" w:type="dxa"/>
            <w:noWrap w:val="0"/>
            <w:vAlign w:val="center"/>
          </w:tcPr>
          <w:p w14:paraId="488EDB0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p>
        </w:tc>
        <w:tc>
          <w:tcPr>
            <w:tcW w:w="1063" w:type="dxa"/>
            <w:noWrap w:val="0"/>
            <w:vAlign w:val="center"/>
          </w:tcPr>
          <w:p w14:paraId="68806EE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会计记账</w:t>
            </w:r>
          </w:p>
        </w:tc>
        <w:tc>
          <w:tcPr>
            <w:tcW w:w="1086" w:type="dxa"/>
            <w:noWrap w:val="0"/>
            <w:vAlign w:val="center"/>
          </w:tcPr>
          <w:p w14:paraId="1DFCAF0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会计</w:t>
            </w:r>
          </w:p>
        </w:tc>
        <w:tc>
          <w:tcPr>
            <w:tcW w:w="2889" w:type="dxa"/>
            <w:noWrap w:val="0"/>
            <w:vAlign w:val="center"/>
          </w:tcPr>
          <w:p w14:paraId="5E19863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根据《费用报销单》《差旅费报销单》填制记账凭证</w:t>
            </w:r>
          </w:p>
        </w:tc>
        <w:tc>
          <w:tcPr>
            <w:tcW w:w="1716" w:type="dxa"/>
            <w:noWrap w:val="0"/>
            <w:vAlign w:val="center"/>
          </w:tcPr>
          <w:p w14:paraId="5D1427C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收到《费用报销单》《差旅费报销单》1个工作日完成报销</w:t>
            </w:r>
          </w:p>
        </w:tc>
        <w:tc>
          <w:tcPr>
            <w:tcW w:w="1656" w:type="dxa"/>
            <w:noWrap w:val="0"/>
            <w:vAlign w:val="center"/>
          </w:tcPr>
          <w:p w14:paraId="5A9BA2A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r>
    </w:tbl>
    <w:p w14:paraId="3BFD0FE6">
      <w:pPr>
        <w:pageBreakBefore w:val="0"/>
        <w:wordWrap/>
        <w:overflowPunct/>
        <w:topLinePunct w:val="0"/>
        <w:bidi w:val="0"/>
        <w:jc w:val="center"/>
        <w:rPr>
          <w:rFonts w:hint="eastAsia" w:ascii="仿宋_GB2312" w:hAnsi="仿宋_GB2312" w:eastAsia="仿宋_GB2312" w:cs="仿宋_GB2312"/>
          <w:b w:val="0"/>
          <w:bCs w:val="0"/>
          <w:snapToGrid w:val="0"/>
          <w:color w:val="auto"/>
          <w:spacing w:val="-4"/>
          <w:kern w:val="0"/>
          <w:sz w:val="32"/>
          <w:szCs w:val="32"/>
          <w:highlight w:val="none"/>
          <w:lang w:val="en-US" w:eastAsia="zh-CN"/>
        </w:rPr>
      </w:pPr>
      <w:bookmarkStart w:id="76" w:name="_Toc22939"/>
      <w:bookmarkStart w:id="77" w:name="_Toc3261"/>
      <w:bookmarkStart w:id="78" w:name="_Toc1670"/>
      <w:bookmarkStart w:id="79" w:name="_Toc22155"/>
    </w:p>
    <w:p w14:paraId="4D150393">
      <w:pPr>
        <w:pageBreakBefore w:val="0"/>
        <w:wordWrap/>
        <w:overflowPunct/>
        <w:topLinePunct w:val="0"/>
        <w:bidi w:val="0"/>
        <w:jc w:val="center"/>
        <w:rPr>
          <w:rFonts w:hint="eastAsia" w:ascii="仿宋_GB2312" w:hAnsi="仿宋_GB2312" w:eastAsia="仿宋_GB2312" w:cs="仿宋_GB2312"/>
          <w:b w:val="0"/>
          <w:bCs w:val="0"/>
          <w:snapToGrid w:val="0"/>
          <w:color w:val="auto"/>
          <w:spacing w:val="-4"/>
          <w:kern w:val="0"/>
          <w:sz w:val="32"/>
          <w:szCs w:val="32"/>
          <w:highlight w:val="none"/>
          <w:lang w:val="en-US" w:eastAsia="zh-CN"/>
        </w:rPr>
      </w:pPr>
      <w:r>
        <w:rPr>
          <w:rFonts w:hint="eastAsia" w:ascii="仿宋_GB2312" w:hAnsi="仿宋_GB2312" w:eastAsia="仿宋_GB2312" w:cs="仿宋_GB2312"/>
          <w:b w:val="0"/>
          <w:bCs w:val="0"/>
          <w:snapToGrid w:val="0"/>
          <w:color w:val="auto"/>
          <w:spacing w:val="-4"/>
          <w:kern w:val="0"/>
          <w:sz w:val="32"/>
          <w:szCs w:val="32"/>
          <w:highlight w:val="none"/>
          <w:lang w:val="en-US" w:eastAsia="zh-CN"/>
        </w:rPr>
        <w:t>第五章 固定资产管理制度</w:t>
      </w:r>
      <w:bookmarkEnd w:id="76"/>
      <w:bookmarkEnd w:id="77"/>
      <w:bookmarkEnd w:id="78"/>
      <w:bookmarkEnd w:id="79"/>
    </w:p>
    <w:p w14:paraId="10817EEA">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 xml:space="preserve">条 为了加强固定资产管理，提高资产使用效益，保护新型集体林场财产安全，促进管理工作和新型集体林场工作的开展，根据国家有关财务制度的规定及新型集体林场实际情况，特制定本制度。 </w:t>
      </w:r>
    </w:p>
    <w:p w14:paraId="486A4C86">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 xml:space="preserve">条 </w:t>
      </w:r>
      <w:r>
        <w:rPr>
          <w:rFonts w:hint="eastAsia" w:ascii="仿宋_GB2312" w:hAnsi="仿宋_GB2312" w:eastAsia="仿宋_GB2312" w:cs="仿宋_GB2312"/>
          <w:color w:val="auto"/>
          <w:spacing w:val="-6"/>
          <w:sz w:val="32"/>
          <w:szCs w:val="32"/>
          <w:highlight w:val="none"/>
        </w:rPr>
        <w:t>固定资产是指同时具有以下特征的有形资产：</w:t>
      </w:r>
    </w:p>
    <w:p w14:paraId="2811ADF6">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为生产商品、提供劳务、出租或经营管理而持有的；</w:t>
      </w:r>
    </w:p>
    <w:p w14:paraId="537B3BD3">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使用寿命超过一个会计年度，新型集体林场固定资产根据不同用途分为电子设备、家具、运输工具、器具4类。 </w:t>
      </w:r>
    </w:p>
    <w:p w14:paraId="7D70CF77">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条 固定资产管理原则</w:t>
      </w:r>
    </w:p>
    <w:p w14:paraId="307DAC73">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新型集体林场</w:t>
      </w:r>
      <w:r>
        <w:rPr>
          <w:rFonts w:hint="eastAsia" w:ascii="仿宋_GB2312" w:hAnsi="仿宋_GB2312" w:eastAsia="仿宋_GB2312" w:cs="仿宋_GB2312"/>
          <w:color w:val="auto"/>
          <w:sz w:val="32"/>
          <w:szCs w:val="32"/>
          <w:highlight w:val="none"/>
          <w:lang w:eastAsia="zh-CN"/>
        </w:rPr>
        <w:t>综合部</w:t>
      </w:r>
      <w:r>
        <w:rPr>
          <w:rFonts w:hint="eastAsia" w:ascii="仿宋_GB2312" w:hAnsi="仿宋_GB2312" w:eastAsia="仿宋_GB2312" w:cs="仿宋_GB2312"/>
          <w:color w:val="auto"/>
          <w:sz w:val="32"/>
          <w:szCs w:val="32"/>
          <w:highlight w:val="none"/>
        </w:rPr>
        <w:t xml:space="preserve">统一负责固定资产的实物管理，应对所有固定资产进行分类，设置固定资产卡片并详细登记年内会同财务本部进行固定资产盘点； </w:t>
      </w:r>
    </w:p>
    <w:p w14:paraId="4EEC8304">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新型集体林场</w:t>
      </w:r>
      <w:r>
        <w:rPr>
          <w:rFonts w:hint="eastAsia" w:ascii="仿宋_GB2312" w:hAnsi="仿宋_GB2312" w:eastAsia="仿宋_GB2312" w:cs="仿宋_GB2312"/>
          <w:color w:val="auto"/>
          <w:sz w:val="32"/>
          <w:szCs w:val="32"/>
          <w:highlight w:val="none"/>
          <w:lang w:eastAsia="zh-CN"/>
        </w:rPr>
        <w:t>财务部门</w:t>
      </w:r>
      <w:r>
        <w:rPr>
          <w:rFonts w:hint="eastAsia" w:ascii="仿宋_GB2312" w:hAnsi="仿宋_GB2312" w:eastAsia="仿宋_GB2312" w:cs="仿宋_GB2312"/>
          <w:color w:val="auto"/>
          <w:sz w:val="32"/>
          <w:szCs w:val="32"/>
          <w:highlight w:val="none"/>
        </w:rPr>
        <w:t>负责固定资产的价值管理，应根据固定资产实物的增减（购置、报废、盘盈、盘亏、毁损等）及时按有关规定进行账务处理；</w:t>
      </w:r>
    </w:p>
    <w:p w14:paraId="7167DBB0">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固定资产的日常维护、保养以及修理由各使用部门负责。各部门对固定资产的维护和管理应建立岗位责任制度，落实到人。 </w:t>
      </w:r>
    </w:p>
    <w:p w14:paraId="2FCBBA07">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条 固定资产按以下原则和方法计价</w:t>
      </w:r>
    </w:p>
    <w:p w14:paraId="4CCE99BF">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购入的固定资产，以其购入价加由新型集体林场负担的运</w:t>
      </w:r>
      <w:r>
        <w:rPr>
          <w:rFonts w:hint="eastAsia" w:ascii="仿宋_GB2312" w:hAnsi="仿宋_GB2312" w:eastAsia="仿宋_GB2312" w:cs="仿宋_GB2312"/>
          <w:color w:val="auto"/>
          <w:spacing w:val="-6"/>
          <w:sz w:val="32"/>
          <w:szCs w:val="32"/>
          <w:highlight w:val="none"/>
        </w:rPr>
        <w:t>输、装卸、安装调试、运输途中保险费及其他附加费用计价；</w:t>
      </w:r>
    </w:p>
    <w:p w14:paraId="3741D1D7">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自制、自建的固定资产，按建造过程中的实际支出计价；</w:t>
      </w:r>
    </w:p>
    <w:p w14:paraId="124F18A0">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在原有固定资产基础上进行改建、扩建的，按固定资产原值，加上改建扩建发生的实际支出</w:t>
      </w:r>
      <w:r>
        <w:rPr>
          <w:rFonts w:hint="eastAsia" w:ascii="仿宋_GB2312" w:hAnsi="仿宋_GB2312" w:eastAsia="仿宋_GB2312" w:cs="仿宋_GB2312"/>
          <w:color w:val="auto"/>
          <w:sz w:val="32"/>
          <w:szCs w:val="32"/>
          <w:highlight w:val="none"/>
          <w:lang w:eastAsia="zh-CN"/>
        </w:rPr>
        <w:t>计算。</w:t>
      </w:r>
    </w:p>
    <w:p w14:paraId="469C35F2">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条 固定资产折旧</w:t>
      </w:r>
    </w:p>
    <w:p w14:paraId="194F9DD8">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固定资产提取折旧的范围和折旧年限按国家规定范围执行。新型集体林场计算提取固定资产折旧，采用平均年限法。当月增加的固定资产当月不提折旧，当月减少的固定资产当月照提折旧。</w:t>
      </w:r>
      <w:r>
        <w:rPr>
          <w:rFonts w:hint="eastAsia" w:ascii="仿宋_GB2312" w:hAnsi="仿宋_GB2312" w:eastAsia="仿宋_GB2312" w:cs="仿宋_GB2312"/>
          <w:color w:val="auto"/>
          <w:sz w:val="32"/>
          <w:szCs w:val="32"/>
          <w:highlight w:val="none"/>
          <w:lang w:val="en-US" w:eastAsia="zh-CN"/>
        </w:rPr>
        <w:t>未到折旧年限的固定资产不得处置。严禁以资产折旧名义，进行资产处置、利益输送，造成国有资产流失。</w:t>
      </w:r>
    </w:p>
    <w:p w14:paraId="0BAEDABF">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8"/>
          <w:szCs w:val="38"/>
          <w:highlight w:val="none"/>
        </w:rPr>
      </w:pPr>
      <w:r>
        <w:rPr>
          <w:rFonts w:hint="eastAsia" w:ascii="仿宋_GB2312" w:hAnsi="仿宋_GB2312" w:eastAsia="仿宋_GB2312" w:cs="仿宋_GB2312"/>
          <w:color w:val="auto"/>
          <w:sz w:val="32"/>
          <w:szCs w:val="32"/>
          <w:highlight w:val="none"/>
        </w:rPr>
        <w:t>固定资产折旧年限如下：</w:t>
      </w:r>
    </w:p>
    <w:tbl>
      <w:tblPr>
        <w:tblStyle w:val="20"/>
        <w:tblW w:w="8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6"/>
        <w:gridCol w:w="2722"/>
        <w:gridCol w:w="2710"/>
      </w:tblGrid>
      <w:tr w14:paraId="16C1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706" w:type="dxa"/>
            <w:noWrap w:val="0"/>
            <w:vAlign w:val="center"/>
          </w:tcPr>
          <w:p w14:paraId="74B31F2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固定资产类别</w:t>
            </w:r>
          </w:p>
        </w:tc>
        <w:tc>
          <w:tcPr>
            <w:tcW w:w="2722" w:type="dxa"/>
            <w:noWrap w:val="0"/>
            <w:vAlign w:val="center"/>
          </w:tcPr>
          <w:p w14:paraId="031B433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折旧计提年限</w:t>
            </w:r>
          </w:p>
        </w:tc>
        <w:tc>
          <w:tcPr>
            <w:tcW w:w="2710" w:type="dxa"/>
            <w:noWrap w:val="0"/>
            <w:vAlign w:val="center"/>
          </w:tcPr>
          <w:p w14:paraId="0376F0C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净残值率</w:t>
            </w:r>
          </w:p>
        </w:tc>
      </w:tr>
      <w:tr w14:paraId="6099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706" w:type="dxa"/>
            <w:noWrap w:val="0"/>
            <w:vAlign w:val="center"/>
          </w:tcPr>
          <w:p w14:paraId="75B2870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电子设备</w:t>
            </w:r>
          </w:p>
          <w:p w14:paraId="76002AB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（办公设备）</w:t>
            </w:r>
          </w:p>
        </w:tc>
        <w:tc>
          <w:tcPr>
            <w:tcW w:w="2722" w:type="dxa"/>
            <w:noWrap w:val="0"/>
            <w:vAlign w:val="center"/>
          </w:tcPr>
          <w:p w14:paraId="3DCF52F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3年</w:t>
            </w:r>
          </w:p>
        </w:tc>
        <w:tc>
          <w:tcPr>
            <w:tcW w:w="2710" w:type="dxa"/>
            <w:noWrap w:val="0"/>
            <w:vAlign w:val="center"/>
          </w:tcPr>
          <w:p w14:paraId="1C05943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r>
      <w:tr w14:paraId="3388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706" w:type="dxa"/>
            <w:noWrap w:val="0"/>
            <w:vAlign w:val="center"/>
          </w:tcPr>
          <w:p w14:paraId="1ACA691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家具</w:t>
            </w:r>
          </w:p>
          <w:p w14:paraId="25973B0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（办公家具）</w:t>
            </w:r>
          </w:p>
        </w:tc>
        <w:tc>
          <w:tcPr>
            <w:tcW w:w="2722" w:type="dxa"/>
            <w:noWrap w:val="0"/>
            <w:vAlign w:val="center"/>
          </w:tcPr>
          <w:p w14:paraId="3BD900F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5年</w:t>
            </w:r>
          </w:p>
        </w:tc>
        <w:tc>
          <w:tcPr>
            <w:tcW w:w="2710" w:type="dxa"/>
            <w:noWrap w:val="0"/>
            <w:vAlign w:val="center"/>
          </w:tcPr>
          <w:p w14:paraId="7E894FF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r>
      <w:tr w14:paraId="0A52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06" w:type="dxa"/>
            <w:noWrap w:val="0"/>
            <w:vAlign w:val="center"/>
          </w:tcPr>
          <w:p w14:paraId="5D381A3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运输工具</w:t>
            </w:r>
          </w:p>
        </w:tc>
        <w:tc>
          <w:tcPr>
            <w:tcW w:w="2722" w:type="dxa"/>
            <w:noWrap w:val="0"/>
            <w:vAlign w:val="center"/>
          </w:tcPr>
          <w:p w14:paraId="05C93D1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p>
        </w:tc>
        <w:tc>
          <w:tcPr>
            <w:tcW w:w="2710" w:type="dxa"/>
            <w:noWrap w:val="0"/>
            <w:vAlign w:val="center"/>
          </w:tcPr>
          <w:p w14:paraId="015F28A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w:t>
            </w:r>
          </w:p>
        </w:tc>
      </w:tr>
      <w:tr w14:paraId="0BC7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706" w:type="dxa"/>
            <w:noWrap w:val="0"/>
            <w:vAlign w:val="center"/>
          </w:tcPr>
          <w:p w14:paraId="168F694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器具</w:t>
            </w:r>
          </w:p>
          <w:p w14:paraId="5EDA5EB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（生产工具）</w:t>
            </w:r>
          </w:p>
        </w:tc>
        <w:tc>
          <w:tcPr>
            <w:tcW w:w="2722" w:type="dxa"/>
            <w:noWrap w:val="0"/>
            <w:vAlign w:val="center"/>
          </w:tcPr>
          <w:p w14:paraId="7FBC8B9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5年</w:t>
            </w:r>
          </w:p>
        </w:tc>
        <w:tc>
          <w:tcPr>
            <w:tcW w:w="2710" w:type="dxa"/>
            <w:noWrap w:val="0"/>
            <w:vAlign w:val="center"/>
          </w:tcPr>
          <w:p w14:paraId="681B062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r>
    </w:tbl>
    <w:p w14:paraId="773AED69">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第二十</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条 固定资产的</w:t>
      </w:r>
      <w:r>
        <w:rPr>
          <w:rFonts w:hint="eastAsia" w:ascii="仿宋_GB2312" w:hAnsi="仿宋_GB2312" w:eastAsia="仿宋_GB2312" w:cs="仿宋_GB2312"/>
          <w:color w:val="auto"/>
          <w:sz w:val="32"/>
          <w:szCs w:val="32"/>
          <w:highlight w:val="none"/>
          <w:lang w:val="en-US" w:eastAsia="zh-CN"/>
        </w:rPr>
        <w:t>处置流程</w:t>
      </w:r>
    </w:p>
    <w:p w14:paraId="34A3A0E5">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固定资产使用部门如发现本部门</w:t>
      </w:r>
      <w:r>
        <w:rPr>
          <w:rFonts w:hint="eastAsia" w:ascii="仿宋_GB2312" w:hAnsi="仿宋_GB2312" w:eastAsia="仿宋_GB2312" w:cs="仿宋_GB2312"/>
          <w:color w:val="auto"/>
          <w:sz w:val="32"/>
          <w:szCs w:val="32"/>
          <w:highlight w:val="none"/>
          <w:lang w:val="en-US" w:eastAsia="zh-CN"/>
        </w:rPr>
        <w:t>有闲置的或</w:t>
      </w:r>
      <w:r>
        <w:rPr>
          <w:rFonts w:hint="eastAsia" w:ascii="仿宋_GB2312" w:hAnsi="仿宋_GB2312" w:eastAsia="仿宋_GB2312" w:cs="仿宋_GB2312"/>
          <w:color w:val="auto"/>
          <w:sz w:val="32"/>
          <w:szCs w:val="32"/>
          <w:highlight w:val="none"/>
        </w:rPr>
        <w:t>没有使用价值的固定资产，应填写“固定资产</w:t>
      </w:r>
      <w:r>
        <w:rPr>
          <w:rFonts w:hint="eastAsia" w:ascii="仿宋_GB2312" w:hAnsi="仿宋_GB2312" w:eastAsia="仿宋_GB2312" w:cs="仿宋_GB2312"/>
          <w:color w:val="auto"/>
          <w:sz w:val="32"/>
          <w:szCs w:val="32"/>
          <w:highlight w:val="none"/>
          <w:lang w:val="en-US" w:eastAsia="zh-CN"/>
        </w:rPr>
        <w:t>处置</w:t>
      </w:r>
      <w:r>
        <w:rPr>
          <w:rFonts w:hint="eastAsia" w:ascii="仿宋_GB2312" w:hAnsi="仿宋_GB2312" w:eastAsia="仿宋_GB2312" w:cs="仿宋_GB2312"/>
          <w:color w:val="auto"/>
          <w:sz w:val="32"/>
          <w:szCs w:val="32"/>
          <w:highlight w:val="none"/>
        </w:rPr>
        <w:t>申请表”，</w:t>
      </w:r>
      <w:r>
        <w:rPr>
          <w:rFonts w:hint="eastAsia" w:ascii="仿宋_GB2312" w:hAnsi="仿宋_GB2312" w:eastAsia="仿宋_GB2312" w:cs="仿宋_GB2312"/>
          <w:color w:val="auto"/>
          <w:sz w:val="32"/>
          <w:szCs w:val="32"/>
          <w:highlight w:val="none"/>
          <w:lang w:val="en-US" w:eastAsia="zh-CN"/>
        </w:rPr>
        <w:t>交至</w:t>
      </w:r>
      <w:r>
        <w:rPr>
          <w:rFonts w:hint="eastAsia" w:ascii="仿宋_GB2312" w:hAnsi="仿宋_GB2312" w:eastAsia="仿宋_GB2312" w:cs="仿宋_GB2312"/>
          <w:color w:val="auto"/>
          <w:sz w:val="32"/>
          <w:szCs w:val="32"/>
          <w:highlight w:val="none"/>
          <w:lang w:eastAsia="zh-CN"/>
        </w:rPr>
        <w:t>综合</w:t>
      </w:r>
      <w:r>
        <w:rPr>
          <w:rFonts w:hint="eastAsia" w:ascii="仿宋_GB2312" w:hAnsi="仿宋_GB2312" w:eastAsia="仿宋_GB2312" w:cs="仿宋_GB2312"/>
          <w:color w:val="auto"/>
          <w:sz w:val="32"/>
          <w:szCs w:val="32"/>
          <w:highlight w:val="none"/>
          <w:lang w:val="en-US" w:eastAsia="zh-CN"/>
        </w:rPr>
        <w:t>部</w:t>
      </w:r>
      <w:r>
        <w:rPr>
          <w:rFonts w:hint="eastAsia" w:ascii="仿宋_GB2312" w:hAnsi="仿宋_GB2312" w:eastAsia="仿宋_GB2312" w:cs="仿宋_GB2312"/>
          <w:color w:val="auto"/>
          <w:sz w:val="32"/>
          <w:szCs w:val="32"/>
          <w:highlight w:val="none"/>
        </w:rPr>
        <w:t>拟定处理意见后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由新型集体林场场长（</w:t>
      </w:r>
      <w:r>
        <w:rPr>
          <w:rFonts w:hint="eastAsia" w:ascii="仿宋_GB2312" w:hAnsi="仿宋_GB2312" w:eastAsia="仿宋_GB2312" w:cs="仿宋_GB2312"/>
          <w:color w:val="auto"/>
          <w:sz w:val="32"/>
          <w:szCs w:val="32"/>
          <w:highlight w:val="none"/>
        </w:rPr>
        <w:t>职工代表大会审议</w:t>
      </w:r>
      <w:r>
        <w:rPr>
          <w:rFonts w:hint="eastAsia" w:ascii="仿宋_GB2312" w:hAnsi="仿宋_GB2312" w:eastAsia="仿宋_GB2312" w:cs="仿宋_GB2312"/>
          <w:color w:val="auto"/>
          <w:sz w:val="32"/>
          <w:szCs w:val="32"/>
          <w:highlight w:val="none"/>
          <w:lang w:val="en-US" w:eastAsia="zh-CN"/>
        </w:rPr>
        <w:t>）报属地政府审核后方可实施</w:t>
      </w:r>
      <w:r>
        <w:rPr>
          <w:rFonts w:hint="eastAsia" w:ascii="仿宋_GB2312" w:hAnsi="仿宋_GB2312" w:eastAsia="仿宋_GB2312" w:cs="仿宋_GB2312"/>
          <w:color w:val="auto"/>
          <w:sz w:val="32"/>
          <w:szCs w:val="32"/>
          <w:highlight w:val="none"/>
        </w:rPr>
        <w:t>；</w:t>
      </w:r>
    </w:p>
    <w:p w14:paraId="3CCF265E">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经批准后，</w:t>
      </w:r>
      <w:r>
        <w:rPr>
          <w:rFonts w:hint="eastAsia" w:ascii="仿宋_GB2312" w:hAnsi="仿宋_GB2312" w:eastAsia="仿宋_GB2312" w:cs="仿宋_GB2312"/>
          <w:color w:val="auto"/>
          <w:sz w:val="32"/>
          <w:szCs w:val="32"/>
          <w:highlight w:val="none"/>
          <w:lang w:eastAsia="zh-CN"/>
        </w:rPr>
        <w:t>综合部</w:t>
      </w:r>
      <w:r>
        <w:rPr>
          <w:rFonts w:hint="eastAsia" w:ascii="仿宋_GB2312" w:hAnsi="仿宋_GB2312" w:eastAsia="仿宋_GB2312" w:cs="仿宋_GB2312"/>
          <w:color w:val="auto"/>
          <w:sz w:val="32"/>
          <w:szCs w:val="32"/>
          <w:highlight w:val="none"/>
        </w:rPr>
        <w:t>对实物进行处理，处理后对台账及固定资产卡片进行更新，并将处理结果书面通知财务部</w:t>
      </w:r>
      <w:r>
        <w:rPr>
          <w:rFonts w:hint="eastAsia" w:ascii="仿宋_GB2312" w:hAnsi="仿宋_GB2312" w:eastAsia="仿宋_GB2312" w:cs="仿宋_GB2312"/>
          <w:color w:val="auto"/>
          <w:sz w:val="32"/>
          <w:szCs w:val="32"/>
          <w:highlight w:val="none"/>
          <w:lang w:val="en-US" w:eastAsia="zh-CN"/>
        </w:rPr>
        <w:t>门</w:t>
      </w:r>
      <w:r>
        <w:rPr>
          <w:rFonts w:hint="eastAsia" w:ascii="仿宋_GB2312" w:hAnsi="仿宋_GB2312" w:eastAsia="仿宋_GB2312" w:cs="仿宋_GB2312"/>
          <w:color w:val="auto"/>
          <w:sz w:val="32"/>
          <w:szCs w:val="32"/>
          <w:highlight w:val="none"/>
        </w:rPr>
        <w:t>；</w:t>
      </w:r>
    </w:p>
    <w:p w14:paraId="673A854A">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财务部</w:t>
      </w:r>
      <w:r>
        <w:rPr>
          <w:rFonts w:hint="eastAsia" w:ascii="仿宋_GB2312" w:hAnsi="仿宋_GB2312" w:eastAsia="仿宋_GB2312" w:cs="仿宋_GB2312"/>
          <w:color w:val="auto"/>
          <w:sz w:val="32"/>
          <w:szCs w:val="32"/>
          <w:highlight w:val="none"/>
          <w:lang w:val="en-US" w:eastAsia="zh-CN"/>
        </w:rPr>
        <w:t>门</w:t>
      </w:r>
      <w:r>
        <w:rPr>
          <w:rFonts w:hint="eastAsia" w:ascii="仿宋_GB2312" w:hAnsi="仿宋_GB2312" w:eastAsia="仿宋_GB2312" w:cs="仿宋_GB2312"/>
          <w:color w:val="auto"/>
          <w:sz w:val="32"/>
          <w:szCs w:val="32"/>
          <w:highlight w:val="none"/>
        </w:rPr>
        <w:t>依据</w:t>
      </w:r>
      <w:r>
        <w:rPr>
          <w:rFonts w:hint="eastAsia" w:ascii="仿宋_GB2312" w:hAnsi="仿宋_GB2312" w:eastAsia="仿宋_GB2312" w:cs="仿宋_GB2312"/>
          <w:color w:val="auto"/>
          <w:sz w:val="32"/>
          <w:szCs w:val="32"/>
          <w:highlight w:val="none"/>
          <w:lang w:val="en-US" w:eastAsia="zh-CN"/>
        </w:rPr>
        <w:t>场长</w:t>
      </w:r>
      <w:r>
        <w:rPr>
          <w:rFonts w:hint="eastAsia" w:ascii="仿宋_GB2312" w:hAnsi="仿宋_GB2312" w:eastAsia="仿宋_GB2312" w:cs="仿宋_GB2312"/>
          <w:color w:val="auto"/>
          <w:sz w:val="32"/>
          <w:szCs w:val="32"/>
          <w:highlight w:val="none"/>
        </w:rPr>
        <w:t xml:space="preserve">批准的固定资产处理申请和实物处理结果，进行账务处理。 </w:t>
      </w:r>
    </w:p>
    <w:p w14:paraId="0D407707">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条 固定资产清查盘点</w:t>
      </w:r>
    </w:p>
    <w:p w14:paraId="108ED805">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新型集体林场建立固定资产清查制度，“</w:t>
      </w:r>
      <w:r>
        <w:rPr>
          <w:rFonts w:hint="eastAsia" w:ascii="仿宋_GB2312" w:hAnsi="仿宋_GB2312" w:eastAsia="仿宋_GB2312" w:cs="仿宋_GB2312"/>
          <w:color w:val="auto"/>
          <w:sz w:val="32"/>
          <w:szCs w:val="32"/>
          <w:highlight w:val="none"/>
          <w:lang w:val="en-US" w:eastAsia="zh-CN"/>
        </w:rPr>
        <w:t>每半年</w:t>
      </w:r>
      <w:r>
        <w:rPr>
          <w:rFonts w:hint="eastAsia" w:ascii="仿宋_GB2312" w:hAnsi="仿宋_GB2312" w:eastAsia="仿宋_GB2312" w:cs="仿宋_GB2312"/>
          <w:color w:val="auto"/>
          <w:sz w:val="32"/>
          <w:szCs w:val="32"/>
          <w:highlight w:val="none"/>
        </w:rPr>
        <w:t>进行一次清查”，由</w:t>
      </w:r>
      <w:r>
        <w:rPr>
          <w:rFonts w:hint="eastAsia" w:ascii="仿宋_GB2312" w:hAnsi="仿宋_GB2312" w:eastAsia="仿宋_GB2312" w:cs="仿宋_GB2312"/>
          <w:color w:val="auto"/>
          <w:sz w:val="32"/>
          <w:szCs w:val="32"/>
          <w:highlight w:val="none"/>
          <w:lang w:eastAsia="zh-CN"/>
        </w:rPr>
        <w:t>综合部</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lang w:eastAsia="zh-CN"/>
        </w:rPr>
        <w:t>财务部门</w:t>
      </w:r>
      <w:r>
        <w:rPr>
          <w:rFonts w:hint="eastAsia" w:ascii="仿宋_GB2312" w:hAnsi="仿宋_GB2312" w:eastAsia="仿宋_GB2312" w:cs="仿宋_GB2312"/>
          <w:color w:val="auto"/>
          <w:sz w:val="32"/>
          <w:szCs w:val="32"/>
          <w:highlight w:val="none"/>
        </w:rPr>
        <w:t>共同执行；</w:t>
      </w:r>
    </w:p>
    <w:p w14:paraId="5F5C2498">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固定资产的清查应填制“固定资产盘点明细表”，详细</w:t>
      </w:r>
      <w:r>
        <w:rPr>
          <w:rFonts w:hint="eastAsia" w:ascii="仿宋_GB2312" w:hAnsi="仿宋_GB2312" w:eastAsia="仿宋_GB2312" w:cs="仿宋_GB2312"/>
          <w:color w:val="auto"/>
          <w:sz w:val="32"/>
          <w:szCs w:val="32"/>
          <w:highlight w:val="none"/>
          <w:lang w:eastAsia="zh-CN"/>
        </w:rPr>
        <w:t>反映</w:t>
      </w:r>
      <w:r>
        <w:rPr>
          <w:rFonts w:hint="eastAsia" w:ascii="仿宋_GB2312" w:hAnsi="仿宋_GB2312" w:eastAsia="仿宋_GB2312" w:cs="仿宋_GB2312"/>
          <w:color w:val="auto"/>
          <w:sz w:val="32"/>
          <w:szCs w:val="32"/>
          <w:highlight w:val="none"/>
        </w:rPr>
        <w:t>所盘点的固定资产的实有数，并与固定资产账面数核对，做到账务、实物</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固定资产卡片相核对一致；经清查盘点后，若有盘盈或盘亏，须编报“固定资产盘盈盘亏报告表”，列出原因和责任，报固定资产使用部门负责人、</w:t>
      </w:r>
      <w:r>
        <w:rPr>
          <w:rFonts w:hint="eastAsia" w:ascii="仿宋_GB2312" w:hAnsi="仿宋_GB2312" w:eastAsia="仿宋_GB2312" w:cs="仿宋_GB2312"/>
          <w:color w:val="auto"/>
          <w:sz w:val="32"/>
          <w:szCs w:val="32"/>
          <w:highlight w:val="none"/>
          <w:lang w:eastAsia="zh-CN"/>
        </w:rPr>
        <w:t>综合部</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color w:val="auto"/>
          <w:sz w:val="32"/>
          <w:szCs w:val="32"/>
          <w:highlight w:val="none"/>
          <w:lang w:val="en-US" w:eastAsia="zh-CN"/>
        </w:rPr>
        <w:t>场务会批准并备案</w:t>
      </w:r>
      <w:r>
        <w:rPr>
          <w:rFonts w:hint="eastAsia" w:ascii="仿宋_GB2312" w:hAnsi="仿宋_GB2312" w:eastAsia="仿宋_GB2312" w:cs="仿宋_GB2312"/>
          <w:color w:val="auto"/>
          <w:sz w:val="32"/>
          <w:szCs w:val="32"/>
          <w:highlight w:val="none"/>
        </w:rPr>
        <w:t>，财务部</w:t>
      </w:r>
      <w:r>
        <w:rPr>
          <w:rFonts w:hint="eastAsia" w:ascii="仿宋_GB2312" w:hAnsi="仿宋_GB2312" w:eastAsia="仿宋_GB2312" w:cs="仿宋_GB2312"/>
          <w:color w:val="auto"/>
          <w:sz w:val="32"/>
          <w:szCs w:val="32"/>
          <w:highlight w:val="none"/>
          <w:lang w:val="en-US" w:eastAsia="zh-CN"/>
        </w:rPr>
        <w:t>门</w:t>
      </w:r>
      <w:r>
        <w:rPr>
          <w:rFonts w:hint="eastAsia" w:ascii="仿宋_GB2312" w:hAnsi="仿宋_GB2312" w:eastAsia="仿宋_GB2312" w:cs="仿宋_GB2312"/>
          <w:color w:val="auto"/>
          <w:sz w:val="32"/>
          <w:szCs w:val="32"/>
          <w:highlight w:val="none"/>
        </w:rPr>
        <w:t>进行相应的账务处理。</w:t>
      </w:r>
      <w:r>
        <w:rPr>
          <w:rFonts w:hint="eastAsia" w:ascii="仿宋_GB2312" w:hAnsi="仿宋_GB2312" w:eastAsia="仿宋_GB2312" w:cs="仿宋_GB2312"/>
          <w:color w:val="auto"/>
          <w:sz w:val="32"/>
          <w:szCs w:val="32"/>
          <w:highlight w:val="none"/>
          <w:lang w:eastAsia="zh-CN"/>
        </w:rPr>
        <w:t>综合部</w:t>
      </w:r>
      <w:r>
        <w:rPr>
          <w:rFonts w:hint="eastAsia" w:ascii="仿宋_GB2312" w:hAnsi="仿宋_GB2312" w:eastAsia="仿宋_GB2312" w:cs="仿宋_GB2312"/>
          <w:color w:val="auto"/>
          <w:sz w:val="32"/>
          <w:szCs w:val="32"/>
          <w:highlight w:val="none"/>
        </w:rPr>
        <w:t>对台账和固定资产卡片内容进行更新。</w:t>
      </w:r>
    </w:p>
    <w:p w14:paraId="2D4A7412">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p>
    <w:p w14:paraId="5A7AFA8E">
      <w:pPr>
        <w:keepNext/>
        <w:keepLines/>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1"/>
        <w:rPr>
          <w:rFonts w:hint="eastAsia" w:ascii="楷体_GB2312" w:hAnsi="楷体_GB2312" w:eastAsia="楷体_GB2312" w:cs="楷体_GB2312"/>
          <w:b/>
          <w:color w:val="auto"/>
          <w:kern w:val="2"/>
          <w:sz w:val="32"/>
          <w:szCs w:val="32"/>
          <w:highlight w:val="none"/>
          <w:lang w:val="en-US" w:eastAsia="zh-CN" w:bidi="ar-SA"/>
        </w:rPr>
      </w:pPr>
      <w:bookmarkStart w:id="80" w:name="_Toc18654"/>
      <w:r>
        <w:rPr>
          <w:rFonts w:hint="eastAsia" w:ascii="楷体_GB2312" w:hAnsi="楷体_GB2312" w:eastAsia="楷体_GB2312" w:cs="楷体_GB2312"/>
          <w:b/>
          <w:color w:val="auto"/>
          <w:kern w:val="2"/>
          <w:sz w:val="32"/>
          <w:szCs w:val="32"/>
          <w:highlight w:val="none"/>
          <w:lang w:val="en-US" w:eastAsia="zh-CN" w:bidi="ar-SA"/>
        </w:rPr>
        <w:t>（四）资产采购管理制度</w:t>
      </w:r>
      <w:bookmarkEnd w:id="80"/>
      <w:r>
        <w:rPr>
          <w:rFonts w:hint="eastAsia" w:ascii="楷体_GB2312" w:hAnsi="楷体_GB2312" w:eastAsia="楷体_GB2312" w:cs="楷体_GB2312"/>
          <w:b/>
          <w:color w:val="auto"/>
          <w:kern w:val="2"/>
          <w:sz w:val="32"/>
          <w:szCs w:val="32"/>
          <w:highlight w:val="none"/>
          <w:lang w:val="en-US" w:eastAsia="zh-CN" w:bidi="ar-SA"/>
        </w:rPr>
        <w:t>模板</w:t>
      </w:r>
    </w:p>
    <w:p w14:paraId="0FD5756D">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81" w:name="_Toc30647"/>
      <w:bookmarkStart w:id="82" w:name="_Toc32754"/>
      <w:bookmarkStart w:id="83" w:name="_Toc26902"/>
      <w:bookmarkStart w:id="84" w:name="_Toc16632"/>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第一章 服务商管理制度</w:t>
      </w:r>
      <w:bookmarkEnd w:id="81"/>
      <w:bookmarkEnd w:id="82"/>
      <w:bookmarkEnd w:id="83"/>
      <w:bookmarkEnd w:id="84"/>
    </w:p>
    <w:p w14:paraId="24A4C86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（一）为提高</w:t>
      </w:r>
      <w:r>
        <w:rPr>
          <w:rFonts w:hint="eastAsia" w:ascii="仿宋_GB2312" w:hAnsi="仿宋_GB2312" w:eastAsia="仿宋_GB2312" w:cs="仿宋_GB2312"/>
          <w:bCs/>
          <w:color w:val="auto"/>
          <w:kern w:val="0"/>
          <w:sz w:val="32"/>
          <w:szCs w:val="32"/>
          <w:highlight w:val="none"/>
          <w:lang w:val="en-US" w:eastAsia="zh-CN"/>
        </w:rPr>
        <w:t>新型集体</w:t>
      </w:r>
      <w:r>
        <w:rPr>
          <w:rFonts w:hint="eastAsia" w:ascii="仿宋_GB2312" w:hAnsi="仿宋_GB2312" w:eastAsia="仿宋_GB2312" w:cs="仿宋_GB2312"/>
          <w:bCs/>
          <w:color w:val="auto"/>
          <w:kern w:val="0"/>
          <w:sz w:val="32"/>
          <w:szCs w:val="32"/>
          <w:highlight w:val="none"/>
        </w:rPr>
        <w:t>林场</w:t>
      </w:r>
      <w:r>
        <w:rPr>
          <w:rFonts w:hint="eastAsia" w:ascii="仿宋_GB2312" w:hAnsi="仿宋_GB2312" w:eastAsia="仿宋_GB2312" w:cs="仿宋_GB2312"/>
          <w:color w:val="auto"/>
          <w:spacing w:val="7"/>
          <w:sz w:val="32"/>
          <w:szCs w:val="32"/>
          <w:highlight w:val="none"/>
          <w:u w:val="none"/>
          <w:lang w:val="en-US" w:eastAsia="zh-CN"/>
        </w:rPr>
        <w:t>平原生态林养护专项资金</w:t>
      </w:r>
      <w:r>
        <w:rPr>
          <w:rFonts w:hint="eastAsia" w:ascii="仿宋_GB2312" w:hAnsi="仿宋_GB2312" w:eastAsia="仿宋_GB2312" w:cs="仿宋_GB2312"/>
          <w:bCs/>
          <w:color w:val="auto"/>
          <w:kern w:val="0"/>
          <w:sz w:val="32"/>
          <w:szCs w:val="32"/>
          <w:highlight w:val="none"/>
        </w:rPr>
        <w:t>使用效益，加强对</w:t>
      </w:r>
      <w:r>
        <w:rPr>
          <w:rFonts w:hint="eastAsia" w:ascii="仿宋_GB2312" w:hAnsi="仿宋_GB2312" w:eastAsia="仿宋_GB2312" w:cs="仿宋_GB2312"/>
          <w:bCs/>
          <w:color w:val="auto"/>
          <w:kern w:val="0"/>
          <w:sz w:val="32"/>
          <w:szCs w:val="32"/>
          <w:highlight w:val="none"/>
          <w:lang w:val="en-US" w:eastAsia="zh-CN"/>
        </w:rPr>
        <w:t>服务</w:t>
      </w:r>
      <w:r>
        <w:rPr>
          <w:rFonts w:hint="eastAsia" w:ascii="仿宋_GB2312" w:hAnsi="仿宋_GB2312" w:eastAsia="仿宋_GB2312" w:cs="仿宋_GB2312"/>
          <w:bCs/>
          <w:color w:val="auto"/>
          <w:kern w:val="0"/>
          <w:sz w:val="32"/>
          <w:szCs w:val="32"/>
          <w:highlight w:val="none"/>
        </w:rPr>
        <w:t>商的管理和实施规范性，根据《中华人民共和国民法典》结合实际运营，制定本</w:t>
      </w:r>
      <w:r>
        <w:rPr>
          <w:rFonts w:hint="eastAsia" w:ascii="仿宋_GB2312" w:hAnsi="仿宋_GB2312" w:eastAsia="仿宋_GB2312" w:cs="仿宋_GB2312"/>
          <w:bCs/>
          <w:color w:val="auto"/>
          <w:kern w:val="0"/>
          <w:sz w:val="32"/>
          <w:szCs w:val="32"/>
          <w:highlight w:val="none"/>
          <w:lang w:val="en-US" w:eastAsia="zh-CN"/>
        </w:rPr>
        <w:t>制度</w:t>
      </w:r>
      <w:r>
        <w:rPr>
          <w:rFonts w:hint="eastAsia" w:ascii="仿宋_GB2312" w:hAnsi="仿宋_GB2312" w:eastAsia="仿宋_GB2312" w:cs="仿宋_GB2312"/>
          <w:bCs/>
          <w:color w:val="auto"/>
          <w:kern w:val="0"/>
          <w:sz w:val="32"/>
          <w:szCs w:val="32"/>
          <w:highlight w:val="none"/>
        </w:rPr>
        <w:t>。</w:t>
      </w:r>
    </w:p>
    <w:p w14:paraId="35EDAA4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（二）适用于</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bCs/>
          <w:color w:val="auto"/>
          <w:kern w:val="0"/>
          <w:sz w:val="32"/>
          <w:szCs w:val="32"/>
          <w:highlight w:val="none"/>
        </w:rPr>
        <w:t>涉及的各类运营采购业务，体系中服务商含义包括但不限于各类园林材料设备服务商、行政办公材料设备服务商、修缮类服务商、各类咨询、培训、营销、设计等服务的提供商。</w:t>
      </w:r>
      <w:r>
        <w:rPr>
          <w:rFonts w:hint="eastAsia" w:ascii="仿宋_GB2312" w:hAnsi="仿宋_GB2312" w:eastAsia="仿宋_GB2312" w:cs="仿宋_GB2312"/>
          <w:bCs/>
          <w:color w:val="auto"/>
          <w:kern w:val="0"/>
          <w:sz w:val="32"/>
          <w:szCs w:val="32"/>
          <w:highlight w:val="none"/>
          <w:lang w:val="en-US" w:eastAsia="zh-CN"/>
        </w:rPr>
        <w:t>新型</w:t>
      </w:r>
      <w:r>
        <w:rPr>
          <w:rFonts w:hint="eastAsia" w:ascii="仿宋_GB2312" w:hAnsi="仿宋_GB2312" w:eastAsia="仿宋_GB2312" w:cs="仿宋_GB2312"/>
          <w:bCs/>
          <w:color w:val="auto"/>
          <w:kern w:val="0"/>
          <w:sz w:val="32"/>
          <w:szCs w:val="32"/>
          <w:highlight w:val="none"/>
        </w:rPr>
        <w:t>集体林场预算控制</w:t>
      </w:r>
      <w:r>
        <w:rPr>
          <w:rFonts w:hint="eastAsia" w:ascii="仿宋_GB2312" w:hAnsi="仿宋_GB2312" w:eastAsia="仿宋_GB2312" w:cs="仿宋_GB2312"/>
          <w:bCs/>
          <w:color w:val="auto"/>
          <w:kern w:val="0"/>
          <w:sz w:val="32"/>
          <w:szCs w:val="32"/>
          <w:highlight w:val="none"/>
          <w:lang w:val="en-US" w:eastAsia="zh-CN"/>
        </w:rPr>
        <w:t>部门</w:t>
      </w:r>
      <w:r>
        <w:rPr>
          <w:rFonts w:hint="eastAsia" w:ascii="仿宋_GB2312" w:hAnsi="仿宋_GB2312" w:eastAsia="仿宋_GB2312" w:cs="仿宋_GB2312"/>
          <w:bCs/>
          <w:color w:val="auto"/>
          <w:kern w:val="0"/>
          <w:sz w:val="32"/>
          <w:szCs w:val="32"/>
          <w:highlight w:val="none"/>
        </w:rPr>
        <w:t>负责成本控制，</w:t>
      </w:r>
      <w:r>
        <w:rPr>
          <w:rFonts w:hint="eastAsia" w:ascii="仿宋_GB2312" w:hAnsi="仿宋_GB2312" w:eastAsia="仿宋_GB2312" w:cs="仿宋_GB2312"/>
          <w:bCs/>
          <w:color w:val="auto"/>
          <w:kern w:val="0"/>
          <w:sz w:val="32"/>
          <w:szCs w:val="32"/>
          <w:highlight w:val="none"/>
          <w:lang w:val="en-US" w:eastAsia="zh-CN"/>
        </w:rPr>
        <w:t>综合部</w:t>
      </w:r>
      <w:r>
        <w:rPr>
          <w:rFonts w:hint="eastAsia" w:ascii="仿宋_GB2312" w:hAnsi="仿宋_GB2312" w:eastAsia="仿宋_GB2312" w:cs="仿宋_GB2312"/>
          <w:bCs/>
          <w:color w:val="auto"/>
          <w:kern w:val="0"/>
          <w:sz w:val="32"/>
          <w:szCs w:val="32"/>
          <w:highlight w:val="none"/>
        </w:rPr>
        <w:t>负责组织服务商数据库的建立、评估、维护，采购选取为申请</w:t>
      </w:r>
      <w:r>
        <w:rPr>
          <w:rFonts w:hint="eastAsia" w:ascii="仿宋_GB2312" w:hAnsi="仿宋_GB2312" w:eastAsia="仿宋_GB2312" w:cs="仿宋_GB2312"/>
          <w:bCs/>
          <w:color w:val="auto"/>
          <w:kern w:val="0"/>
          <w:sz w:val="32"/>
          <w:szCs w:val="32"/>
          <w:highlight w:val="none"/>
          <w:lang w:eastAsia="zh-CN"/>
        </w:rPr>
        <w:t>部门</w:t>
      </w:r>
      <w:r>
        <w:rPr>
          <w:rFonts w:hint="eastAsia" w:ascii="仿宋_GB2312" w:hAnsi="仿宋_GB2312" w:eastAsia="仿宋_GB2312" w:cs="仿宋_GB2312"/>
          <w:bCs/>
          <w:color w:val="auto"/>
          <w:kern w:val="0"/>
          <w:sz w:val="32"/>
          <w:szCs w:val="32"/>
          <w:highlight w:val="none"/>
        </w:rPr>
        <w:t>自动选择，采用</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谁选择谁负责</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的责任制，各</w:t>
      </w:r>
      <w:r>
        <w:rPr>
          <w:rFonts w:hint="eastAsia" w:ascii="仿宋_GB2312" w:hAnsi="仿宋_GB2312" w:eastAsia="仿宋_GB2312" w:cs="仿宋_GB2312"/>
          <w:bCs/>
          <w:color w:val="auto"/>
          <w:kern w:val="0"/>
          <w:sz w:val="32"/>
          <w:szCs w:val="32"/>
          <w:highlight w:val="none"/>
          <w:lang w:val="en-US" w:eastAsia="zh-CN"/>
        </w:rPr>
        <w:t>部门</w:t>
      </w:r>
      <w:r>
        <w:rPr>
          <w:rFonts w:hint="eastAsia" w:ascii="仿宋_GB2312" w:hAnsi="仿宋_GB2312" w:eastAsia="仿宋_GB2312" w:cs="仿宋_GB2312"/>
          <w:bCs/>
          <w:color w:val="auto"/>
          <w:kern w:val="0"/>
          <w:sz w:val="32"/>
          <w:szCs w:val="32"/>
          <w:highlight w:val="none"/>
        </w:rPr>
        <w:t>根据其职责完成相关工作。采购</w:t>
      </w:r>
      <w:r>
        <w:rPr>
          <w:rFonts w:hint="eastAsia" w:ascii="仿宋_GB2312" w:hAnsi="仿宋_GB2312" w:eastAsia="仿宋_GB2312" w:cs="仿宋_GB2312"/>
          <w:bCs/>
          <w:color w:val="auto"/>
          <w:kern w:val="0"/>
          <w:sz w:val="32"/>
          <w:szCs w:val="32"/>
          <w:highlight w:val="none"/>
          <w:lang w:eastAsia="zh-CN"/>
        </w:rPr>
        <w:t>部门</w:t>
      </w:r>
      <w:r>
        <w:rPr>
          <w:rFonts w:hint="eastAsia" w:ascii="仿宋_GB2312" w:hAnsi="仿宋_GB2312" w:eastAsia="仿宋_GB2312" w:cs="仿宋_GB2312"/>
          <w:bCs/>
          <w:color w:val="auto"/>
          <w:kern w:val="0"/>
          <w:sz w:val="32"/>
          <w:szCs w:val="32"/>
          <w:highlight w:val="none"/>
        </w:rPr>
        <w:t>协同申请</w:t>
      </w:r>
      <w:r>
        <w:rPr>
          <w:rFonts w:hint="eastAsia" w:ascii="仿宋_GB2312" w:hAnsi="仿宋_GB2312" w:eastAsia="仿宋_GB2312" w:cs="仿宋_GB2312"/>
          <w:bCs/>
          <w:color w:val="auto"/>
          <w:kern w:val="0"/>
          <w:sz w:val="32"/>
          <w:szCs w:val="32"/>
          <w:highlight w:val="none"/>
          <w:lang w:eastAsia="zh-CN"/>
        </w:rPr>
        <w:t>部门</w:t>
      </w:r>
      <w:r>
        <w:rPr>
          <w:rFonts w:hint="eastAsia" w:ascii="仿宋_GB2312" w:hAnsi="仿宋_GB2312" w:eastAsia="仿宋_GB2312" w:cs="仿宋_GB2312"/>
          <w:bCs/>
          <w:color w:val="auto"/>
          <w:kern w:val="0"/>
          <w:sz w:val="32"/>
          <w:szCs w:val="32"/>
          <w:highlight w:val="none"/>
        </w:rPr>
        <w:t>按照采购制度对涉及对比、邀标、招标项目的服务商信息组织比选，以上需报场务会批准审议通过，同时将相关资料按进度更新至服务商管理系统中。</w:t>
      </w:r>
    </w:p>
    <w:p w14:paraId="4BCC303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（三）所称购买服务，是指各</w:t>
      </w:r>
      <w:r>
        <w:rPr>
          <w:rFonts w:hint="eastAsia" w:ascii="仿宋_GB2312" w:hAnsi="仿宋_GB2312" w:eastAsia="仿宋_GB2312" w:cs="仿宋_GB2312"/>
          <w:bCs/>
          <w:color w:val="auto"/>
          <w:kern w:val="0"/>
          <w:sz w:val="32"/>
          <w:szCs w:val="32"/>
          <w:highlight w:val="none"/>
          <w:lang w:eastAsia="zh-CN"/>
        </w:rPr>
        <w:t>部门</w:t>
      </w:r>
      <w:r>
        <w:rPr>
          <w:rFonts w:hint="eastAsia" w:ascii="仿宋_GB2312" w:hAnsi="仿宋_GB2312" w:eastAsia="仿宋_GB2312" w:cs="仿宋_GB2312"/>
          <w:bCs/>
          <w:color w:val="auto"/>
          <w:kern w:val="0"/>
          <w:sz w:val="32"/>
          <w:szCs w:val="32"/>
          <w:highlight w:val="none"/>
        </w:rPr>
        <w:t>将属于自身职责范围且用于林地养护工作和为</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bCs/>
          <w:color w:val="auto"/>
          <w:kern w:val="0"/>
          <w:sz w:val="32"/>
          <w:szCs w:val="32"/>
          <w:highlight w:val="none"/>
        </w:rPr>
        <w:t>提质增效提供的服务事项，按照</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bCs/>
          <w:color w:val="auto"/>
          <w:kern w:val="0"/>
          <w:sz w:val="32"/>
          <w:szCs w:val="32"/>
          <w:highlight w:val="none"/>
        </w:rPr>
        <w:t>采购制度和流程，交由符合条件的服务商承担，并根据服务数量和质量等因素向其支付费用的行为。</w:t>
      </w:r>
    </w:p>
    <w:p w14:paraId="2F09B5C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（四）</w:t>
      </w:r>
      <w:r>
        <w:rPr>
          <w:rFonts w:hint="eastAsia" w:ascii="仿宋_GB2312" w:hAnsi="仿宋_GB2312" w:eastAsia="仿宋_GB2312" w:cs="仿宋_GB2312"/>
          <w:bCs/>
          <w:color w:val="auto"/>
          <w:kern w:val="0"/>
          <w:sz w:val="32"/>
          <w:szCs w:val="32"/>
          <w:highlight w:val="none"/>
          <w:lang w:val="en-US" w:eastAsia="zh-CN"/>
        </w:rPr>
        <w:t>新型集体林场</w:t>
      </w:r>
      <w:r>
        <w:rPr>
          <w:rFonts w:hint="eastAsia" w:ascii="仿宋_GB2312" w:hAnsi="仿宋_GB2312" w:eastAsia="仿宋_GB2312" w:cs="仿宋_GB2312"/>
          <w:bCs/>
          <w:color w:val="auto"/>
          <w:kern w:val="0"/>
          <w:sz w:val="32"/>
          <w:szCs w:val="32"/>
          <w:highlight w:val="none"/>
        </w:rPr>
        <w:t>选取服务应当遵循预算约束、科学规范，以事定费、费随事转，公开择优、诚实信用，讲求绩效、突出重点原则，所需资金按照</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bCs/>
          <w:color w:val="auto"/>
          <w:kern w:val="0"/>
          <w:sz w:val="32"/>
          <w:szCs w:val="32"/>
          <w:highlight w:val="none"/>
        </w:rPr>
        <w:t>预算管理列入部门预算，统筹管理。</w:t>
      </w:r>
    </w:p>
    <w:p w14:paraId="0B4719C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（五）服务商一般应当具备以下基本条件：</w:t>
      </w:r>
    </w:p>
    <w:p w14:paraId="145D2FF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1.依法设立，具有独立承担民事责任的能力。</w:t>
      </w:r>
    </w:p>
    <w:p w14:paraId="0BA93AD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2.具有独立、健全的财务管理、会计核算。</w:t>
      </w:r>
    </w:p>
    <w:p w14:paraId="63D72A5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3.具备提供服务所必需的设施、人员和专业技术能力</w:t>
      </w:r>
      <w:r>
        <w:rPr>
          <w:rFonts w:hint="eastAsia" w:ascii="仿宋_GB2312" w:hAnsi="仿宋_GB2312" w:eastAsia="仿宋_GB2312" w:cs="仿宋_GB2312"/>
          <w:bCs/>
          <w:color w:val="auto"/>
          <w:kern w:val="0"/>
          <w:sz w:val="32"/>
          <w:szCs w:val="32"/>
          <w:highlight w:val="none"/>
          <w:lang w:val="en-US" w:eastAsia="zh-CN"/>
        </w:rPr>
        <w:t>及资质（如需）</w:t>
      </w:r>
      <w:r>
        <w:rPr>
          <w:rFonts w:hint="eastAsia" w:ascii="仿宋_GB2312" w:hAnsi="仿宋_GB2312" w:eastAsia="仿宋_GB2312" w:cs="仿宋_GB2312"/>
          <w:bCs/>
          <w:color w:val="auto"/>
          <w:kern w:val="0"/>
          <w:sz w:val="32"/>
          <w:szCs w:val="32"/>
          <w:highlight w:val="none"/>
        </w:rPr>
        <w:t>。</w:t>
      </w:r>
    </w:p>
    <w:p w14:paraId="1A8D5FA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4.具有依法缴纳税收和社会保障资金的良好记录。</w:t>
      </w:r>
    </w:p>
    <w:p w14:paraId="7E21315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5.三年内无重大违法记录，信用状况良好，未被列入严重违法失信企业名单。</w:t>
      </w:r>
    </w:p>
    <w:p w14:paraId="2ACF143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6.</w:t>
      </w:r>
      <w:r>
        <w:rPr>
          <w:rFonts w:hint="eastAsia" w:ascii="仿宋_GB2312" w:hAnsi="仿宋_GB2312" w:eastAsia="仿宋_GB2312" w:cs="仿宋_GB2312"/>
          <w:bCs/>
          <w:color w:val="auto"/>
          <w:kern w:val="0"/>
          <w:sz w:val="32"/>
          <w:szCs w:val="32"/>
          <w:highlight w:val="none"/>
          <w:lang w:eastAsia="zh-CN"/>
        </w:rPr>
        <w:t>法律法规</w:t>
      </w:r>
      <w:r>
        <w:rPr>
          <w:rFonts w:hint="eastAsia" w:ascii="仿宋_GB2312" w:hAnsi="仿宋_GB2312" w:eastAsia="仿宋_GB2312" w:cs="仿宋_GB2312"/>
          <w:bCs/>
          <w:color w:val="auto"/>
          <w:kern w:val="0"/>
          <w:sz w:val="32"/>
          <w:szCs w:val="32"/>
          <w:highlight w:val="none"/>
        </w:rPr>
        <w:t>规定以及购买服务项目要求的其他条件。</w:t>
      </w:r>
    </w:p>
    <w:p w14:paraId="4787048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（六）购买服务的实施。</w:t>
      </w:r>
    </w:p>
    <w:p w14:paraId="72DE866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实施购买服务项目，应当按照财务制度、采购制度、合同管理制度、</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三重一大</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制度等有关规定，采用公开招标、邀请招标、询价、竞争性谈判、竞争性磋商、单一来源采购等方式选择服务商，相关的采购限额标准、公开招标数额标准、采购方式变更、采购计划申请等按照各部门预算执行。</w:t>
      </w:r>
    </w:p>
    <w:p w14:paraId="657E970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（七）按照规定确认服务商后签订合同。合同要明确服务对象，服务的内容、期限、数量、质量、价格等要求，以及资金结算方式、双方的权利义务事项和违约责任等内容。各</w:t>
      </w:r>
      <w:r>
        <w:rPr>
          <w:rFonts w:hint="eastAsia" w:ascii="仿宋_GB2312" w:hAnsi="仿宋_GB2312" w:eastAsia="仿宋_GB2312" w:cs="仿宋_GB2312"/>
          <w:bCs/>
          <w:color w:val="auto"/>
          <w:kern w:val="0"/>
          <w:sz w:val="32"/>
          <w:szCs w:val="32"/>
          <w:highlight w:val="none"/>
          <w:lang w:eastAsia="zh-CN"/>
        </w:rPr>
        <w:t>部门</w:t>
      </w:r>
      <w:r>
        <w:rPr>
          <w:rFonts w:hint="eastAsia" w:ascii="仿宋_GB2312" w:hAnsi="仿宋_GB2312" w:eastAsia="仿宋_GB2312" w:cs="仿宋_GB2312"/>
          <w:bCs/>
          <w:color w:val="auto"/>
          <w:kern w:val="0"/>
          <w:sz w:val="32"/>
          <w:szCs w:val="32"/>
          <w:highlight w:val="none"/>
        </w:rPr>
        <w:t>购买服务项目合同履行期限或项目实施期限一般不超过1年；对于购买需求具有相对固定性、延续性且价格变化幅度小的服务事项，在年度预算能保障的前提下，合同期限最多不超过3年。</w:t>
      </w:r>
    </w:p>
    <w:p w14:paraId="55570D4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（八）应当加强所选服务商履约管理，督促服务商严格履行合同等约定。服务商应当按照合同约定履行提供服务的义务，认真组织实施项目，保证服务数量、质量和效果。</w:t>
      </w:r>
    </w:p>
    <w:p w14:paraId="64A53F9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（九）服务商数据库的建立与维护</w:t>
      </w:r>
    </w:p>
    <w:p w14:paraId="083E0AF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1.根据</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bCs/>
          <w:color w:val="auto"/>
          <w:kern w:val="0"/>
          <w:sz w:val="32"/>
          <w:szCs w:val="32"/>
          <w:highlight w:val="none"/>
        </w:rPr>
        <w:t>工作计划和创新模式，可以收集符合要求的服务商提交审核资料，包括但不限于运营资格预审材料、企业宣传册、产品图册等，所有服务商均通过</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bCs/>
          <w:color w:val="auto"/>
          <w:kern w:val="0"/>
          <w:sz w:val="32"/>
          <w:szCs w:val="32"/>
          <w:highlight w:val="none"/>
        </w:rPr>
        <w:t>场务会批准后，交由</w:t>
      </w:r>
      <w:r>
        <w:rPr>
          <w:rFonts w:hint="eastAsia" w:ascii="仿宋_GB2312" w:hAnsi="仿宋_GB2312" w:eastAsia="仿宋_GB2312" w:cs="仿宋_GB2312"/>
          <w:bCs/>
          <w:color w:val="auto"/>
          <w:kern w:val="0"/>
          <w:sz w:val="32"/>
          <w:szCs w:val="32"/>
          <w:highlight w:val="none"/>
          <w:lang w:val="en-US" w:eastAsia="zh-CN"/>
        </w:rPr>
        <w:t>综合部</w:t>
      </w:r>
      <w:r>
        <w:rPr>
          <w:rFonts w:hint="eastAsia" w:ascii="仿宋_GB2312" w:hAnsi="仿宋_GB2312" w:eastAsia="仿宋_GB2312" w:cs="仿宋_GB2312"/>
          <w:bCs/>
          <w:color w:val="auto"/>
          <w:kern w:val="0"/>
          <w:sz w:val="32"/>
          <w:szCs w:val="32"/>
          <w:highlight w:val="none"/>
        </w:rPr>
        <w:t>备案。</w:t>
      </w:r>
    </w:p>
    <w:p w14:paraId="4C46635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2.通过</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bCs/>
          <w:color w:val="auto"/>
          <w:kern w:val="0"/>
          <w:sz w:val="32"/>
          <w:szCs w:val="32"/>
          <w:highlight w:val="none"/>
        </w:rPr>
        <w:t>对其资格的预审和考察，综合评定得分高于D级（60分）的潜在服务商，即可成为合格服务商，每两年进行重新考察与评定，同时刷新该服务商的综合等级，综合等级合格可继续续期两年。</w:t>
      </w:r>
    </w:p>
    <w:p w14:paraId="3837492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3.未通过</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bCs/>
          <w:color w:val="auto"/>
          <w:kern w:val="0"/>
          <w:sz w:val="32"/>
          <w:szCs w:val="32"/>
          <w:highlight w:val="none"/>
        </w:rPr>
        <w:t>对其资格的预审和考察，综合评定得分低于D级（60分），即确定为不合格服务商，两年内不得参与</w:t>
      </w:r>
      <w:r>
        <w:rPr>
          <w:rFonts w:hint="eastAsia" w:ascii="仿宋_GB2312" w:hAnsi="仿宋_GB2312" w:eastAsia="仿宋_GB2312" w:cs="仿宋_GB2312"/>
          <w:bCs/>
          <w:color w:val="auto"/>
          <w:kern w:val="0"/>
          <w:sz w:val="32"/>
          <w:szCs w:val="32"/>
          <w:highlight w:val="none"/>
          <w:lang w:val="en-US" w:eastAsia="zh-CN"/>
        </w:rPr>
        <w:t>新型集体林场</w:t>
      </w:r>
      <w:r>
        <w:rPr>
          <w:rFonts w:hint="eastAsia" w:ascii="仿宋_GB2312" w:hAnsi="仿宋_GB2312" w:eastAsia="仿宋_GB2312" w:cs="仿宋_GB2312"/>
          <w:bCs/>
          <w:color w:val="auto"/>
          <w:kern w:val="0"/>
          <w:sz w:val="32"/>
          <w:szCs w:val="32"/>
          <w:highlight w:val="none"/>
        </w:rPr>
        <w:t>的所有采购业务，在合同履约过程中出现恶意违反合同条款，造成重大损失，后果严重的服务商，将被列入合作黑名单中，取消所有合作。</w:t>
      </w:r>
    </w:p>
    <w:p w14:paraId="5C6E51A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4.数据库系统的建立和日常运维由</w:t>
      </w:r>
      <w:r>
        <w:rPr>
          <w:rFonts w:hint="eastAsia" w:ascii="仿宋_GB2312" w:hAnsi="仿宋_GB2312" w:eastAsia="仿宋_GB2312" w:cs="仿宋_GB2312"/>
          <w:bCs/>
          <w:color w:val="auto"/>
          <w:kern w:val="0"/>
          <w:sz w:val="32"/>
          <w:szCs w:val="32"/>
          <w:highlight w:val="none"/>
          <w:lang w:val="en-US" w:eastAsia="zh-CN"/>
        </w:rPr>
        <w:t>综合部</w:t>
      </w:r>
      <w:r>
        <w:rPr>
          <w:rFonts w:hint="eastAsia" w:ascii="仿宋_GB2312" w:hAnsi="仿宋_GB2312" w:eastAsia="仿宋_GB2312" w:cs="仿宋_GB2312"/>
          <w:bCs/>
          <w:color w:val="auto"/>
          <w:kern w:val="0"/>
          <w:sz w:val="32"/>
          <w:szCs w:val="32"/>
          <w:highlight w:val="none"/>
        </w:rPr>
        <w:t>负责统筹，其他</w:t>
      </w:r>
      <w:r>
        <w:rPr>
          <w:rFonts w:hint="eastAsia" w:ascii="仿宋_GB2312" w:hAnsi="仿宋_GB2312" w:eastAsia="仿宋_GB2312" w:cs="仿宋_GB2312"/>
          <w:bCs/>
          <w:color w:val="auto"/>
          <w:spacing w:val="-6"/>
          <w:kern w:val="0"/>
          <w:sz w:val="32"/>
          <w:szCs w:val="32"/>
          <w:highlight w:val="none"/>
          <w:lang w:eastAsia="zh-CN"/>
        </w:rPr>
        <w:t>部门</w:t>
      </w:r>
      <w:r>
        <w:rPr>
          <w:rFonts w:hint="eastAsia" w:ascii="仿宋_GB2312" w:hAnsi="仿宋_GB2312" w:eastAsia="仿宋_GB2312" w:cs="仿宋_GB2312"/>
          <w:bCs/>
          <w:color w:val="auto"/>
          <w:spacing w:val="-6"/>
          <w:kern w:val="0"/>
          <w:sz w:val="32"/>
          <w:szCs w:val="32"/>
          <w:highlight w:val="none"/>
        </w:rPr>
        <w:t>负责配合相关工作，评定和考察工作由各</w:t>
      </w:r>
      <w:r>
        <w:rPr>
          <w:rFonts w:hint="eastAsia" w:ascii="仿宋_GB2312" w:hAnsi="仿宋_GB2312" w:eastAsia="仿宋_GB2312" w:cs="仿宋_GB2312"/>
          <w:bCs/>
          <w:color w:val="auto"/>
          <w:spacing w:val="-6"/>
          <w:kern w:val="0"/>
          <w:sz w:val="32"/>
          <w:szCs w:val="32"/>
          <w:highlight w:val="none"/>
          <w:lang w:eastAsia="zh-CN"/>
        </w:rPr>
        <w:t>部门</w:t>
      </w:r>
      <w:r>
        <w:rPr>
          <w:rFonts w:hint="eastAsia" w:ascii="仿宋_GB2312" w:hAnsi="仿宋_GB2312" w:eastAsia="仿宋_GB2312" w:cs="仿宋_GB2312"/>
          <w:bCs/>
          <w:color w:val="auto"/>
          <w:spacing w:val="-6"/>
          <w:kern w:val="0"/>
          <w:sz w:val="32"/>
          <w:szCs w:val="32"/>
          <w:highlight w:val="none"/>
        </w:rPr>
        <w:t>共同完成。</w:t>
      </w:r>
    </w:p>
    <w:p w14:paraId="003AABB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5.服务商的打分评定根据分值划分为A</w:t>
      </w:r>
      <w:r>
        <w:rPr>
          <w:rFonts w:hint="eastAsia" w:ascii="仿宋_GB2312" w:hAnsi="仿宋_GB2312" w:eastAsia="仿宋_GB2312" w:cs="仿宋_GB2312"/>
          <w:bCs/>
          <w:color w:val="auto"/>
          <w:kern w:val="0"/>
          <w:sz w:val="32"/>
          <w:szCs w:val="32"/>
          <w:highlight w:val="none"/>
          <w:lang w:val="en-US" w:eastAsia="zh-CN"/>
        </w:rPr>
        <w:t>、</w:t>
      </w:r>
      <w:r>
        <w:rPr>
          <w:rFonts w:hint="eastAsia" w:ascii="仿宋_GB2312" w:hAnsi="仿宋_GB2312" w:eastAsia="仿宋_GB2312" w:cs="仿宋_GB2312"/>
          <w:bCs/>
          <w:color w:val="auto"/>
          <w:kern w:val="0"/>
          <w:sz w:val="32"/>
          <w:szCs w:val="32"/>
          <w:highlight w:val="none"/>
        </w:rPr>
        <w:t>B</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C</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D四档，A级优秀100</w:t>
      </w:r>
      <w:r>
        <w:rPr>
          <w:rFonts w:hint="eastAsia" w:ascii="仿宋_GB2312" w:hAnsi="仿宋_GB2312" w:eastAsia="仿宋_GB2312" w:cs="仿宋_GB2312"/>
          <w:bCs/>
          <w:color w:val="auto"/>
          <w:kern w:val="0"/>
          <w:sz w:val="32"/>
          <w:szCs w:val="32"/>
          <w:highlight w:val="none"/>
          <w:lang w:val="en-US" w:eastAsia="zh-CN"/>
        </w:rPr>
        <w:t>-</w:t>
      </w:r>
      <w:r>
        <w:rPr>
          <w:rFonts w:hint="eastAsia" w:ascii="仿宋_GB2312" w:hAnsi="仿宋_GB2312" w:eastAsia="仿宋_GB2312" w:cs="仿宋_GB2312"/>
          <w:bCs/>
          <w:color w:val="auto"/>
          <w:kern w:val="0"/>
          <w:sz w:val="32"/>
          <w:szCs w:val="32"/>
          <w:highlight w:val="none"/>
        </w:rPr>
        <w:t>86分；B级良好85</w:t>
      </w:r>
      <w:r>
        <w:rPr>
          <w:rFonts w:hint="eastAsia" w:ascii="仿宋_GB2312" w:hAnsi="仿宋_GB2312" w:eastAsia="仿宋_GB2312" w:cs="仿宋_GB2312"/>
          <w:bCs/>
          <w:color w:val="auto"/>
          <w:kern w:val="0"/>
          <w:sz w:val="32"/>
          <w:szCs w:val="32"/>
          <w:highlight w:val="none"/>
          <w:lang w:val="en-US" w:eastAsia="zh-CN"/>
        </w:rPr>
        <w:t>-</w:t>
      </w:r>
      <w:r>
        <w:rPr>
          <w:rFonts w:hint="eastAsia" w:ascii="仿宋_GB2312" w:hAnsi="仿宋_GB2312" w:eastAsia="仿宋_GB2312" w:cs="仿宋_GB2312"/>
          <w:bCs/>
          <w:color w:val="auto"/>
          <w:kern w:val="0"/>
          <w:sz w:val="32"/>
          <w:szCs w:val="32"/>
          <w:highlight w:val="none"/>
        </w:rPr>
        <w:t>71分；C级中等70</w:t>
      </w:r>
      <w:r>
        <w:rPr>
          <w:rFonts w:hint="eastAsia" w:ascii="仿宋_GB2312" w:hAnsi="仿宋_GB2312" w:eastAsia="仿宋_GB2312" w:cs="仿宋_GB2312"/>
          <w:bCs/>
          <w:color w:val="auto"/>
          <w:kern w:val="0"/>
          <w:sz w:val="32"/>
          <w:szCs w:val="32"/>
          <w:highlight w:val="none"/>
          <w:lang w:val="en-US" w:eastAsia="zh-CN"/>
        </w:rPr>
        <w:t>-</w:t>
      </w:r>
      <w:r>
        <w:rPr>
          <w:rFonts w:hint="eastAsia" w:ascii="仿宋_GB2312" w:hAnsi="仿宋_GB2312" w:eastAsia="仿宋_GB2312" w:cs="仿宋_GB2312"/>
          <w:bCs/>
          <w:color w:val="auto"/>
          <w:kern w:val="0"/>
          <w:sz w:val="32"/>
          <w:szCs w:val="32"/>
          <w:highlight w:val="none"/>
        </w:rPr>
        <w:t>60分；D级不合格小于60分。A</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B</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C级服务商为合格服务商；D级服务商为不合格服务商。</w:t>
      </w:r>
    </w:p>
    <w:p w14:paraId="510C832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6.服务商的评级因项目和合同执行阶段不同会有不同的评级分值，评估持续的整个过程是动态的，后期评级优先于其先期进行的评级，即以最近期的评级为该服务商的最新评级。</w:t>
      </w:r>
    </w:p>
    <w:p w14:paraId="2FC2412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十）</w:t>
      </w:r>
      <w:r>
        <w:rPr>
          <w:rFonts w:hint="eastAsia" w:ascii="仿宋_GB2312" w:hAnsi="仿宋_GB2312" w:eastAsia="仿宋_GB2312" w:cs="仿宋_GB2312"/>
          <w:bCs/>
          <w:color w:val="auto"/>
          <w:spacing w:val="-6"/>
          <w:kern w:val="0"/>
          <w:sz w:val="32"/>
          <w:szCs w:val="32"/>
          <w:highlight w:val="none"/>
          <w:lang w:val="en-US" w:eastAsia="zh-CN"/>
        </w:rPr>
        <w:t>存在以下情况，服务商退出服务商库并加入黑名单：</w:t>
      </w:r>
    </w:p>
    <w:p w14:paraId="31BA2DB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1.服务商最终受益人之间存在相互关联。不同服务商负责人为同一人或者存在直接（间接）控股、管理关系。</w:t>
      </w:r>
    </w:p>
    <w:p w14:paraId="26FBFB5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2.新型集体林场管理人员及亲属与服务商之间有关联。</w:t>
      </w:r>
    </w:p>
    <w:p w14:paraId="2698FF6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3.与新型集体林场存在利害关系可能影响采购公正性的服务商。</w:t>
      </w:r>
    </w:p>
    <w:p w14:paraId="52D593C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4.服务商评分低于60分。</w:t>
      </w:r>
    </w:p>
    <w:p w14:paraId="2F3E89D8">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85" w:name="_Toc845"/>
      <w:bookmarkStart w:id="86" w:name="_Toc2824"/>
      <w:bookmarkStart w:id="87" w:name="_Toc31099"/>
      <w:bookmarkStart w:id="88" w:name="_Toc17553"/>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第二章 采购制度</w:t>
      </w:r>
      <w:bookmarkEnd w:id="85"/>
      <w:bookmarkEnd w:id="86"/>
      <w:bookmarkEnd w:id="87"/>
      <w:bookmarkEnd w:id="88"/>
    </w:p>
    <w:p w14:paraId="5ACDDA8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bCs/>
          <w:color w:val="auto"/>
          <w:kern w:val="0"/>
          <w:sz w:val="32"/>
          <w:szCs w:val="32"/>
          <w:highlight w:val="none"/>
        </w:rPr>
      </w:pPr>
      <w:bookmarkStart w:id="89" w:name="_Toc21361"/>
      <w:r>
        <w:rPr>
          <w:rFonts w:hint="eastAsia" w:ascii="仿宋_GB2312" w:hAnsi="仿宋_GB2312" w:eastAsia="仿宋_GB2312" w:cs="仿宋_GB2312"/>
          <w:bCs/>
          <w:color w:val="auto"/>
          <w:kern w:val="0"/>
          <w:sz w:val="32"/>
          <w:szCs w:val="32"/>
          <w:highlight w:val="none"/>
        </w:rPr>
        <w:t>（一）采购</w:t>
      </w:r>
      <w:r>
        <w:rPr>
          <w:rFonts w:hint="eastAsia" w:ascii="仿宋_GB2312" w:hAnsi="仿宋_GB2312" w:eastAsia="仿宋_GB2312" w:cs="仿宋_GB2312"/>
          <w:bCs/>
          <w:color w:val="auto"/>
          <w:kern w:val="0"/>
          <w:sz w:val="32"/>
          <w:szCs w:val="32"/>
          <w:highlight w:val="none"/>
          <w:lang w:eastAsia="zh-CN"/>
        </w:rPr>
        <w:t>部门</w:t>
      </w:r>
      <w:r>
        <w:rPr>
          <w:rFonts w:hint="eastAsia" w:ascii="仿宋_GB2312" w:hAnsi="仿宋_GB2312" w:eastAsia="仿宋_GB2312" w:cs="仿宋_GB2312"/>
          <w:bCs/>
          <w:color w:val="auto"/>
          <w:kern w:val="0"/>
          <w:sz w:val="32"/>
          <w:szCs w:val="32"/>
          <w:highlight w:val="none"/>
        </w:rPr>
        <w:t>根据需求</w:t>
      </w:r>
      <w:r>
        <w:rPr>
          <w:rFonts w:hint="eastAsia" w:ascii="仿宋_GB2312" w:hAnsi="仿宋_GB2312" w:eastAsia="仿宋_GB2312" w:cs="仿宋_GB2312"/>
          <w:bCs/>
          <w:color w:val="auto"/>
          <w:kern w:val="0"/>
          <w:sz w:val="32"/>
          <w:szCs w:val="32"/>
          <w:highlight w:val="none"/>
          <w:lang w:eastAsia="zh-CN"/>
        </w:rPr>
        <w:t>部门</w:t>
      </w:r>
      <w:r>
        <w:rPr>
          <w:rFonts w:hint="eastAsia" w:ascii="仿宋_GB2312" w:hAnsi="仿宋_GB2312" w:eastAsia="仿宋_GB2312" w:cs="仿宋_GB2312"/>
          <w:bCs/>
          <w:color w:val="auto"/>
          <w:kern w:val="0"/>
          <w:sz w:val="32"/>
          <w:szCs w:val="32"/>
          <w:highlight w:val="none"/>
        </w:rPr>
        <w:t>提出的采购计划进行归类汇总，并针对养护费用支出统筹安排采购计划。</w:t>
      </w:r>
      <w:bookmarkEnd w:id="89"/>
    </w:p>
    <w:p w14:paraId="35E8AAE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bCs/>
          <w:color w:val="auto"/>
          <w:kern w:val="0"/>
          <w:sz w:val="32"/>
          <w:szCs w:val="32"/>
          <w:highlight w:val="none"/>
        </w:rPr>
      </w:pPr>
      <w:bookmarkStart w:id="90" w:name="_Toc22908"/>
      <w:r>
        <w:rPr>
          <w:rFonts w:hint="eastAsia" w:ascii="仿宋_GB2312" w:hAnsi="仿宋_GB2312" w:eastAsia="仿宋_GB2312" w:cs="仿宋_GB2312"/>
          <w:bCs/>
          <w:color w:val="auto"/>
          <w:kern w:val="0"/>
          <w:sz w:val="32"/>
          <w:szCs w:val="32"/>
          <w:highlight w:val="none"/>
        </w:rPr>
        <w:t>（二）采购</w:t>
      </w:r>
      <w:r>
        <w:rPr>
          <w:rFonts w:hint="eastAsia" w:ascii="仿宋_GB2312" w:hAnsi="仿宋_GB2312" w:eastAsia="仿宋_GB2312" w:cs="仿宋_GB2312"/>
          <w:bCs/>
          <w:color w:val="auto"/>
          <w:kern w:val="0"/>
          <w:sz w:val="32"/>
          <w:szCs w:val="32"/>
          <w:highlight w:val="none"/>
          <w:lang w:eastAsia="zh-CN"/>
        </w:rPr>
        <w:t>部门</w:t>
      </w:r>
      <w:r>
        <w:rPr>
          <w:rFonts w:hint="eastAsia" w:ascii="仿宋_GB2312" w:hAnsi="仿宋_GB2312" w:eastAsia="仿宋_GB2312" w:cs="仿宋_GB2312"/>
          <w:bCs/>
          <w:color w:val="auto"/>
          <w:kern w:val="0"/>
          <w:sz w:val="32"/>
          <w:szCs w:val="32"/>
          <w:highlight w:val="none"/>
        </w:rPr>
        <w:t>可对服务商运营资质与经营信誉及产品的质量、价格、交货及时性、供货条件等提出建议。</w:t>
      </w:r>
      <w:bookmarkEnd w:id="90"/>
    </w:p>
    <w:p w14:paraId="56C053D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（三）采购要依据市场和采购计划合理选择采购方式，采购权限设定：</w:t>
      </w:r>
    </w:p>
    <w:p w14:paraId="0E37CA1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bookmarkStart w:id="91" w:name="_Toc92183265"/>
      <w:bookmarkStart w:id="92" w:name="_Toc19035"/>
      <w:r>
        <w:rPr>
          <w:rFonts w:hint="eastAsia" w:ascii="仿宋_GB2312" w:hAnsi="仿宋_GB2312" w:eastAsia="仿宋_GB2312" w:cs="仿宋_GB2312"/>
          <w:bCs/>
          <w:color w:val="auto"/>
          <w:kern w:val="0"/>
          <w:sz w:val="32"/>
          <w:szCs w:val="32"/>
          <w:highlight w:val="none"/>
        </w:rPr>
        <w:t>1.单项金额</w:t>
      </w:r>
      <w:r>
        <w:rPr>
          <w:rFonts w:hint="eastAsia" w:ascii="仿宋_GB2312" w:hAnsi="仿宋_GB2312" w:eastAsia="仿宋_GB2312" w:cs="仿宋_GB2312"/>
          <w:bCs/>
          <w:color w:val="auto"/>
          <w:kern w:val="0"/>
          <w:sz w:val="32"/>
          <w:szCs w:val="32"/>
          <w:highlight w:val="none"/>
          <w:lang w:val="en-US" w:eastAsia="zh-CN"/>
        </w:rPr>
        <w:t>5</w:t>
      </w:r>
      <w:r>
        <w:rPr>
          <w:rFonts w:hint="eastAsia" w:ascii="仿宋_GB2312" w:hAnsi="仿宋_GB2312" w:eastAsia="仿宋_GB2312" w:cs="仿宋_GB2312"/>
          <w:bCs/>
          <w:color w:val="auto"/>
          <w:kern w:val="0"/>
          <w:sz w:val="32"/>
          <w:szCs w:val="32"/>
          <w:highlight w:val="none"/>
        </w:rPr>
        <w:t>万（不含）以下进行</w:t>
      </w:r>
      <w:r>
        <w:rPr>
          <w:rFonts w:hint="eastAsia" w:ascii="仿宋_GB2312" w:hAnsi="仿宋_GB2312" w:eastAsia="仿宋_GB2312" w:cs="仿宋_GB2312"/>
          <w:bCs/>
          <w:color w:val="auto"/>
          <w:kern w:val="0"/>
          <w:sz w:val="32"/>
          <w:szCs w:val="32"/>
          <w:highlight w:val="none"/>
          <w:lang w:val="en-US" w:eastAsia="zh-CN"/>
        </w:rPr>
        <w:t>场务会</w:t>
      </w:r>
      <w:r>
        <w:rPr>
          <w:rFonts w:hint="eastAsia" w:ascii="仿宋_GB2312" w:hAnsi="仿宋_GB2312" w:eastAsia="仿宋_GB2312" w:cs="仿宋_GB2312"/>
          <w:bCs/>
          <w:color w:val="auto"/>
          <w:kern w:val="0"/>
          <w:sz w:val="32"/>
          <w:szCs w:val="32"/>
          <w:highlight w:val="none"/>
        </w:rPr>
        <w:t>审批执行。</w:t>
      </w:r>
    </w:p>
    <w:p w14:paraId="1C469BF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2.单项金额</w:t>
      </w:r>
      <w:r>
        <w:rPr>
          <w:rFonts w:hint="eastAsia" w:ascii="仿宋_GB2312" w:hAnsi="仿宋_GB2312" w:eastAsia="仿宋_GB2312" w:cs="仿宋_GB2312"/>
          <w:bCs/>
          <w:color w:val="auto"/>
          <w:kern w:val="0"/>
          <w:sz w:val="32"/>
          <w:szCs w:val="32"/>
          <w:highlight w:val="none"/>
          <w:lang w:val="en-US" w:eastAsia="zh-CN"/>
        </w:rPr>
        <w:t>5</w:t>
      </w:r>
      <w:r>
        <w:rPr>
          <w:rFonts w:hint="eastAsia" w:ascii="仿宋_GB2312" w:hAnsi="仿宋_GB2312" w:eastAsia="仿宋_GB2312" w:cs="仿宋_GB2312"/>
          <w:bCs/>
          <w:color w:val="auto"/>
          <w:kern w:val="0"/>
          <w:sz w:val="32"/>
          <w:szCs w:val="32"/>
          <w:highlight w:val="none"/>
        </w:rPr>
        <w:t>万元（含）以上，</w:t>
      </w:r>
      <w:r>
        <w:rPr>
          <w:rFonts w:hint="eastAsia" w:ascii="仿宋_GB2312" w:hAnsi="仿宋_GB2312" w:eastAsia="仿宋_GB2312" w:cs="仿宋_GB2312"/>
          <w:bCs/>
          <w:color w:val="auto"/>
          <w:kern w:val="0"/>
          <w:sz w:val="32"/>
          <w:szCs w:val="32"/>
          <w:highlight w:val="none"/>
          <w:lang w:val="en-US" w:eastAsia="zh-CN"/>
        </w:rPr>
        <w:t>30</w:t>
      </w:r>
      <w:r>
        <w:rPr>
          <w:rFonts w:hint="eastAsia" w:ascii="仿宋_GB2312" w:hAnsi="仿宋_GB2312" w:eastAsia="仿宋_GB2312" w:cs="仿宋_GB2312"/>
          <w:bCs/>
          <w:color w:val="auto"/>
          <w:kern w:val="0"/>
          <w:sz w:val="32"/>
          <w:szCs w:val="32"/>
          <w:highlight w:val="none"/>
        </w:rPr>
        <w:t>万元（不含）以下的采购，通过比选</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应由三家</w:t>
      </w:r>
      <w:r>
        <w:rPr>
          <w:rFonts w:hint="eastAsia" w:ascii="仿宋_GB2312" w:hAnsi="仿宋_GB2312" w:eastAsia="仿宋_GB2312" w:cs="仿宋_GB2312"/>
          <w:bCs/>
          <w:color w:val="auto"/>
          <w:kern w:val="0"/>
          <w:sz w:val="32"/>
          <w:szCs w:val="32"/>
          <w:highlight w:val="none"/>
          <w:lang w:val="en-US" w:eastAsia="zh-CN"/>
        </w:rPr>
        <w:t>及</w:t>
      </w:r>
      <w:r>
        <w:rPr>
          <w:rFonts w:hint="eastAsia" w:ascii="仿宋_GB2312" w:hAnsi="仿宋_GB2312" w:eastAsia="仿宋_GB2312" w:cs="仿宋_GB2312"/>
          <w:bCs/>
          <w:color w:val="auto"/>
          <w:kern w:val="0"/>
          <w:sz w:val="32"/>
          <w:szCs w:val="32"/>
          <w:highlight w:val="none"/>
        </w:rPr>
        <w:t>以上供应商报价</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，并经场务会审批后由场长报</w:t>
      </w:r>
      <w:r>
        <w:rPr>
          <w:rFonts w:hint="eastAsia" w:ascii="仿宋_GB2312" w:hAnsi="仿宋_GB2312" w:eastAsia="仿宋_GB2312" w:cs="仿宋_GB2312"/>
          <w:bCs/>
          <w:color w:val="auto"/>
          <w:kern w:val="0"/>
          <w:sz w:val="32"/>
          <w:szCs w:val="32"/>
          <w:highlight w:val="none"/>
          <w:lang w:val="en-US" w:eastAsia="zh-CN"/>
        </w:rPr>
        <w:t>属地党委会通过</w:t>
      </w:r>
      <w:r>
        <w:rPr>
          <w:rFonts w:hint="eastAsia" w:ascii="仿宋_GB2312" w:hAnsi="仿宋_GB2312" w:eastAsia="仿宋_GB2312" w:cs="仿宋_GB2312"/>
          <w:bCs/>
          <w:color w:val="auto"/>
          <w:kern w:val="0"/>
          <w:sz w:val="32"/>
          <w:szCs w:val="32"/>
          <w:highlight w:val="none"/>
        </w:rPr>
        <w:t>。</w:t>
      </w:r>
    </w:p>
    <w:p w14:paraId="2A79B88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rPr>
        <w:t>3.单项金额</w:t>
      </w:r>
      <w:r>
        <w:rPr>
          <w:rFonts w:hint="eastAsia" w:ascii="仿宋_GB2312" w:hAnsi="仿宋_GB2312" w:eastAsia="仿宋_GB2312" w:cs="仿宋_GB2312"/>
          <w:bCs/>
          <w:color w:val="auto"/>
          <w:kern w:val="0"/>
          <w:sz w:val="32"/>
          <w:szCs w:val="32"/>
          <w:highlight w:val="none"/>
          <w:lang w:val="en-US" w:eastAsia="zh-CN"/>
        </w:rPr>
        <w:t>30</w:t>
      </w:r>
      <w:r>
        <w:rPr>
          <w:rFonts w:hint="eastAsia" w:ascii="仿宋_GB2312" w:hAnsi="仿宋_GB2312" w:eastAsia="仿宋_GB2312" w:cs="仿宋_GB2312"/>
          <w:bCs/>
          <w:color w:val="auto"/>
          <w:kern w:val="0"/>
          <w:sz w:val="32"/>
          <w:szCs w:val="32"/>
          <w:highlight w:val="none"/>
        </w:rPr>
        <w:t>万元（含）以上</w:t>
      </w:r>
      <w:r>
        <w:rPr>
          <w:rFonts w:hint="eastAsia" w:ascii="仿宋_GB2312" w:hAnsi="仿宋_GB2312" w:eastAsia="仿宋_GB2312" w:cs="仿宋_GB2312"/>
          <w:bCs/>
          <w:color w:val="auto"/>
          <w:kern w:val="0"/>
          <w:sz w:val="32"/>
          <w:szCs w:val="32"/>
          <w:highlight w:val="none"/>
          <w:lang w:val="en-US" w:eastAsia="zh-CN"/>
        </w:rPr>
        <w:t>50</w:t>
      </w:r>
      <w:r>
        <w:rPr>
          <w:rFonts w:hint="eastAsia" w:ascii="仿宋_GB2312" w:hAnsi="仿宋_GB2312" w:eastAsia="仿宋_GB2312" w:cs="仿宋_GB2312"/>
          <w:bCs/>
          <w:color w:val="auto"/>
          <w:kern w:val="0"/>
          <w:sz w:val="32"/>
          <w:szCs w:val="32"/>
          <w:highlight w:val="none"/>
        </w:rPr>
        <w:t>万元（不含）以下采购，采用</w:t>
      </w:r>
      <w:r>
        <w:rPr>
          <w:rFonts w:hint="eastAsia" w:ascii="仿宋_GB2312" w:hAnsi="仿宋_GB2312" w:eastAsia="仿宋_GB2312" w:cs="仿宋_GB2312"/>
          <w:bCs/>
          <w:color w:val="auto"/>
          <w:kern w:val="0"/>
          <w:sz w:val="32"/>
          <w:szCs w:val="32"/>
          <w:highlight w:val="none"/>
          <w:lang w:val="en-US" w:eastAsia="zh-CN"/>
        </w:rPr>
        <w:t>招标</w:t>
      </w:r>
      <w:r>
        <w:rPr>
          <w:rFonts w:hint="eastAsia" w:ascii="仿宋_GB2312" w:hAnsi="仿宋_GB2312" w:eastAsia="仿宋_GB2312" w:cs="仿宋_GB2312"/>
          <w:bCs/>
          <w:color w:val="auto"/>
          <w:kern w:val="0"/>
          <w:sz w:val="32"/>
          <w:szCs w:val="32"/>
          <w:highlight w:val="none"/>
        </w:rPr>
        <w:t>方式入选，报场务会审批后由场长报</w:t>
      </w:r>
      <w:r>
        <w:rPr>
          <w:rFonts w:hint="eastAsia" w:ascii="仿宋_GB2312" w:hAnsi="仿宋_GB2312" w:eastAsia="仿宋_GB2312" w:cs="仿宋_GB2312"/>
          <w:bCs/>
          <w:color w:val="auto"/>
          <w:kern w:val="0"/>
          <w:sz w:val="32"/>
          <w:szCs w:val="32"/>
          <w:highlight w:val="none"/>
          <w:lang w:val="en-US" w:eastAsia="zh-CN"/>
        </w:rPr>
        <w:t>属地党委会通过。</w:t>
      </w:r>
    </w:p>
    <w:p w14:paraId="1F45892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4.单项金额</w:t>
      </w:r>
      <w:r>
        <w:rPr>
          <w:rFonts w:hint="eastAsia" w:ascii="仿宋_GB2312" w:hAnsi="仿宋_GB2312" w:eastAsia="仿宋_GB2312" w:cs="仿宋_GB2312"/>
          <w:bCs/>
          <w:color w:val="auto"/>
          <w:kern w:val="0"/>
          <w:sz w:val="32"/>
          <w:szCs w:val="32"/>
          <w:highlight w:val="none"/>
          <w:lang w:val="en-US" w:eastAsia="zh-CN"/>
        </w:rPr>
        <w:t>50</w:t>
      </w:r>
      <w:r>
        <w:rPr>
          <w:rFonts w:hint="eastAsia" w:ascii="仿宋_GB2312" w:hAnsi="仿宋_GB2312" w:eastAsia="仿宋_GB2312" w:cs="仿宋_GB2312"/>
          <w:bCs/>
          <w:color w:val="auto"/>
          <w:kern w:val="0"/>
          <w:sz w:val="32"/>
          <w:szCs w:val="32"/>
          <w:highlight w:val="none"/>
        </w:rPr>
        <w:t>万元（含）以上采购，需经场务会审批后由场长报</w:t>
      </w:r>
      <w:r>
        <w:rPr>
          <w:rFonts w:hint="eastAsia" w:ascii="仿宋_GB2312" w:hAnsi="仿宋_GB2312" w:eastAsia="仿宋_GB2312" w:cs="仿宋_GB2312"/>
          <w:bCs/>
          <w:color w:val="auto"/>
          <w:kern w:val="0"/>
          <w:sz w:val="32"/>
          <w:szCs w:val="32"/>
          <w:highlight w:val="none"/>
          <w:lang w:val="en-US" w:eastAsia="zh-CN"/>
        </w:rPr>
        <w:t>属地党委会</w:t>
      </w:r>
      <w:r>
        <w:rPr>
          <w:rFonts w:hint="eastAsia" w:ascii="仿宋_GB2312" w:hAnsi="仿宋_GB2312" w:eastAsia="仿宋_GB2312" w:cs="仿宋_GB2312"/>
          <w:bCs/>
          <w:color w:val="auto"/>
          <w:kern w:val="0"/>
          <w:sz w:val="32"/>
          <w:szCs w:val="32"/>
          <w:highlight w:val="none"/>
        </w:rPr>
        <w:t>审批，采取招标方式确定供货商采购。</w:t>
      </w:r>
    </w:p>
    <w:p w14:paraId="7FDFBC6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5.单项金额</w:t>
      </w:r>
      <w:r>
        <w:rPr>
          <w:rFonts w:hint="eastAsia" w:ascii="仿宋_GB2312" w:hAnsi="仿宋_GB2312" w:eastAsia="仿宋_GB2312" w:cs="仿宋_GB2312"/>
          <w:bCs/>
          <w:color w:val="auto"/>
          <w:kern w:val="0"/>
          <w:sz w:val="32"/>
          <w:szCs w:val="32"/>
          <w:highlight w:val="none"/>
          <w:lang w:val="en-US" w:eastAsia="zh-CN"/>
        </w:rPr>
        <w:t>3</w:t>
      </w:r>
      <w:r>
        <w:rPr>
          <w:rFonts w:hint="eastAsia" w:ascii="仿宋_GB2312" w:hAnsi="仿宋_GB2312" w:eastAsia="仿宋_GB2312" w:cs="仿宋_GB2312"/>
          <w:bCs/>
          <w:color w:val="auto"/>
          <w:kern w:val="0"/>
          <w:sz w:val="32"/>
          <w:szCs w:val="32"/>
          <w:highlight w:val="none"/>
        </w:rPr>
        <w:t>万元（含）以上及固定资产采购需按合同要求签订《采购合同</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采购合同》金额超过30万元需经属地政府法务部门审批方可签订</w:t>
      </w:r>
      <w:r>
        <w:rPr>
          <w:rFonts w:hint="eastAsia" w:ascii="仿宋_GB2312" w:hAnsi="仿宋_GB2312" w:eastAsia="仿宋_GB2312" w:cs="仿宋_GB2312"/>
          <w:bCs/>
          <w:color w:val="auto"/>
          <w:kern w:val="0"/>
          <w:sz w:val="32"/>
          <w:szCs w:val="32"/>
          <w:highlight w:val="none"/>
        </w:rPr>
        <w:t>。</w:t>
      </w:r>
    </w:p>
    <w:bookmarkEnd w:id="91"/>
    <w:bookmarkEnd w:id="92"/>
    <w:p w14:paraId="09CC309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bCs/>
          <w:color w:val="auto"/>
          <w:kern w:val="0"/>
          <w:sz w:val="32"/>
          <w:szCs w:val="32"/>
          <w:highlight w:val="none"/>
        </w:rPr>
      </w:pPr>
      <w:bookmarkStart w:id="93" w:name="_Toc20195"/>
      <w:r>
        <w:rPr>
          <w:rFonts w:hint="eastAsia" w:ascii="仿宋_GB2312" w:hAnsi="仿宋_GB2312" w:eastAsia="仿宋_GB2312" w:cs="仿宋_GB2312"/>
          <w:bCs/>
          <w:color w:val="auto"/>
          <w:kern w:val="0"/>
          <w:sz w:val="32"/>
          <w:szCs w:val="32"/>
          <w:highlight w:val="none"/>
        </w:rPr>
        <w:t>（四）原则上所有物资均由采购</w:t>
      </w:r>
      <w:r>
        <w:rPr>
          <w:rFonts w:hint="eastAsia" w:ascii="仿宋_GB2312" w:hAnsi="仿宋_GB2312" w:eastAsia="仿宋_GB2312" w:cs="仿宋_GB2312"/>
          <w:bCs/>
          <w:color w:val="auto"/>
          <w:kern w:val="0"/>
          <w:sz w:val="32"/>
          <w:szCs w:val="32"/>
          <w:highlight w:val="none"/>
          <w:lang w:eastAsia="zh-CN"/>
        </w:rPr>
        <w:t>部门</w:t>
      </w:r>
      <w:r>
        <w:rPr>
          <w:rFonts w:hint="eastAsia" w:ascii="仿宋_GB2312" w:hAnsi="仿宋_GB2312" w:eastAsia="仿宋_GB2312" w:cs="仿宋_GB2312"/>
          <w:bCs/>
          <w:color w:val="auto"/>
          <w:kern w:val="0"/>
          <w:sz w:val="32"/>
          <w:szCs w:val="32"/>
          <w:highlight w:val="none"/>
        </w:rPr>
        <w:t>完成。指定物品采购，可经场务会申请讨论指派专人进行采购，采购程序参照以上条款执行。</w:t>
      </w:r>
      <w:bookmarkEnd w:id="93"/>
    </w:p>
    <w:p w14:paraId="5FB62EF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（五）采购付款严格按照</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bCs/>
          <w:color w:val="auto"/>
          <w:kern w:val="0"/>
          <w:sz w:val="32"/>
          <w:szCs w:val="32"/>
          <w:highlight w:val="none"/>
        </w:rPr>
        <w:t>的财务制度执行。</w:t>
      </w:r>
    </w:p>
    <w:p w14:paraId="61978962">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94" w:name="_Toc17154"/>
      <w:bookmarkStart w:id="95" w:name="_Toc2163"/>
      <w:bookmarkStart w:id="96" w:name="_Toc30938"/>
      <w:bookmarkStart w:id="97" w:name="_Toc29727"/>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第三章 采购流程</w:t>
      </w:r>
      <w:bookmarkEnd w:id="94"/>
      <w:bookmarkEnd w:id="95"/>
      <w:bookmarkEnd w:id="96"/>
      <w:bookmarkEnd w:id="97"/>
    </w:p>
    <w:p w14:paraId="4C0744C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bCs/>
          <w:color w:val="auto"/>
          <w:kern w:val="0"/>
          <w:sz w:val="32"/>
          <w:szCs w:val="32"/>
          <w:highlight w:val="none"/>
        </w:rPr>
      </w:pPr>
      <w:bookmarkStart w:id="98" w:name="_Toc25411"/>
      <w:r>
        <w:rPr>
          <w:rFonts w:hint="eastAsia" w:ascii="仿宋_GB2312" w:hAnsi="仿宋_GB2312" w:eastAsia="仿宋_GB2312" w:cs="仿宋_GB2312"/>
          <w:bCs/>
          <w:color w:val="auto"/>
          <w:kern w:val="0"/>
          <w:sz w:val="32"/>
          <w:szCs w:val="32"/>
          <w:highlight w:val="none"/>
        </w:rPr>
        <w:t>（一）申购。由申请</w:t>
      </w:r>
      <w:r>
        <w:rPr>
          <w:rFonts w:hint="eastAsia" w:ascii="仿宋_GB2312" w:hAnsi="仿宋_GB2312" w:eastAsia="仿宋_GB2312" w:cs="仿宋_GB2312"/>
          <w:bCs/>
          <w:color w:val="auto"/>
          <w:kern w:val="0"/>
          <w:sz w:val="32"/>
          <w:szCs w:val="32"/>
          <w:highlight w:val="none"/>
          <w:lang w:eastAsia="zh-CN"/>
        </w:rPr>
        <w:t>部门</w:t>
      </w:r>
      <w:r>
        <w:rPr>
          <w:rFonts w:hint="eastAsia" w:ascii="仿宋_GB2312" w:hAnsi="仿宋_GB2312" w:eastAsia="仿宋_GB2312" w:cs="仿宋_GB2312"/>
          <w:bCs/>
          <w:color w:val="auto"/>
          <w:kern w:val="0"/>
          <w:sz w:val="32"/>
          <w:szCs w:val="32"/>
          <w:highlight w:val="none"/>
        </w:rPr>
        <w:t>根据需求填报《采购申请单》。</w:t>
      </w:r>
      <w:bookmarkEnd w:id="98"/>
    </w:p>
    <w:p w14:paraId="54542DF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bCs/>
          <w:color w:val="auto"/>
          <w:kern w:val="0"/>
          <w:sz w:val="32"/>
          <w:szCs w:val="32"/>
          <w:highlight w:val="none"/>
        </w:rPr>
      </w:pPr>
      <w:bookmarkStart w:id="99" w:name="_Toc26325"/>
      <w:r>
        <w:rPr>
          <w:rFonts w:hint="eastAsia" w:ascii="仿宋_GB2312" w:hAnsi="仿宋_GB2312" w:eastAsia="仿宋_GB2312" w:cs="仿宋_GB2312"/>
          <w:bCs/>
          <w:color w:val="auto"/>
          <w:kern w:val="0"/>
          <w:sz w:val="32"/>
          <w:szCs w:val="32"/>
          <w:highlight w:val="none"/>
        </w:rPr>
        <w:t>（二）审批流程：</w:t>
      </w:r>
      <w:bookmarkEnd w:id="99"/>
    </w:p>
    <w:p w14:paraId="6B1D293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bCs/>
          <w:strike/>
          <w:color w:val="auto"/>
          <w:kern w:val="0"/>
          <w:sz w:val="32"/>
          <w:szCs w:val="32"/>
          <w:highlight w:val="none"/>
        </w:rPr>
      </w:pPr>
      <w:bookmarkStart w:id="100" w:name="_Toc32443"/>
      <w:r>
        <w:rPr>
          <w:rFonts w:hint="eastAsia" w:ascii="仿宋_GB2312" w:hAnsi="仿宋_GB2312" w:eastAsia="仿宋_GB2312" w:cs="仿宋_GB2312"/>
          <w:bCs/>
          <w:color w:val="auto"/>
          <w:kern w:val="0"/>
          <w:sz w:val="32"/>
          <w:szCs w:val="32"/>
          <w:highlight w:val="none"/>
        </w:rPr>
        <w:t>填报完善《采购申请单》→申请</w:t>
      </w:r>
      <w:r>
        <w:rPr>
          <w:rFonts w:hint="eastAsia" w:ascii="仿宋_GB2312" w:hAnsi="仿宋_GB2312" w:eastAsia="仿宋_GB2312" w:cs="仿宋_GB2312"/>
          <w:bCs/>
          <w:color w:val="auto"/>
          <w:kern w:val="0"/>
          <w:sz w:val="32"/>
          <w:szCs w:val="32"/>
          <w:highlight w:val="none"/>
          <w:lang w:eastAsia="zh-CN"/>
        </w:rPr>
        <w:t>部门</w:t>
      </w:r>
      <w:r>
        <w:rPr>
          <w:rFonts w:hint="eastAsia" w:ascii="仿宋_GB2312" w:hAnsi="仿宋_GB2312" w:eastAsia="仿宋_GB2312" w:cs="仿宋_GB2312"/>
          <w:bCs/>
          <w:color w:val="auto"/>
          <w:kern w:val="0"/>
          <w:sz w:val="32"/>
          <w:szCs w:val="32"/>
          <w:highlight w:val="none"/>
        </w:rPr>
        <w:t>负责人审批→场务会审议。</w:t>
      </w:r>
      <w:bookmarkEnd w:id="100"/>
    </w:p>
    <w:p w14:paraId="17C57D9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bCs/>
          <w:color w:val="auto"/>
          <w:kern w:val="0"/>
          <w:sz w:val="32"/>
          <w:szCs w:val="32"/>
          <w:highlight w:val="none"/>
        </w:rPr>
      </w:pPr>
      <w:bookmarkStart w:id="101" w:name="_Toc24871"/>
      <w:r>
        <w:rPr>
          <w:rFonts w:hint="eastAsia" w:ascii="仿宋_GB2312" w:hAnsi="仿宋_GB2312" w:eastAsia="仿宋_GB2312" w:cs="仿宋_GB2312"/>
          <w:bCs/>
          <w:color w:val="auto"/>
          <w:kern w:val="0"/>
          <w:sz w:val="32"/>
          <w:szCs w:val="32"/>
          <w:highlight w:val="none"/>
        </w:rPr>
        <w:t>（三）采购。采购</w:t>
      </w:r>
      <w:r>
        <w:rPr>
          <w:rFonts w:hint="eastAsia" w:ascii="仿宋_GB2312" w:hAnsi="仿宋_GB2312" w:eastAsia="仿宋_GB2312" w:cs="仿宋_GB2312"/>
          <w:bCs/>
          <w:color w:val="auto"/>
          <w:kern w:val="0"/>
          <w:sz w:val="32"/>
          <w:szCs w:val="32"/>
          <w:highlight w:val="none"/>
          <w:lang w:eastAsia="zh-CN"/>
        </w:rPr>
        <w:t>部门</w:t>
      </w:r>
      <w:r>
        <w:rPr>
          <w:rFonts w:hint="eastAsia" w:ascii="仿宋_GB2312" w:hAnsi="仿宋_GB2312" w:eastAsia="仿宋_GB2312" w:cs="仿宋_GB2312"/>
          <w:bCs/>
          <w:color w:val="auto"/>
          <w:kern w:val="0"/>
          <w:sz w:val="32"/>
          <w:szCs w:val="32"/>
          <w:highlight w:val="none"/>
        </w:rPr>
        <w:t>依据采购制度、场务会批复、审批后的《采购申请单》，安排采购。</w:t>
      </w:r>
      <w:bookmarkEnd w:id="101"/>
    </w:p>
    <w:p w14:paraId="7D80B21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bCs/>
          <w:color w:val="auto"/>
          <w:kern w:val="0"/>
          <w:sz w:val="32"/>
          <w:szCs w:val="32"/>
          <w:highlight w:val="none"/>
        </w:rPr>
      </w:pPr>
      <w:bookmarkStart w:id="102" w:name="_Toc17851"/>
      <w:r>
        <w:rPr>
          <w:rFonts w:hint="eastAsia" w:ascii="仿宋_GB2312" w:hAnsi="仿宋_GB2312" w:eastAsia="仿宋_GB2312" w:cs="仿宋_GB2312"/>
          <w:bCs/>
          <w:color w:val="auto"/>
          <w:kern w:val="0"/>
          <w:sz w:val="32"/>
          <w:szCs w:val="32"/>
          <w:highlight w:val="none"/>
        </w:rPr>
        <w:t>（四）验收。货品到货时采购</w:t>
      </w:r>
      <w:r>
        <w:rPr>
          <w:rFonts w:hint="eastAsia" w:ascii="仿宋_GB2312" w:hAnsi="仿宋_GB2312" w:eastAsia="仿宋_GB2312" w:cs="仿宋_GB2312"/>
          <w:bCs/>
          <w:color w:val="auto"/>
          <w:kern w:val="0"/>
          <w:sz w:val="32"/>
          <w:szCs w:val="32"/>
          <w:highlight w:val="none"/>
          <w:lang w:eastAsia="zh-CN"/>
        </w:rPr>
        <w:t>部门</w:t>
      </w:r>
      <w:r>
        <w:rPr>
          <w:rFonts w:hint="eastAsia" w:ascii="仿宋_GB2312" w:hAnsi="仿宋_GB2312" w:eastAsia="仿宋_GB2312" w:cs="仿宋_GB2312"/>
          <w:bCs/>
          <w:color w:val="auto"/>
          <w:kern w:val="0"/>
          <w:sz w:val="32"/>
          <w:szCs w:val="32"/>
          <w:highlight w:val="none"/>
        </w:rPr>
        <w:t>联合申请</w:t>
      </w:r>
      <w:r>
        <w:rPr>
          <w:rFonts w:hint="eastAsia" w:ascii="仿宋_GB2312" w:hAnsi="仿宋_GB2312" w:eastAsia="仿宋_GB2312" w:cs="仿宋_GB2312"/>
          <w:bCs/>
          <w:color w:val="auto"/>
          <w:kern w:val="0"/>
          <w:sz w:val="32"/>
          <w:szCs w:val="32"/>
          <w:highlight w:val="none"/>
          <w:lang w:eastAsia="zh-CN"/>
        </w:rPr>
        <w:t>部门</w:t>
      </w:r>
      <w:r>
        <w:rPr>
          <w:rFonts w:hint="eastAsia" w:ascii="仿宋_GB2312" w:hAnsi="仿宋_GB2312" w:eastAsia="仿宋_GB2312" w:cs="仿宋_GB2312"/>
          <w:bCs/>
          <w:color w:val="auto"/>
          <w:kern w:val="0"/>
          <w:sz w:val="32"/>
          <w:szCs w:val="32"/>
          <w:highlight w:val="none"/>
        </w:rPr>
        <w:t>或库房管理员验货，由货品保存</w:t>
      </w:r>
      <w:r>
        <w:rPr>
          <w:rFonts w:hint="eastAsia" w:ascii="仿宋_GB2312" w:hAnsi="仿宋_GB2312" w:eastAsia="仿宋_GB2312" w:cs="仿宋_GB2312"/>
          <w:bCs/>
          <w:color w:val="auto"/>
          <w:kern w:val="0"/>
          <w:sz w:val="32"/>
          <w:szCs w:val="32"/>
          <w:highlight w:val="none"/>
          <w:lang w:eastAsia="zh-CN"/>
        </w:rPr>
        <w:t>部门</w:t>
      </w:r>
      <w:r>
        <w:rPr>
          <w:rFonts w:hint="eastAsia" w:ascii="仿宋_GB2312" w:hAnsi="仿宋_GB2312" w:eastAsia="仿宋_GB2312" w:cs="仿宋_GB2312"/>
          <w:bCs/>
          <w:color w:val="auto"/>
          <w:kern w:val="0"/>
          <w:sz w:val="32"/>
          <w:szCs w:val="32"/>
          <w:highlight w:val="none"/>
        </w:rPr>
        <w:t>在送货单据上验收、确认、签字并入库，货品验收包括质量、数量、种类合格。</w:t>
      </w:r>
      <w:bookmarkEnd w:id="102"/>
    </w:p>
    <w:p w14:paraId="1C5529A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03" w:name="_Toc5603"/>
      <w:r>
        <w:rPr>
          <w:rFonts w:hint="eastAsia" w:ascii="仿宋_GB2312" w:hAnsi="仿宋_GB2312" w:eastAsia="仿宋_GB2312" w:cs="仿宋_GB2312"/>
          <w:bCs/>
          <w:color w:val="auto"/>
          <w:kern w:val="0"/>
          <w:sz w:val="32"/>
          <w:szCs w:val="32"/>
          <w:highlight w:val="none"/>
        </w:rPr>
        <w:t>（五）付款。供货方开具正确的增值税专用发票（普通发票）采购</w:t>
      </w:r>
      <w:r>
        <w:rPr>
          <w:rFonts w:hint="eastAsia" w:ascii="仿宋_GB2312" w:hAnsi="仿宋_GB2312" w:eastAsia="仿宋_GB2312" w:cs="仿宋_GB2312"/>
          <w:bCs/>
          <w:color w:val="auto"/>
          <w:kern w:val="0"/>
          <w:sz w:val="32"/>
          <w:szCs w:val="32"/>
          <w:highlight w:val="none"/>
          <w:lang w:eastAsia="zh-CN"/>
        </w:rPr>
        <w:t>部门</w:t>
      </w:r>
      <w:r>
        <w:rPr>
          <w:rFonts w:hint="eastAsia" w:ascii="仿宋_GB2312" w:hAnsi="仿宋_GB2312" w:eastAsia="仿宋_GB2312" w:cs="仿宋_GB2312"/>
          <w:bCs/>
          <w:color w:val="auto"/>
          <w:kern w:val="0"/>
          <w:sz w:val="32"/>
          <w:szCs w:val="32"/>
          <w:highlight w:val="none"/>
        </w:rPr>
        <w:t>按照</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bCs/>
          <w:color w:val="auto"/>
          <w:kern w:val="0"/>
          <w:sz w:val="32"/>
          <w:szCs w:val="32"/>
          <w:highlight w:val="none"/>
        </w:rPr>
        <w:t>财务审批流程履行审批手续。财务预算控制在确认审批权限签字完整，按财务管理流程支付款项。</w:t>
      </w:r>
      <w:bookmarkEnd w:id="103"/>
      <w:bookmarkStart w:id="104" w:name="_Toc27959"/>
      <w:bookmarkStart w:id="105" w:name="_Toc679"/>
      <w:bookmarkStart w:id="106" w:name="_Toc17594"/>
      <w:bookmarkStart w:id="107" w:name="_Toc3093"/>
      <w:bookmarkStart w:id="108" w:name="_Toc1907"/>
    </w:p>
    <w:p w14:paraId="69085B83">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第四章 监督处罚管理</w:t>
      </w:r>
      <w:bookmarkEnd w:id="104"/>
      <w:bookmarkEnd w:id="105"/>
      <w:bookmarkEnd w:id="106"/>
      <w:bookmarkEnd w:id="107"/>
      <w:bookmarkEnd w:id="108"/>
    </w:p>
    <w:p w14:paraId="0F631D7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bCs/>
          <w:color w:val="auto"/>
          <w:kern w:val="0"/>
          <w:sz w:val="32"/>
          <w:szCs w:val="32"/>
          <w:highlight w:val="none"/>
          <w:lang w:val="en" w:eastAsia="zh-CN"/>
        </w:rPr>
      </w:pPr>
      <w:r>
        <w:rPr>
          <w:rFonts w:hint="default" w:ascii="仿宋_GB2312" w:hAnsi="仿宋_GB2312" w:eastAsia="仿宋_GB2312" w:cs="仿宋_GB2312"/>
          <w:bCs/>
          <w:color w:val="auto"/>
          <w:kern w:val="0"/>
          <w:sz w:val="32"/>
          <w:szCs w:val="32"/>
          <w:highlight w:val="none"/>
          <w:lang w:val="en" w:eastAsia="zh-CN"/>
        </w:rPr>
        <w:t>在采购过程中，应当严格遵守国家法律法规，恪守职业道德，公正廉洁。</w:t>
      </w:r>
      <w:r>
        <w:rPr>
          <w:rFonts w:hint="eastAsia" w:ascii="仿宋_GB2312" w:hAnsi="仿宋_GB2312" w:eastAsia="仿宋_GB2312" w:cs="仿宋_GB2312"/>
          <w:bCs/>
          <w:color w:val="auto"/>
          <w:kern w:val="0"/>
          <w:sz w:val="32"/>
          <w:szCs w:val="32"/>
          <w:highlight w:val="none"/>
          <w:lang w:val="en" w:eastAsia="zh-CN"/>
        </w:rPr>
        <w:t>如存在不作为、慢作为、乱作为等涉嫌违纪违法的问题线索，应及时移送区纪委区监委，区纪委区监委将依规依纪依法进行处理。</w:t>
      </w:r>
    </w:p>
    <w:p w14:paraId="5BF275B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bCs/>
          <w:color w:val="auto"/>
          <w:kern w:val="0"/>
          <w:sz w:val="32"/>
          <w:szCs w:val="32"/>
          <w:highlight w:val="none"/>
          <w:lang w:val="en" w:eastAsia="zh-CN"/>
        </w:rPr>
      </w:pPr>
    </w:p>
    <w:p w14:paraId="230FD086">
      <w:pPr>
        <w:keepNext/>
        <w:keepLines/>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outlineLvl w:val="1"/>
        <w:rPr>
          <w:rFonts w:hint="eastAsia" w:ascii="楷体_GB2312" w:hAnsi="楷体_GB2312" w:eastAsia="楷体_GB2312" w:cs="楷体_GB2312"/>
          <w:b/>
          <w:color w:val="auto"/>
          <w:kern w:val="2"/>
          <w:sz w:val="32"/>
          <w:szCs w:val="32"/>
          <w:highlight w:val="none"/>
          <w:lang w:val="en-US" w:eastAsia="zh-CN" w:bidi="ar-SA"/>
        </w:rPr>
      </w:pPr>
      <w:bookmarkStart w:id="109" w:name="_Toc7238"/>
      <w:bookmarkStart w:id="110" w:name="_Toc30533"/>
      <w:r>
        <w:rPr>
          <w:rFonts w:hint="eastAsia" w:ascii="楷体_GB2312" w:hAnsi="楷体_GB2312" w:eastAsia="楷体_GB2312" w:cs="楷体_GB2312"/>
          <w:b/>
          <w:color w:val="auto"/>
          <w:kern w:val="2"/>
          <w:sz w:val="32"/>
          <w:szCs w:val="32"/>
          <w:highlight w:val="none"/>
          <w:lang w:val="en-US" w:eastAsia="zh-CN" w:bidi="ar-SA"/>
        </w:rPr>
        <w:t>（五）档案管理</w:t>
      </w:r>
      <w:bookmarkEnd w:id="109"/>
      <w:r>
        <w:rPr>
          <w:rFonts w:hint="eastAsia" w:ascii="楷体_GB2312" w:hAnsi="楷体_GB2312" w:eastAsia="楷体_GB2312" w:cs="楷体_GB2312"/>
          <w:b/>
          <w:color w:val="auto"/>
          <w:kern w:val="2"/>
          <w:sz w:val="32"/>
          <w:szCs w:val="32"/>
          <w:highlight w:val="none"/>
          <w:lang w:val="en-US" w:eastAsia="zh-CN" w:bidi="ar-SA"/>
        </w:rPr>
        <w:t>制度</w:t>
      </w:r>
      <w:bookmarkEnd w:id="110"/>
      <w:r>
        <w:rPr>
          <w:rFonts w:hint="eastAsia" w:ascii="楷体_GB2312" w:hAnsi="楷体_GB2312" w:eastAsia="楷体_GB2312" w:cs="楷体_GB2312"/>
          <w:b/>
          <w:color w:val="auto"/>
          <w:kern w:val="2"/>
          <w:sz w:val="32"/>
          <w:szCs w:val="32"/>
          <w:highlight w:val="none"/>
          <w:lang w:val="en-US" w:eastAsia="zh-CN" w:bidi="ar-SA"/>
        </w:rPr>
        <w:t>模板</w:t>
      </w:r>
    </w:p>
    <w:p w14:paraId="632F2719">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第一章 档案管理机构</w:t>
      </w:r>
    </w:p>
    <w:p w14:paraId="4DC54309">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一</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新型集体林场综合部下设</w:t>
      </w:r>
      <w:r>
        <w:rPr>
          <w:rFonts w:hint="eastAsia" w:ascii="仿宋_GB2312" w:hAnsi="仿宋_GB2312" w:eastAsia="仿宋_GB2312" w:cs="仿宋_GB2312"/>
          <w:bCs/>
          <w:color w:val="auto"/>
          <w:kern w:val="0"/>
          <w:sz w:val="32"/>
          <w:szCs w:val="32"/>
          <w:highlight w:val="none"/>
          <w:lang w:val="en-US" w:eastAsia="zh-CN"/>
        </w:rPr>
        <w:t>档案室和</w:t>
      </w:r>
      <w:r>
        <w:rPr>
          <w:rFonts w:hint="eastAsia" w:ascii="仿宋_GB2312" w:hAnsi="仿宋_GB2312" w:eastAsia="仿宋_GB2312" w:cs="仿宋_GB2312"/>
          <w:bCs/>
          <w:color w:val="auto"/>
          <w:kern w:val="0"/>
          <w:sz w:val="32"/>
          <w:szCs w:val="32"/>
          <w:highlight w:val="none"/>
        </w:rPr>
        <w:t>专职档案管理员，负责</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bCs/>
          <w:color w:val="auto"/>
          <w:kern w:val="0"/>
          <w:sz w:val="32"/>
          <w:szCs w:val="32"/>
          <w:highlight w:val="none"/>
        </w:rPr>
        <w:t>档案和有关资料的收集、整理、分类、鉴定、保管、统计等。</w:t>
      </w:r>
    </w:p>
    <w:p w14:paraId="12EEBE2E">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二</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档案管理员须保持相对稳定，调动工作时，须对档案装具、设备和档案库藏进行清点并制作移交清册，并注明移交人、接交人、监交人、移交时间等信息。</w:t>
      </w:r>
    </w:p>
    <w:p w14:paraId="01838D24">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三</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建立《档案管理台账》，标明资料名称、编号、所属部门、存档日期、关联单位名称、保存期限等内容，由档案管理员负责更新维护。</w:t>
      </w:r>
    </w:p>
    <w:p w14:paraId="48DB062B">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第二章 档案收集</w:t>
      </w:r>
    </w:p>
    <w:p w14:paraId="55334AE3">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一</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档案实行部门收集制度。各部门应设专人任兼职档案员，做好部门档案的收集整理工作，对处理完毕的文件材料及时</w:t>
      </w:r>
      <w:r>
        <w:rPr>
          <w:rFonts w:hint="eastAsia" w:ascii="仿宋_GB2312" w:hAnsi="仿宋_GB2312" w:eastAsia="仿宋_GB2312" w:cs="仿宋_GB2312"/>
          <w:bCs/>
          <w:color w:val="auto"/>
          <w:kern w:val="0"/>
          <w:sz w:val="32"/>
          <w:szCs w:val="32"/>
          <w:highlight w:val="none"/>
          <w:lang w:eastAsia="zh-CN"/>
        </w:rPr>
        <w:t>归档</w:t>
      </w:r>
      <w:r>
        <w:rPr>
          <w:rFonts w:hint="eastAsia" w:ascii="仿宋_GB2312" w:hAnsi="仿宋_GB2312" w:eastAsia="仿宋_GB2312" w:cs="仿宋_GB2312"/>
          <w:bCs/>
          <w:color w:val="auto"/>
          <w:kern w:val="0"/>
          <w:sz w:val="32"/>
          <w:szCs w:val="32"/>
          <w:highlight w:val="none"/>
        </w:rPr>
        <w:t>并按本制度按时移交档案室归档。</w:t>
      </w:r>
    </w:p>
    <w:p w14:paraId="2272E085">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二</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由几个部门共同参与办理的工作，由牵头主办部门负责文件资料的收集归档。会议文件由会议记录部门收集归档。</w:t>
      </w:r>
    </w:p>
    <w:p w14:paraId="6BDE73EF">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三</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各部门申请加盖</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bCs/>
          <w:color w:val="auto"/>
          <w:kern w:val="0"/>
          <w:sz w:val="32"/>
          <w:szCs w:val="32"/>
          <w:highlight w:val="none"/>
        </w:rPr>
        <w:t>印章时应确认盖章事项是否会产生需存档资料，如有，应按要求提交存档手续，待相关档案移交后，该流程结束。</w:t>
      </w:r>
    </w:p>
    <w:p w14:paraId="28224CF6">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第三章 档案移交及存档年限</w:t>
      </w:r>
    </w:p>
    <w:p w14:paraId="70452883">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一</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各部门应按要求移交档案，按附件保存期限要求对档案进行妥善保管。</w:t>
      </w:r>
    </w:p>
    <w:p w14:paraId="66FFE866">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二</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阶段性档案文件业务部门仍需使用的，应保留复印件或先移交档案后再办理借出手续。</w:t>
      </w:r>
    </w:p>
    <w:p w14:paraId="2F249A15">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三</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业务部门移交档案，应按项目分类、时间顺序整理好。移交归档的文件、资料必须为原件，并保持完整。档案移交时应填写《档案移交单》，交接双方清查核对无误后，双方签字各存一份。</w:t>
      </w:r>
    </w:p>
    <w:p w14:paraId="615BE594">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四</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strike w:val="0"/>
          <w:dstrike w:val="0"/>
          <w:color w:val="auto"/>
          <w:kern w:val="0"/>
          <w:sz w:val="32"/>
          <w:szCs w:val="32"/>
          <w:highlight w:val="none"/>
        </w:rPr>
        <w:t>财务资料由预算控制部门保存</w:t>
      </w:r>
      <w:r>
        <w:rPr>
          <w:rFonts w:hint="eastAsia" w:ascii="仿宋_GB2312" w:hAnsi="仿宋_GB2312" w:eastAsia="仿宋_GB2312" w:cs="仿宋_GB2312"/>
          <w:bCs/>
          <w:strike w:val="0"/>
          <w:dstrike w:val="0"/>
          <w:color w:val="auto"/>
          <w:kern w:val="0"/>
          <w:sz w:val="32"/>
          <w:szCs w:val="32"/>
          <w:highlight w:val="none"/>
          <w:lang w:eastAsia="zh-CN"/>
        </w:rPr>
        <w:t>，</w:t>
      </w:r>
      <w:r>
        <w:rPr>
          <w:rFonts w:hint="eastAsia" w:ascii="仿宋_GB2312" w:hAnsi="仿宋_GB2312" w:eastAsia="仿宋_GB2312" w:cs="仿宋_GB2312"/>
          <w:bCs/>
          <w:strike w:val="0"/>
          <w:dstrike w:val="0"/>
          <w:color w:val="auto"/>
          <w:kern w:val="0"/>
          <w:sz w:val="32"/>
          <w:szCs w:val="32"/>
          <w:highlight w:val="none"/>
          <w:lang w:val="en-US" w:eastAsia="zh-CN"/>
        </w:rPr>
        <w:t>财务资料包括但不限于记账凭证和会计账簿，并要求永久保存</w:t>
      </w:r>
      <w:r>
        <w:rPr>
          <w:rFonts w:hint="eastAsia" w:ascii="仿宋_GB2312" w:hAnsi="仿宋_GB2312" w:eastAsia="仿宋_GB2312" w:cs="仿宋_GB2312"/>
          <w:bCs/>
          <w:color w:val="auto"/>
          <w:kern w:val="0"/>
          <w:sz w:val="32"/>
          <w:szCs w:val="32"/>
          <w:highlight w:val="none"/>
        </w:rPr>
        <w:t>。人事档案由</w:t>
      </w:r>
      <w:r>
        <w:rPr>
          <w:rFonts w:hint="eastAsia" w:ascii="仿宋_GB2312" w:hAnsi="仿宋_GB2312" w:eastAsia="仿宋_GB2312" w:cs="仿宋_GB2312"/>
          <w:bCs/>
          <w:color w:val="auto"/>
          <w:kern w:val="0"/>
          <w:sz w:val="32"/>
          <w:szCs w:val="32"/>
          <w:highlight w:val="none"/>
          <w:lang w:eastAsia="zh-CN"/>
        </w:rPr>
        <w:t>人力资源部门</w:t>
      </w:r>
      <w:r>
        <w:rPr>
          <w:rFonts w:hint="eastAsia" w:ascii="仿宋_GB2312" w:hAnsi="仿宋_GB2312" w:eastAsia="仿宋_GB2312" w:cs="仿宋_GB2312"/>
          <w:bCs/>
          <w:color w:val="auto"/>
          <w:kern w:val="0"/>
          <w:sz w:val="32"/>
          <w:szCs w:val="32"/>
          <w:highlight w:val="none"/>
        </w:rPr>
        <w:t>保存，视工作需要也可移交档案，未经部门</w:t>
      </w:r>
      <w:r>
        <w:rPr>
          <w:rFonts w:hint="eastAsia" w:ascii="仿宋_GB2312" w:hAnsi="仿宋_GB2312" w:eastAsia="仿宋_GB2312" w:cs="仿宋_GB2312"/>
          <w:bCs/>
          <w:color w:val="auto"/>
          <w:kern w:val="0"/>
          <w:sz w:val="32"/>
          <w:szCs w:val="32"/>
          <w:highlight w:val="none"/>
          <w:lang w:val="en-US" w:eastAsia="zh-CN"/>
        </w:rPr>
        <w:t>负责人</w:t>
      </w:r>
      <w:r>
        <w:rPr>
          <w:rFonts w:hint="eastAsia" w:ascii="仿宋_GB2312" w:hAnsi="仿宋_GB2312" w:eastAsia="仿宋_GB2312" w:cs="仿宋_GB2312"/>
          <w:bCs/>
          <w:color w:val="auto"/>
          <w:kern w:val="0"/>
          <w:sz w:val="32"/>
          <w:szCs w:val="32"/>
          <w:highlight w:val="none"/>
        </w:rPr>
        <w:t>及场长批准，任何人不得查看借阅。</w:t>
      </w:r>
    </w:p>
    <w:p w14:paraId="15C131F3">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五</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声像、实物档案，在产生后及时归档，并由业务部门按照档案的要求形成文字说明，凡能电子化的档案，电子文件须随其对应的材料一同归档。</w:t>
      </w:r>
    </w:p>
    <w:p w14:paraId="4077D33F">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第四章 档案查阅、借阅</w:t>
      </w:r>
    </w:p>
    <w:p w14:paraId="4A4E97A0">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一</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新型集体林场档案资料仅供</w:t>
      </w:r>
      <w:r>
        <w:rPr>
          <w:rFonts w:hint="eastAsia" w:ascii="仿宋_GB2312" w:hAnsi="仿宋_GB2312" w:eastAsia="仿宋_GB2312" w:cs="仿宋_GB2312"/>
          <w:color w:val="auto"/>
          <w:sz w:val="32"/>
          <w:szCs w:val="32"/>
          <w:highlight w:val="none"/>
        </w:rPr>
        <w:t>新型集体林场</w:t>
      </w:r>
      <w:r>
        <w:rPr>
          <w:rFonts w:hint="eastAsia" w:ascii="仿宋_GB2312" w:hAnsi="仿宋_GB2312" w:eastAsia="仿宋_GB2312" w:cs="仿宋_GB2312"/>
          <w:bCs/>
          <w:color w:val="auto"/>
          <w:kern w:val="0"/>
          <w:sz w:val="32"/>
          <w:szCs w:val="32"/>
          <w:highlight w:val="none"/>
        </w:rPr>
        <w:t>内部人员使用。</w:t>
      </w:r>
      <w:r>
        <w:rPr>
          <w:rFonts w:hint="eastAsia" w:ascii="仿宋_GB2312" w:hAnsi="仿宋_GB2312" w:eastAsia="仿宋_GB2312" w:cs="仿宋_GB2312"/>
          <w:bCs/>
          <w:color w:val="auto"/>
          <w:kern w:val="0"/>
          <w:sz w:val="32"/>
          <w:szCs w:val="32"/>
          <w:highlight w:val="none"/>
          <w:lang w:val="en-US" w:eastAsia="zh-CN"/>
        </w:rPr>
        <w:t>如公检法等部门需要调取档案资料应在核实其身份及调阅手续后予以配合。</w:t>
      </w:r>
    </w:p>
    <w:p w14:paraId="07BC32A2">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二</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因工作需要，需查阅、复印档案资料时，应填写《档案借阅登记表》，由使用部门</w:t>
      </w:r>
      <w:r>
        <w:rPr>
          <w:rFonts w:hint="eastAsia" w:ascii="仿宋_GB2312" w:hAnsi="仿宋_GB2312" w:eastAsia="仿宋_GB2312" w:cs="仿宋_GB2312"/>
          <w:bCs/>
          <w:color w:val="auto"/>
          <w:kern w:val="0"/>
          <w:sz w:val="32"/>
          <w:szCs w:val="32"/>
          <w:highlight w:val="none"/>
          <w:lang w:val="en-US" w:eastAsia="zh-CN"/>
        </w:rPr>
        <w:t>负责人</w:t>
      </w:r>
      <w:r>
        <w:rPr>
          <w:rFonts w:hint="eastAsia" w:ascii="仿宋_GB2312" w:hAnsi="仿宋_GB2312" w:eastAsia="仿宋_GB2312" w:cs="仿宋_GB2312"/>
          <w:bCs/>
          <w:color w:val="auto"/>
          <w:kern w:val="0"/>
          <w:sz w:val="32"/>
          <w:szCs w:val="32"/>
          <w:highlight w:val="none"/>
        </w:rPr>
        <w:t>签字同意后方可查阅、复印档案应在档案管理人员的监控范围内进行，复印档案由使用部门自行复印，复印完毕原件立即归还。</w:t>
      </w:r>
    </w:p>
    <w:p w14:paraId="2B51FC97">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三</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档案资料不予借出，如有特殊情况需携带外出时，需填写《档案借阅登记表》，写明用途，经借阅部门负责人和</w:t>
      </w:r>
      <w:r>
        <w:rPr>
          <w:rFonts w:hint="eastAsia" w:ascii="仿宋_GB2312" w:hAnsi="仿宋_GB2312" w:eastAsia="仿宋_GB2312" w:cs="仿宋_GB2312"/>
          <w:bCs/>
          <w:color w:val="auto"/>
          <w:kern w:val="0"/>
          <w:sz w:val="32"/>
          <w:szCs w:val="32"/>
          <w:highlight w:val="none"/>
          <w:lang w:val="en-US" w:eastAsia="zh-CN"/>
        </w:rPr>
        <w:t>专职</w:t>
      </w:r>
      <w:r>
        <w:rPr>
          <w:rFonts w:hint="eastAsia" w:ascii="仿宋_GB2312" w:hAnsi="仿宋_GB2312" w:eastAsia="仿宋_GB2312" w:cs="仿宋_GB2312"/>
          <w:bCs/>
          <w:color w:val="auto"/>
          <w:kern w:val="0"/>
          <w:sz w:val="32"/>
          <w:szCs w:val="32"/>
          <w:highlight w:val="none"/>
        </w:rPr>
        <w:t>档案</w:t>
      </w:r>
      <w:r>
        <w:rPr>
          <w:rFonts w:hint="eastAsia" w:ascii="仿宋_GB2312" w:hAnsi="仿宋_GB2312" w:eastAsia="仿宋_GB2312" w:cs="仿宋_GB2312"/>
          <w:bCs/>
          <w:color w:val="auto"/>
          <w:kern w:val="0"/>
          <w:sz w:val="32"/>
          <w:szCs w:val="32"/>
          <w:highlight w:val="none"/>
          <w:lang w:val="en-US" w:eastAsia="zh-CN"/>
        </w:rPr>
        <w:t>管理员</w:t>
      </w:r>
      <w:r>
        <w:rPr>
          <w:rFonts w:hint="eastAsia" w:ascii="仿宋_GB2312" w:hAnsi="仿宋_GB2312" w:eastAsia="仿宋_GB2312" w:cs="仿宋_GB2312"/>
          <w:bCs/>
          <w:color w:val="auto"/>
          <w:kern w:val="0"/>
          <w:sz w:val="32"/>
          <w:szCs w:val="32"/>
          <w:highlight w:val="none"/>
        </w:rPr>
        <w:t>签字同意后方可外借。</w:t>
      </w:r>
    </w:p>
    <w:p w14:paraId="67A9F577">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四</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档案借出期限不得超过一周，如需延长借阅期应办理续借手续。到期未还者，档案管理人员应及时催还。</w:t>
      </w:r>
    </w:p>
    <w:p w14:paraId="430642BC">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五</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借阅档案的人员，要爱护档案，不准私自摘录、翻印和任意转借，不准圈注和涂改，不准污损和拆卷，严禁泄密。借出的档案资料，因保管不善损坏或丢失的，由借阅人负责及时追查。重要档案损坏或丢失要及时汇报。</w:t>
      </w:r>
    </w:p>
    <w:p w14:paraId="53909F6B">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六</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重要的和利用频繁的档案，应保留复印件或扫描件，避免频繁借阅。借阅档案要认真履行保密义务，确保</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bCs/>
          <w:color w:val="auto"/>
          <w:kern w:val="0"/>
          <w:sz w:val="32"/>
          <w:szCs w:val="32"/>
          <w:highlight w:val="none"/>
        </w:rPr>
        <w:t>机密不外泄。</w:t>
      </w:r>
    </w:p>
    <w:p w14:paraId="714E4529">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七</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借出的档案资料使用完毕，要及时归还档案室。档案管理人员应对档案进行详细检查，保证资料齐全、完整，并在《档案借阅登记表》上填写归还时间并由借阅人签字确认，验收无误及时入库。如发现有涂改、缺页、损毁、遗失等问题要及时报告。</w:t>
      </w:r>
    </w:p>
    <w:p w14:paraId="3748ED3F">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八</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人事档案严禁查询或借阅。</w:t>
      </w:r>
    </w:p>
    <w:p w14:paraId="0319A8D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highlight w:val="none"/>
        </w:rPr>
        <w:drawing>
          <wp:inline distT="0" distB="0" distL="114300" distR="114300">
            <wp:extent cx="5274310" cy="2912745"/>
            <wp:effectExtent l="0" t="0" r="2540" b="190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2"/>
                    <a:stretch>
                      <a:fillRect/>
                    </a:stretch>
                  </pic:blipFill>
                  <pic:spPr>
                    <a:xfrm>
                      <a:off x="0" y="0"/>
                      <a:ext cx="5274310" cy="2912745"/>
                    </a:xfrm>
                    <a:prstGeom prst="rect">
                      <a:avLst/>
                    </a:prstGeom>
                    <a:noFill/>
                    <a:ln>
                      <a:noFill/>
                    </a:ln>
                  </pic:spPr>
                </pic:pic>
              </a:graphicData>
            </a:graphic>
          </wp:inline>
        </w:drawing>
      </w:r>
    </w:p>
    <w:p w14:paraId="107436B0">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第五章 档案管理</w:t>
      </w:r>
    </w:p>
    <w:p w14:paraId="52B80C2D">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一</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档案实行专人管理，做到存放有序，查找有据。保管要有条理，主次分明，存放科学。</w:t>
      </w:r>
    </w:p>
    <w:p w14:paraId="048892CC">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二</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爱护档案，在整理、搬移、上架和提供利用过程中，要轻拿轻放，保持档案整洁，发现破损时，要及时修补。</w:t>
      </w:r>
    </w:p>
    <w:p w14:paraId="28F433EB">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三</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认真落实防火、防盗、防尘、防潮、防强光、防虫、防鼠、防有害物体等“八防”措施。保持内部清洁，每月至少全面清扫一次。</w:t>
      </w:r>
    </w:p>
    <w:p w14:paraId="4B8E8A1D">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四</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档案室内严禁烟火，禁止存放与档案无关的其他物品。下班前或节假日，要认真检查，以防事故发生。离开档案室时，要注意关闭电源、关锁门窗。</w:t>
      </w:r>
    </w:p>
    <w:p w14:paraId="441A29AC">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第六章 档案销毁</w:t>
      </w:r>
    </w:p>
    <w:p w14:paraId="67EE64CE">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一</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按规定需要销毁档案资料时，必须先通过档案价值鉴定，无保存价值和保管期满但不须继续保存的档案，应予以销毁。</w:t>
      </w:r>
    </w:p>
    <w:p w14:paraId="76A6761B">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二</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档案销毁时必须填写《档案销毁审批表》，实行两人监销制度进行销毁，经档案销毁人、监毁人签字、档案主管部门负责人审核、</w:t>
      </w:r>
      <w:r>
        <w:rPr>
          <w:rFonts w:hint="eastAsia" w:ascii="仿宋_GB2312" w:hAnsi="仿宋_GB2312" w:eastAsia="仿宋_GB2312" w:cs="仿宋_GB2312"/>
          <w:bCs/>
          <w:color w:val="auto"/>
          <w:kern w:val="0"/>
          <w:sz w:val="32"/>
          <w:szCs w:val="32"/>
          <w:highlight w:val="none"/>
          <w:lang w:val="en-US" w:eastAsia="zh-CN"/>
        </w:rPr>
        <w:t>场长</w:t>
      </w:r>
      <w:r>
        <w:rPr>
          <w:rFonts w:hint="eastAsia" w:ascii="仿宋_GB2312" w:hAnsi="仿宋_GB2312" w:eastAsia="仿宋_GB2312" w:cs="仿宋_GB2312"/>
          <w:bCs/>
          <w:color w:val="auto"/>
          <w:kern w:val="0"/>
          <w:sz w:val="32"/>
          <w:szCs w:val="32"/>
          <w:highlight w:val="none"/>
        </w:rPr>
        <w:t>批准后，进行销</w:t>
      </w:r>
      <w:r>
        <w:rPr>
          <w:rFonts w:hint="eastAsia" w:ascii="仿宋_GB2312" w:hAnsi="仿宋_GB2312" w:eastAsia="仿宋_GB2312" w:cs="仿宋_GB2312"/>
          <w:bCs/>
          <w:color w:val="auto"/>
          <w:kern w:val="0"/>
          <w:sz w:val="32"/>
          <w:szCs w:val="32"/>
          <w:highlight w:val="none"/>
          <w:lang w:eastAsia="zh-CN"/>
        </w:rPr>
        <w:t>毁</w:t>
      </w:r>
      <w:r>
        <w:rPr>
          <w:rFonts w:hint="eastAsia" w:ascii="仿宋_GB2312" w:hAnsi="仿宋_GB2312" w:eastAsia="仿宋_GB2312" w:cs="仿宋_GB2312"/>
          <w:bCs/>
          <w:color w:val="auto"/>
          <w:kern w:val="0"/>
          <w:sz w:val="32"/>
          <w:szCs w:val="32"/>
          <w:highlight w:val="none"/>
        </w:rPr>
        <w:t>。</w:t>
      </w:r>
    </w:p>
    <w:p w14:paraId="684DBC61">
      <w:pPr>
        <w:pageBreakBefore w:val="0"/>
        <w:kinsoku/>
        <w:wordWrap/>
        <w:overflowPunct/>
        <w:topLinePunct w:val="0"/>
        <w:autoSpaceDE/>
        <w:autoSpaceDN/>
        <w:bidi w:val="0"/>
        <w:adjustRightInd/>
        <w:spacing w:beforeAutospacing="0" w:afterAutospacing="0" w:line="560" w:lineRule="exact"/>
        <w:ind w:left="0" w:right="0" w:firstLine="640" w:firstLineChars="200"/>
        <w:jc w:val="left"/>
        <w:rPr>
          <w:rFonts w:hint="eastAsia" w:ascii="仿宋_GB2312" w:hAnsi="仿宋_GB2312" w:eastAsia="仿宋_GB2312" w:cs="仿宋_GB2312"/>
          <w:color w:val="auto"/>
          <w:spacing w:val="-5"/>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三</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spacing w:val="-6"/>
          <w:kern w:val="0"/>
          <w:sz w:val="32"/>
          <w:szCs w:val="32"/>
          <w:highlight w:val="none"/>
        </w:rPr>
        <w:t>档案销毁应登记建册，档案销毁清册须归档并保存。</w:t>
      </w:r>
    </w:p>
    <w:p w14:paraId="289F153B">
      <w:pPr>
        <w:pageBreakBefore w:val="0"/>
        <w:kinsoku/>
        <w:wordWrap/>
        <w:overflowPunct/>
        <w:topLinePunct w:val="0"/>
        <w:autoSpaceDE/>
        <w:autoSpaceDN/>
        <w:bidi w:val="0"/>
        <w:adjustRightInd/>
        <w:spacing w:beforeAutospacing="0" w:afterAutospacing="0" w:line="560" w:lineRule="exact"/>
        <w:ind w:left="0" w:right="0" w:firstLine="62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5"/>
          <w:sz w:val="32"/>
          <w:szCs w:val="32"/>
          <w:highlight w:val="none"/>
        </w:rPr>
        <w:t>档案销毁审批表</w:t>
      </w:r>
    </w:p>
    <w:p w14:paraId="065A9F98">
      <w:pPr>
        <w:pageBreakBefore w:val="0"/>
        <w:kinsoku/>
        <w:wordWrap/>
        <w:overflowPunct/>
        <w:topLinePunct w:val="0"/>
        <w:autoSpaceDE/>
        <w:autoSpaceDN/>
        <w:bidi w:val="0"/>
        <w:adjustRightInd/>
        <w:spacing w:beforeAutospacing="0" w:afterAutospacing="0" w:line="560" w:lineRule="exact"/>
        <w:ind w:left="0" w:right="0" w:firstLine="596" w:firstLineChars="200"/>
        <w:jc w:val="left"/>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pacing w:val="-1"/>
          <w:sz w:val="30"/>
          <w:szCs w:val="30"/>
          <w:highlight w:val="none"/>
        </w:rPr>
        <w:t xml:space="preserve">档案类别：                       </w:t>
      </w:r>
      <w:r>
        <w:rPr>
          <w:rFonts w:hint="eastAsia" w:ascii="仿宋_GB2312" w:hAnsi="仿宋_GB2312" w:eastAsia="仿宋_GB2312" w:cs="仿宋_GB2312"/>
          <w:color w:val="auto"/>
          <w:spacing w:val="-1"/>
          <w:sz w:val="30"/>
          <w:szCs w:val="30"/>
          <w:highlight w:val="none"/>
          <w:lang w:val="en-US" w:eastAsia="zh-CN"/>
        </w:rPr>
        <w:t xml:space="preserve">   </w:t>
      </w:r>
      <w:r>
        <w:rPr>
          <w:rFonts w:hint="eastAsia" w:ascii="仿宋_GB2312" w:hAnsi="仿宋_GB2312" w:eastAsia="仿宋_GB2312" w:cs="仿宋_GB2312"/>
          <w:color w:val="auto"/>
          <w:spacing w:val="-1"/>
          <w:sz w:val="30"/>
          <w:szCs w:val="30"/>
          <w:highlight w:val="none"/>
        </w:rPr>
        <w:t>编号：</w:t>
      </w:r>
    </w:p>
    <w:tbl>
      <w:tblPr>
        <w:tblStyle w:val="27"/>
        <w:tblW w:w="83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829"/>
        <w:gridCol w:w="1058"/>
        <w:gridCol w:w="950"/>
        <w:gridCol w:w="1518"/>
        <w:gridCol w:w="581"/>
        <w:gridCol w:w="1073"/>
        <w:gridCol w:w="1344"/>
      </w:tblGrid>
      <w:tr w14:paraId="4B04D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958" w:type="dxa"/>
            <w:noWrap w:val="0"/>
            <w:vAlign w:val="center"/>
          </w:tcPr>
          <w:p w14:paraId="5709FDF1">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kern w:val="2"/>
                <w:sz w:val="24"/>
                <w:szCs w:val="24"/>
                <w:highlight w:val="none"/>
                <w:lang w:val="en-US" w:eastAsia="en-US" w:bidi="ar-SA"/>
              </w:rPr>
            </w:pPr>
            <w:r>
              <w:rPr>
                <w:rFonts w:hint="eastAsia" w:ascii="仿宋_GB2312" w:hAnsi="仿宋_GB2312" w:eastAsia="仿宋_GB2312" w:cs="仿宋_GB2312"/>
                <w:color w:val="auto"/>
                <w:spacing w:val="-2"/>
                <w:kern w:val="2"/>
                <w:sz w:val="24"/>
                <w:szCs w:val="24"/>
                <w:highlight w:val="none"/>
                <w:lang w:val="en-US" w:eastAsia="en-US" w:bidi="ar-SA"/>
              </w:rPr>
              <w:t>档案号</w:t>
            </w:r>
          </w:p>
        </w:tc>
        <w:tc>
          <w:tcPr>
            <w:tcW w:w="829" w:type="dxa"/>
            <w:noWrap w:val="0"/>
            <w:vAlign w:val="top"/>
          </w:tcPr>
          <w:p w14:paraId="790632DE">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1058" w:type="dxa"/>
            <w:noWrap w:val="0"/>
            <w:vAlign w:val="top"/>
          </w:tcPr>
          <w:p w14:paraId="46351C69">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kern w:val="2"/>
                <w:sz w:val="24"/>
                <w:szCs w:val="24"/>
                <w:highlight w:val="none"/>
                <w:lang w:val="en-US" w:eastAsia="en-US" w:bidi="ar-SA"/>
              </w:rPr>
            </w:pPr>
            <w:r>
              <w:rPr>
                <w:rFonts w:hint="eastAsia" w:ascii="仿宋_GB2312" w:hAnsi="仿宋_GB2312" w:eastAsia="仿宋_GB2312" w:cs="仿宋_GB2312"/>
                <w:color w:val="auto"/>
                <w:spacing w:val="2"/>
                <w:kern w:val="2"/>
                <w:sz w:val="24"/>
                <w:szCs w:val="24"/>
                <w:highlight w:val="none"/>
                <w:lang w:val="en-US" w:eastAsia="en-US" w:bidi="ar-SA"/>
              </w:rPr>
              <w:t>归档日期</w:t>
            </w:r>
          </w:p>
        </w:tc>
        <w:tc>
          <w:tcPr>
            <w:tcW w:w="950" w:type="dxa"/>
            <w:noWrap w:val="0"/>
            <w:vAlign w:val="top"/>
          </w:tcPr>
          <w:p w14:paraId="1DFA7B82">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1518" w:type="dxa"/>
            <w:noWrap w:val="0"/>
            <w:vAlign w:val="top"/>
          </w:tcPr>
          <w:p w14:paraId="29872C3F">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kern w:val="2"/>
                <w:sz w:val="24"/>
                <w:szCs w:val="24"/>
                <w:highlight w:val="none"/>
                <w:lang w:val="en-US" w:eastAsia="en-US" w:bidi="ar-SA"/>
              </w:rPr>
            </w:pPr>
            <w:r>
              <w:rPr>
                <w:rFonts w:hint="eastAsia" w:ascii="仿宋_GB2312" w:hAnsi="仿宋_GB2312" w:eastAsia="仿宋_GB2312" w:cs="仿宋_GB2312"/>
                <w:color w:val="auto"/>
                <w:spacing w:val="-2"/>
                <w:kern w:val="2"/>
                <w:sz w:val="24"/>
                <w:szCs w:val="24"/>
                <w:highlight w:val="none"/>
                <w:lang w:val="en-US" w:eastAsia="en-US" w:bidi="ar-SA"/>
              </w:rPr>
              <w:t>原定保管期限</w:t>
            </w:r>
          </w:p>
        </w:tc>
        <w:tc>
          <w:tcPr>
            <w:tcW w:w="581" w:type="dxa"/>
            <w:noWrap w:val="0"/>
            <w:vAlign w:val="top"/>
          </w:tcPr>
          <w:p w14:paraId="2F4FBDAB">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1073" w:type="dxa"/>
            <w:noWrap w:val="0"/>
            <w:vAlign w:val="top"/>
          </w:tcPr>
          <w:p w14:paraId="1095D256">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kern w:val="2"/>
                <w:sz w:val="24"/>
                <w:szCs w:val="24"/>
                <w:highlight w:val="none"/>
                <w:lang w:val="en-US" w:eastAsia="en-US" w:bidi="ar-SA"/>
              </w:rPr>
            </w:pPr>
            <w:r>
              <w:rPr>
                <w:rFonts w:hint="eastAsia" w:ascii="仿宋_GB2312" w:hAnsi="仿宋_GB2312" w:eastAsia="仿宋_GB2312" w:cs="仿宋_GB2312"/>
                <w:color w:val="auto"/>
                <w:spacing w:val="-2"/>
                <w:kern w:val="2"/>
                <w:sz w:val="24"/>
                <w:szCs w:val="24"/>
                <w:highlight w:val="none"/>
                <w:lang w:val="en-US" w:eastAsia="en-US" w:bidi="ar-SA"/>
              </w:rPr>
              <w:t>原定密级</w:t>
            </w:r>
          </w:p>
        </w:tc>
        <w:tc>
          <w:tcPr>
            <w:tcW w:w="1344" w:type="dxa"/>
            <w:noWrap w:val="0"/>
            <w:vAlign w:val="top"/>
          </w:tcPr>
          <w:p w14:paraId="48C63A31">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r>
      <w:tr w14:paraId="309D5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958" w:type="dxa"/>
            <w:noWrap w:val="0"/>
            <w:vAlign w:val="center"/>
          </w:tcPr>
          <w:p w14:paraId="462BED63">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kern w:val="2"/>
                <w:sz w:val="24"/>
                <w:szCs w:val="24"/>
                <w:highlight w:val="none"/>
                <w:lang w:val="en-US" w:eastAsia="en-US" w:bidi="ar-SA"/>
              </w:rPr>
            </w:pPr>
            <w:r>
              <w:rPr>
                <w:rFonts w:hint="eastAsia" w:ascii="仿宋_GB2312" w:hAnsi="仿宋_GB2312" w:eastAsia="仿宋_GB2312" w:cs="仿宋_GB2312"/>
                <w:color w:val="auto"/>
                <w:spacing w:val="-2"/>
                <w:kern w:val="2"/>
                <w:sz w:val="24"/>
                <w:szCs w:val="24"/>
                <w:highlight w:val="none"/>
                <w:lang w:val="en-US" w:eastAsia="en-US" w:bidi="ar-SA"/>
              </w:rPr>
              <w:t>数量</w:t>
            </w:r>
          </w:p>
        </w:tc>
        <w:tc>
          <w:tcPr>
            <w:tcW w:w="2837" w:type="dxa"/>
            <w:gridSpan w:val="3"/>
            <w:noWrap w:val="0"/>
            <w:vAlign w:val="top"/>
          </w:tcPr>
          <w:p w14:paraId="010BAA29">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kern w:val="2"/>
                <w:sz w:val="24"/>
                <w:szCs w:val="24"/>
                <w:highlight w:val="none"/>
                <w:lang w:val="en-US" w:eastAsia="en-US" w:bidi="ar-SA"/>
              </w:rPr>
            </w:pPr>
            <w:r>
              <w:rPr>
                <w:rFonts w:hint="eastAsia" w:ascii="仿宋_GB2312" w:hAnsi="仿宋_GB2312" w:eastAsia="仿宋_GB2312" w:cs="仿宋_GB2312"/>
                <w:color w:val="auto"/>
                <w:spacing w:val="-4"/>
                <w:kern w:val="2"/>
                <w:sz w:val="24"/>
                <w:szCs w:val="24"/>
                <w:highlight w:val="none"/>
                <w:lang w:val="en-US" w:eastAsia="en-US" w:bidi="ar-SA"/>
              </w:rPr>
              <w:t>卷</w:t>
            </w:r>
            <w:r>
              <w:rPr>
                <w:rFonts w:hint="eastAsia" w:ascii="仿宋_GB2312" w:hAnsi="仿宋_GB2312" w:eastAsia="仿宋_GB2312" w:cs="仿宋_GB2312"/>
                <w:color w:val="auto"/>
                <w:kern w:val="2"/>
                <w:sz w:val="24"/>
                <w:szCs w:val="24"/>
                <w:highlight w:val="none"/>
                <w:lang w:val="en-US" w:eastAsia="en-US" w:bidi="ar-SA"/>
              </w:rPr>
              <w:t xml:space="preserve">        </w:t>
            </w:r>
            <w:r>
              <w:rPr>
                <w:rFonts w:hint="eastAsia" w:ascii="仿宋_GB2312" w:hAnsi="仿宋_GB2312" w:eastAsia="仿宋_GB2312" w:cs="仿宋_GB2312"/>
                <w:color w:val="auto"/>
                <w:spacing w:val="-4"/>
                <w:kern w:val="2"/>
                <w:sz w:val="24"/>
                <w:szCs w:val="24"/>
                <w:highlight w:val="none"/>
                <w:lang w:val="en-US" w:eastAsia="en-US" w:bidi="ar-SA"/>
              </w:rPr>
              <w:t>页</w:t>
            </w:r>
          </w:p>
        </w:tc>
        <w:tc>
          <w:tcPr>
            <w:tcW w:w="1518" w:type="dxa"/>
            <w:noWrap w:val="0"/>
            <w:vAlign w:val="top"/>
          </w:tcPr>
          <w:p w14:paraId="7382FF03">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kern w:val="2"/>
                <w:sz w:val="24"/>
                <w:szCs w:val="24"/>
                <w:highlight w:val="none"/>
                <w:lang w:val="en-US" w:eastAsia="en-US" w:bidi="ar-SA"/>
              </w:rPr>
            </w:pPr>
            <w:r>
              <w:rPr>
                <w:rFonts w:hint="eastAsia" w:ascii="仿宋_GB2312" w:hAnsi="仿宋_GB2312" w:eastAsia="仿宋_GB2312" w:cs="仿宋_GB2312"/>
                <w:color w:val="auto"/>
                <w:spacing w:val="-2"/>
                <w:kern w:val="2"/>
                <w:sz w:val="24"/>
                <w:szCs w:val="24"/>
                <w:highlight w:val="none"/>
                <w:lang w:val="en-US" w:eastAsia="en-US" w:bidi="ar-SA"/>
              </w:rPr>
              <w:t>拟销毁法</w:t>
            </w:r>
          </w:p>
        </w:tc>
        <w:tc>
          <w:tcPr>
            <w:tcW w:w="2998" w:type="dxa"/>
            <w:gridSpan w:val="3"/>
            <w:noWrap w:val="0"/>
            <w:vAlign w:val="top"/>
          </w:tcPr>
          <w:p w14:paraId="7945F473">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r>
      <w:tr w14:paraId="11EE0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958" w:type="dxa"/>
            <w:noWrap w:val="0"/>
            <w:vAlign w:val="center"/>
          </w:tcPr>
          <w:p w14:paraId="4F7E68F3">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kern w:val="2"/>
                <w:sz w:val="24"/>
                <w:szCs w:val="24"/>
                <w:highlight w:val="none"/>
                <w:lang w:val="en-US" w:eastAsia="en-US" w:bidi="ar-SA"/>
              </w:rPr>
            </w:pPr>
            <w:r>
              <w:rPr>
                <w:rFonts w:hint="eastAsia" w:ascii="仿宋_GB2312" w:hAnsi="仿宋_GB2312" w:eastAsia="仿宋_GB2312" w:cs="仿宋_GB2312"/>
                <w:color w:val="auto"/>
                <w:spacing w:val="-2"/>
                <w:kern w:val="2"/>
                <w:sz w:val="24"/>
                <w:szCs w:val="24"/>
                <w:highlight w:val="none"/>
                <w:lang w:val="en-US" w:eastAsia="en-US" w:bidi="ar-SA"/>
              </w:rPr>
              <w:t>销毁人</w:t>
            </w:r>
          </w:p>
        </w:tc>
        <w:tc>
          <w:tcPr>
            <w:tcW w:w="2837" w:type="dxa"/>
            <w:gridSpan w:val="3"/>
            <w:noWrap w:val="0"/>
            <w:vAlign w:val="top"/>
          </w:tcPr>
          <w:p w14:paraId="5F640B81">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1518" w:type="dxa"/>
            <w:noWrap w:val="0"/>
            <w:vAlign w:val="top"/>
          </w:tcPr>
          <w:p w14:paraId="7D68FBC5">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kern w:val="2"/>
                <w:sz w:val="24"/>
                <w:szCs w:val="24"/>
                <w:highlight w:val="none"/>
                <w:lang w:val="en-US" w:eastAsia="en-US" w:bidi="ar-SA"/>
              </w:rPr>
            </w:pPr>
            <w:r>
              <w:rPr>
                <w:rFonts w:hint="eastAsia" w:ascii="仿宋_GB2312" w:hAnsi="仿宋_GB2312" w:eastAsia="仿宋_GB2312" w:cs="仿宋_GB2312"/>
                <w:color w:val="auto"/>
                <w:spacing w:val="-2"/>
                <w:kern w:val="2"/>
                <w:sz w:val="24"/>
                <w:szCs w:val="24"/>
                <w:highlight w:val="none"/>
                <w:lang w:val="en-US" w:eastAsia="en-US" w:bidi="ar-SA"/>
              </w:rPr>
              <w:t>监销人</w:t>
            </w:r>
          </w:p>
        </w:tc>
        <w:tc>
          <w:tcPr>
            <w:tcW w:w="2998" w:type="dxa"/>
            <w:gridSpan w:val="3"/>
            <w:noWrap w:val="0"/>
            <w:vAlign w:val="top"/>
          </w:tcPr>
          <w:p w14:paraId="620573CA">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r>
      <w:tr w14:paraId="016E9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6" w:hRule="atLeast"/>
        </w:trPr>
        <w:tc>
          <w:tcPr>
            <w:tcW w:w="958" w:type="dxa"/>
            <w:noWrap w:val="0"/>
            <w:textDirection w:val="tbRlV"/>
            <w:vAlign w:val="center"/>
          </w:tcPr>
          <w:p w14:paraId="07143EC8">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kern w:val="2"/>
                <w:sz w:val="24"/>
                <w:szCs w:val="24"/>
                <w:highlight w:val="none"/>
                <w:lang w:val="en-US" w:eastAsia="en-US" w:bidi="ar-SA"/>
              </w:rPr>
            </w:pPr>
            <w:r>
              <w:rPr>
                <w:rFonts w:hint="eastAsia" w:ascii="仿宋_GB2312" w:hAnsi="仿宋_GB2312" w:eastAsia="仿宋_GB2312" w:cs="仿宋_GB2312"/>
                <w:color w:val="auto"/>
                <w:kern w:val="2"/>
                <w:sz w:val="24"/>
                <w:szCs w:val="24"/>
                <w:highlight w:val="none"/>
                <w:lang w:val="en-US" w:eastAsia="en-US" w:bidi="ar-SA"/>
              </w:rPr>
              <w:t>鉴</w:t>
            </w:r>
            <w:r>
              <w:rPr>
                <w:rFonts w:hint="eastAsia" w:ascii="仿宋_GB2312" w:hAnsi="仿宋_GB2312" w:eastAsia="仿宋_GB2312" w:cs="仿宋_GB2312"/>
                <w:color w:val="auto"/>
                <w:spacing w:val="25"/>
                <w:kern w:val="2"/>
                <w:sz w:val="24"/>
                <w:szCs w:val="24"/>
                <w:highlight w:val="none"/>
                <w:lang w:val="en-US" w:eastAsia="en-US" w:bidi="ar-SA"/>
              </w:rPr>
              <w:t xml:space="preserve">  </w:t>
            </w:r>
            <w:r>
              <w:rPr>
                <w:rFonts w:hint="eastAsia" w:ascii="仿宋_GB2312" w:hAnsi="仿宋_GB2312" w:eastAsia="仿宋_GB2312" w:cs="仿宋_GB2312"/>
                <w:color w:val="auto"/>
                <w:kern w:val="2"/>
                <w:sz w:val="24"/>
                <w:szCs w:val="24"/>
                <w:highlight w:val="none"/>
                <w:lang w:val="en-US" w:eastAsia="en-US" w:bidi="ar-SA"/>
              </w:rPr>
              <w:t>定</w:t>
            </w:r>
            <w:r>
              <w:rPr>
                <w:rFonts w:hint="eastAsia" w:ascii="仿宋_GB2312" w:hAnsi="仿宋_GB2312" w:eastAsia="仿宋_GB2312" w:cs="仿宋_GB2312"/>
                <w:color w:val="auto"/>
                <w:spacing w:val="25"/>
                <w:kern w:val="2"/>
                <w:sz w:val="24"/>
                <w:szCs w:val="24"/>
                <w:highlight w:val="none"/>
                <w:lang w:val="en-US" w:eastAsia="en-US" w:bidi="ar-SA"/>
              </w:rPr>
              <w:t xml:space="preserve">  </w:t>
            </w:r>
            <w:r>
              <w:rPr>
                <w:rFonts w:hint="eastAsia" w:ascii="仿宋_GB2312" w:hAnsi="仿宋_GB2312" w:eastAsia="仿宋_GB2312" w:cs="仿宋_GB2312"/>
                <w:color w:val="auto"/>
                <w:kern w:val="2"/>
                <w:sz w:val="24"/>
                <w:szCs w:val="24"/>
                <w:highlight w:val="none"/>
                <w:lang w:val="en-US" w:eastAsia="en-US" w:bidi="ar-SA"/>
              </w:rPr>
              <w:t>意</w:t>
            </w:r>
            <w:r>
              <w:rPr>
                <w:rFonts w:hint="eastAsia" w:ascii="仿宋_GB2312" w:hAnsi="仿宋_GB2312" w:eastAsia="仿宋_GB2312" w:cs="仿宋_GB2312"/>
                <w:color w:val="auto"/>
                <w:spacing w:val="25"/>
                <w:kern w:val="2"/>
                <w:sz w:val="24"/>
                <w:szCs w:val="24"/>
                <w:highlight w:val="none"/>
                <w:lang w:val="en-US" w:eastAsia="en-US" w:bidi="ar-SA"/>
              </w:rPr>
              <w:t xml:space="preserve">  </w:t>
            </w:r>
            <w:r>
              <w:rPr>
                <w:rFonts w:hint="eastAsia" w:ascii="仿宋_GB2312" w:hAnsi="仿宋_GB2312" w:eastAsia="仿宋_GB2312" w:cs="仿宋_GB2312"/>
                <w:color w:val="auto"/>
                <w:kern w:val="2"/>
                <w:sz w:val="24"/>
                <w:szCs w:val="24"/>
                <w:highlight w:val="none"/>
                <w:lang w:val="en-US" w:eastAsia="en-US" w:bidi="ar-SA"/>
              </w:rPr>
              <w:t>见</w:t>
            </w:r>
          </w:p>
        </w:tc>
        <w:tc>
          <w:tcPr>
            <w:tcW w:w="7353" w:type="dxa"/>
            <w:gridSpan w:val="7"/>
            <w:noWrap w:val="0"/>
            <w:vAlign w:val="top"/>
          </w:tcPr>
          <w:p w14:paraId="0C02B888">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r>
      <w:tr w14:paraId="64501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6" w:hRule="atLeast"/>
        </w:trPr>
        <w:tc>
          <w:tcPr>
            <w:tcW w:w="958" w:type="dxa"/>
            <w:noWrap w:val="0"/>
            <w:textDirection w:val="tbRlV"/>
            <w:vAlign w:val="center"/>
          </w:tcPr>
          <w:p w14:paraId="62984556">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kern w:val="2"/>
                <w:sz w:val="24"/>
                <w:szCs w:val="24"/>
                <w:highlight w:val="none"/>
                <w:lang w:val="en-US" w:eastAsia="en-US" w:bidi="ar-SA"/>
              </w:rPr>
            </w:pPr>
            <w:r>
              <w:rPr>
                <w:rFonts w:hint="eastAsia" w:ascii="仿宋_GB2312" w:hAnsi="仿宋_GB2312" w:eastAsia="仿宋_GB2312" w:cs="仿宋_GB2312"/>
                <w:color w:val="auto"/>
                <w:kern w:val="2"/>
                <w:sz w:val="24"/>
                <w:szCs w:val="24"/>
                <w:highlight w:val="none"/>
                <w:lang w:val="en-US" w:eastAsia="en-US" w:bidi="ar-SA"/>
              </w:rPr>
              <w:t>审批意见</w:t>
            </w:r>
          </w:p>
        </w:tc>
        <w:tc>
          <w:tcPr>
            <w:tcW w:w="7353" w:type="dxa"/>
            <w:gridSpan w:val="7"/>
            <w:noWrap w:val="0"/>
            <w:vAlign w:val="top"/>
          </w:tcPr>
          <w:p w14:paraId="326967F1">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p w14:paraId="4C673571">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p w14:paraId="783E704F">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p w14:paraId="3B9D0DB9">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p w14:paraId="27562944">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p w14:paraId="0BB3558A">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pacing w:val="-2"/>
                <w:kern w:val="2"/>
                <w:sz w:val="24"/>
                <w:szCs w:val="24"/>
                <w:highlight w:val="none"/>
                <w:lang w:val="en-US" w:eastAsia="zh-CN" w:bidi="ar-SA"/>
              </w:rPr>
              <w:t>场长签章：</w:t>
            </w:r>
            <w:r>
              <w:rPr>
                <w:rFonts w:hint="eastAsia" w:ascii="仿宋_GB2312" w:hAnsi="仿宋_GB2312" w:eastAsia="仿宋_GB2312" w:cs="仿宋_GB2312"/>
                <w:color w:val="auto"/>
                <w:spacing w:val="2"/>
                <w:kern w:val="2"/>
                <w:sz w:val="24"/>
                <w:szCs w:val="24"/>
                <w:highlight w:val="none"/>
                <w:lang w:val="en-US" w:eastAsia="zh-CN" w:bidi="ar-SA"/>
              </w:rPr>
              <w:t xml:space="preserve">                  </w:t>
            </w:r>
            <w:r>
              <w:rPr>
                <w:rFonts w:hint="eastAsia" w:ascii="仿宋_GB2312" w:hAnsi="仿宋_GB2312" w:eastAsia="仿宋_GB2312" w:cs="仿宋_GB2312"/>
                <w:color w:val="auto"/>
                <w:spacing w:val="-2"/>
                <w:kern w:val="2"/>
                <w:sz w:val="24"/>
                <w:szCs w:val="24"/>
                <w:highlight w:val="none"/>
                <w:lang w:val="en-US" w:eastAsia="zh-CN" w:bidi="ar-SA"/>
              </w:rPr>
              <w:t xml:space="preserve">年 </w:t>
            </w:r>
            <w:r>
              <w:rPr>
                <w:rFonts w:hint="eastAsia" w:ascii="仿宋_GB2312" w:hAnsi="仿宋_GB2312" w:eastAsia="仿宋_GB2312" w:cs="仿宋_GB2312"/>
                <w:color w:val="auto"/>
                <w:spacing w:val="11"/>
                <w:kern w:val="2"/>
                <w:sz w:val="24"/>
                <w:szCs w:val="24"/>
                <w:highlight w:val="none"/>
                <w:lang w:val="en-US" w:eastAsia="zh-CN" w:bidi="ar-SA"/>
              </w:rPr>
              <w:t xml:space="preserve">  </w:t>
            </w:r>
            <w:r>
              <w:rPr>
                <w:rFonts w:hint="eastAsia" w:ascii="仿宋_GB2312" w:hAnsi="仿宋_GB2312" w:eastAsia="仿宋_GB2312" w:cs="仿宋_GB2312"/>
                <w:color w:val="auto"/>
                <w:spacing w:val="-2"/>
                <w:kern w:val="2"/>
                <w:sz w:val="24"/>
                <w:szCs w:val="24"/>
                <w:highlight w:val="none"/>
                <w:lang w:val="en-US" w:eastAsia="zh-CN" w:bidi="ar-SA"/>
              </w:rPr>
              <w:t>月</w:t>
            </w:r>
            <w:r>
              <w:rPr>
                <w:rFonts w:hint="eastAsia" w:ascii="仿宋_GB2312" w:hAnsi="仿宋_GB2312" w:eastAsia="仿宋_GB2312" w:cs="仿宋_GB2312"/>
                <w:color w:val="auto"/>
                <w:spacing w:val="15"/>
                <w:kern w:val="2"/>
                <w:sz w:val="24"/>
                <w:szCs w:val="24"/>
                <w:highlight w:val="none"/>
                <w:lang w:val="en-US" w:eastAsia="zh-CN" w:bidi="ar-SA"/>
              </w:rPr>
              <w:t xml:space="preserve">   </w:t>
            </w:r>
            <w:r>
              <w:rPr>
                <w:rFonts w:hint="eastAsia" w:ascii="仿宋_GB2312" w:hAnsi="仿宋_GB2312" w:eastAsia="仿宋_GB2312" w:cs="仿宋_GB2312"/>
                <w:color w:val="auto"/>
                <w:spacing w:val="-2"/>
                <w:kern w:val="2"/>
                <w:sz w:val="24"/>
                <w:szCs w:val="24"/>
                <w:highlight w:val="none"/>
                <w:lang w:val="en-US" w:eastAsia="zh-CN" w:bidi="ar-SA"/>
              </w:rPr>
              <w:t>日</w:t>
            </w:r>
          </w:p>
        </w:tc>
      </w:tr>
      <w:tr w14:paraId="7255A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958" w:type="dxa"/>
            <w:noWrap w:val="0"/>
            <w:textDirection w:val="tbRlV"/>
            <w:vAlign w:val="center"/>
          </w:tcPr>
          <w:p w14:paraId="2C43A4ED">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kern w:val="2"/>
                <w:sz w:val="24"/>
                <w:szCs w:val="24"/>
                <w:highlight w:val="none"/>
                <w:lang w:val="en-US" w:eastAsia="en-US" w:bidi="ar-SA"/>
              </w:rPr>
            </w:pPr>
            <w:r>
              <w:rPr>
                <w:rFonts w:hint="eastAsia" w:ascii="仿宋_GB2312" w:hAnsi="仿宋_GB2312" w:eastAsia="仿宋_GB2312" w:cs="仿宋_GB2312"/>
                <w:color w:val="auto"/>
                <w:kern w:val="2"/>
                <w:sz w:val="24"/>
                <w:szCs w:val="24"/>
                <w:highlight w:val="none"/>
                <w:lang w:val="en-US" w:eastAsia="en-US" w:bidi="ar-SA"/>
              </w:rPr>
              <w:t>备注</w:t>
            </w:r>
          </w:p>
        </w:tc>
        <w:tc>
          <w:tcPr>
            <w:tcW w:w="7353" w:type="dxa"/>
            <w:gridSpan w:val="7"/>
            <w:noWrap w:val="0"/>
            <w:vAlign w:val="top"/>
          </w:tcPr>
          <w:p w14:paraId="0F4E9144">
            <w:pPr>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r>
    </w:tbl>
    <w:p w14:paraId="5C26366F">
      <w:pPr>
        <w:keepNext/>
        <w:keepLines/>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outlineLvl w:val="1"/>
        <w:rPr>
          <w:rFonts w:hint="eastAsia" w:ascii="楷体_GB2312" w:hAnsi="楷体_GB2312" w:eastAsia="楷体_GB2312" w:cs="楷体_GB2312"/>
          <w:b/>
          <w:color w:val="auto"/>
          <w:kern w:val="2"/>
          <w:sz w:val="32"/>
          <w:szCs w:val="32"/>
          <w:highlight w:val="none"/>
          <w:lang w:val="en-US" w:eastAsia="zh-CN" w:bidi="ar-SA"/>
        </w:rPr>
      </w:pPr>
      <w:bookmarkStart w:id="111" w:name="_Toc12573"/>
      <w:bookmarkStart w:id="112" w:name="_Toc16095"/>
      <w:r>
        <w:rPr>
          <w:rFonts w:hint="eastAsia" w:ascii="楷体_GB2312" w:hAnsi="楷体_GB2312" w:eastAsia="楷体_GB2312" w:cs="楷体_GB2312"/>
          <w:b/>
          <w:color w:val="auto"/>
          <w:kern w:val="2"/>
          <w:sz w:val="32"/>
          <w:szCs w:val="32"/>
          <w:highlight w:val="none"/>
          <w:lang w:val="en-US" w:eastAsia="zh-CN" w:bidi="ar-SA"/>
        </w:rPr>
        <w:t>（六）合同管理制度</w:t>
      </w:r>
      <w:bookmarkEnd w:id="111"/>
      <w:bookmarkEnd w:id="112"/>
      <w:r>
        <w:rPr>
          <w:rFonts w:hint="eastAsia" w:ascii="楷体_GB2312" w:hAnsi="楷体_GB2312" w:eastAsia="楷体_GB2312" w:cs="楷体_GB2312"/>
          <w:b/>
          <w:color w:val="auto"/>
          <w:kern w:val="2"/>
          <w:sz w:val="32"/>
          <w:szCs w:val="32"/>
          <w:highlight w:val="none"/>
          <w:lang w:val="en-US" w:eastAsia="zh-CN" w:bidi="ar-SA"/>
        </w:rPr>
        <w:t>模板</w:t>
      </w:r>
    </w:p>
    <w:p w14:paraId="6E63120D">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第一章 合同订立原则</w:t>
      </w:r>
    </w:p>
    <w:p w14:paraId="7411DFBA">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合同订立应遵循如下原则</w:t>
      </w:r>
      <w:r>
        <w:rPr>
          <w:rFonts w:hint="eastAsia" w:ascii="仿宋_GB2312" w:hAnsi="仿宋_GB2312" w:eastAsia="仿宋_GB2312" w:cs="仿宋_GB2312"/>
          <w:color w:val="auto"/>
          <w:sz w:val="32"/>
          <w:szCs w:val="32"/>
          <w:highlight w:val="none"/>
          <w:lang w:eastAsia="zh-CN"/>
        </w:rPr>
        <w:t>：</w:t>
      </w:r>
    </w:p>
    <w:p w14:paraId="4B728F65">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一</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color w:val="auto"/>
          <w:sz w:val="32"/>
          <w:szCs w:val="32"/>
          <w:highlight w:val="none"/>
        </w:rPr>
        <w:t>合法性原则</w:t>
      </w:r>
    </w:p>
    <w:p w14:paraId="5D4A8426">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合同内容必须符合《中华人民共和国</w:t>
      </w:r>
      <w:r>
        <w:rPr>
          <w:rFonts w:hint="eastAsia" w:ascii="仿宋_GB2312" w:hAnsi="仿宋_GB2312" w:eastAsia="仿宋_GB2312" w:cs="仿宋_GB2312"/>
          <w:color w:val="auto"/>
          <w:sz w:val="32"/>
          <w:szCs w:val="32"/>
          <w:highlight w:val="none"/>
          <w:lang w:val="en-US" w:eastAsia="zh-CN"/>
        </w:rPr>
        <w:t>民法典</w:t>
      </w:r>
      <w:r>
        <w:rPr>
          <w:rFonts w:hint="eastAsia" w:ascii="仿宋_GB2312" w:hAnsi="仿宋_GB2312" w:eastAsia="仿宋_GB2312" w:cs="仿宋_GB2312"/>
          <w:color w:val="auto"/>
          <w:sz w:val="32"/>
          <w:szCs w:val="32"/>
          <w:highlight w:val="none"/>
        </w:rPr>
        <w:t>》等法律法规的规定，应本着“平等、自愿、公平、诚实信用、遵守法律法规、尊重社会公德”的原则签署合同。</w:t>
      </w:r>
    </w:p>
    <w:p w14:paraId="61977451">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二</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color w:val="auto"/>
          <w:sz w:val="32"/>
          <w:szCs w:val="32"/>
          <w:highlight w:val="none"/>
        </w:rPr>
        <w:t>合理性原则</w:t>
      </w:r>
    </w:p>
    <w:p w14:paraId="32B5A0D7">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签订合同必须以维护</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林场的合法权益和提高</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林场经济效益为宗旨，任何部门和个人不得利用合同进行违法违规活动、谋取个人或部门私利、损害</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林场利益。</w:t>
      </w:r>
    </w:p>
    <w:p w14:paraId="2A568FD1">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三</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color w:val="auto"/>
          <w:sz w:val="32"/>
          <w:szCs w:val="32"/>
          <w:highlight w:val="none"/>
        </w:rPr>
        <w:t>书面合同原则</w:t>
      </w:r>
    </w:p>
    <w:p w14:paraId="6D691D54">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所有合同必须签署书面合同以明确合同各方的权利、义务和责任，不得采用口头承诺、默示或推定等形式，以避免不必要的纠纷和争议。</w:t>
      </w:r>
    </w:p>
    <w:p w14:paraId="783EE67D">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四</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color w:val="auto"/>
          <w:sz w:val="32"/>
          <w:szCs w:val="32"/>
          <w:highlight w:val="none"/>
        </w:rPr>
        <w:t>事前签订原则</w:t>
      </w:r>
    </w:p>
    <w:p w14:paraId="02033389">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应在合同事项履行之前签署，所有交易和业务活动应在合同生效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合同各当事方在合同上签字/或盖章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后方可开始进行。</w:t>
      </w:r>
    </w:p>
    <w:p w14:paraId="4E244218">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五</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color w:val="auto"/>
          <w:sz w:val="32"/>
          <w:szCs w:val="32"/>
          <w:highlight w:val="none"/>
        </w:rPr>
        <w:t>权利义务清晰原则</w:t>
      </w:r>
    </w:p>
    <w:p w14:paraId="58CBF7B6">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合同应清楚地界定、准确地描述合同内容、合同条款及各方的权利和义务，杜绝和减少模糊不清、易产生歧义、矛盾的词语或语句，以避免纠纷、推诿现象。</w:t>
      </w:r>
    </w:p>
    <w:p w14:paraId="76BCA259">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第二章 部门职责</w:t>
      </w:r>
    </w:p>
    <w:p w14:paraId="42F897B3">
      <w:pPr>
        <w:pageBreakBefore w:val="0"/>
        <w:numPr>
          <w:ilvl w:val="0"/>
          <w:numId w:val="2"/>
        </w:numPr>
        <w:kinsoku/>
        <w:wordWrap/>
        <w:overflowPunct/>
        <w:topLinePunct w:val="0"/>
        <w:autoSpaceDE/>
        <w:autoSpaceDN/>
        <w:bidi w:val="0"/>
        <w:adjustRightInd/>
        <w:spacing w:beforeAutospacing="0" w:afterAutospacing="0" w:line="560" w:lineRule="exact"/>
        <w:ind w:left="0" w:leftChars="0" w:right="0" w:firstLine="420" w:firstLineChars="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合同的主办部门为合同责任部门，负责合同立项、编审、谈判、审批、签订、执行、管理，并对下列内容进行审查及承担责任</w:t>
      </w:r>
      <w:r>
        <w:rPr>
          <w:rFonts w:hint="eastAsia" w:ascii="仿宋_GB2312" w:hAnsi="仿宋_GB2312" w:eastAsia="仿宋_GB2312" w:cs="仿宋_GB2312"/>
          <w:color w:val="auto"/>
          <w:sz w:val="32"/>
          <w:szCs w:val="32"/>
          <w:highlight w:val="none"/>
          <w:lang w:eastAsia="zh-CN"/>
        </w:rPr>
        <w:t>。</w:t>
      </w:r>
    </w:p>
    <w:p w14:paraId="3FED635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从事本项合同业务的必要性。</w:t>
      </w:r>
    </w:p>
    <w:p w14:paraId="569ED38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从事本项合同业务的可行性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包括经济利益、技术条件与安全保障等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14:paraId="5AF243F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从事本项合同业务对</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林场利益的综合影响。</w:t>
      </w:r>
    </w:p>
    <w:p w14:paraId="4DF9838E">
      <w:pPr>
        <w:pageBreakBefore w:val="0"/>
        <w:numPr>
          <w:ilvl w:val="0"/>
          <w:numId w:val="2"/>
        </w:numPr>
        <w:kinsoku/>
        <w:wordWrap/>
        <w:overflowPunct/>
        <w:topLinePunct w:val="0"/>
        <w:autoSpaceDE/>
        <w:autoSpaceDN/>
        <w:bidi w:val="0"/>
        <w:adjustRightInd/>
        <w:spacing w:beforeAutospacing="0" w:afterAutospacing="0" w:line="560" w:lineRule="exact"/>
        <w:ind w:left="0" w:leftChars="0" w:right="0" w:firstLine="42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对无需招标（单项金额</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万元（含）以上，</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万元以下）的合同，通过比选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应由三家</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服务</w:t>
      </w:r>
      <w:r>
        <w:rPr>
          <w:rFonts w:hint="eastAsia" w:ascii="仿宋_GB2312" w:hAnsi="仿宋_GB2312" w:eastAsia="仿宋_GB2312" w:cs="仿宋_GB2312"/>
          <w:color w:val="auto"/>
          <w:sz w:val="32"/>
          <w:szCs w:val="32"/>
          <w:highlight w:val="none"/>
        </w:rPr>
        <w:t>商报价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或竞争性谈判确定拟签约方。</w:t>
      </w:r>
    </w:p>
    <w:p w14:paraId="547EFC89">
      <w:pPr>
        <w:pageBreakBefore w:val="0"/>
        <w:numPr>
          <w:ilvl w:val="0"/>
          <w:numId w:val="2"/>
        </w:numPr>
        <w:kinsoku/>
        <w:wordWrap/>
        <w:overflowPunct/>
        <w:topLinePunct w:val="0"/>
        <w:autoSpaceDE/>
        <w:autoSpaceDN/>
        <w:bidi w:val="0"/>
        <w:adjustRightInd/>
        <w:spacing w:beforeAutospacing="0" w:afterAutospacing="0" w:line="560" w:lineRule="exact"/>
        <w:ind w:left="0" w:leftChars="0" w:right="0" w:firstLine="42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及时向上级领导和相关部门通报在合同履行过程中发生的问题，提出解决问题的意见和建议。</w:t>
      </w:r>
    </w:p>
    <w:p w14:paraId="61AE55BF">
      <w:pPr>
        <w:pageBreakBefore w:val="0"/>
        <w:numPr>
          <w:ilvl w:val="0"/>
          <w:numId w:val="2"/>
        </w:numPr>
        <w:kinsoku/>
        <w:wordWrap/>
        <w:overflowPunct/>
        <w:topLinePunct w:val="0"/>
        <w:autoSpaceDE/>
        <w:autoSpaceDN/>
        <w:bidi w:val="0"/>
        <w:adjustRightInd/>
        <w:spacing w:beforeAutospacing="0" w:afterAutospacing="0" w:line="560" w:lineRule="exact"/>
        <w:ind w:left="0" w:leftChars="0" w:right="0" w:firstLine="42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参与合同纠纷的协商、调解、仲裁、诉讼。</w:t>
      </w:r>
    </w:p>
    <w:p w14:paraId="3FD749B7">
      <w:pPr>
        <w:pageBreakBefore w:val="0"/>
        <w:numPr>
          <w:ilvl w:val="0"/>
          <w:numId w:val="2"/>
        </w:numPr>
        <w:kinsoku/>
        <w:wordWrap/>
        <w:overflowPunct/>
        <w:topLinePunct w:val="0"/>
        <w:autoSpaceDE/>
        <w:autoSpaceDN/>
        <w:bidi w:val="0"/>
        <w:adjustRightInd/>
        <w:spacing w:beforeAutospacing="0" w:afterAutospacing="0" w:line="560" w:lineRule="exact"/>
        <w:ind w:left="0" w:leftChars="0" w:right="0" w:firstLine="42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林场合同管理制度的规定将合同正本、附属文件及时交送相关部门归档，会同存档部门对合同进行编号。</w:t>
      </w:r>
    </w:p>
    <w:p w14:paraId="4E96D5EE">
      <w:pPr>
        <w:pageBreakBefore w:val="0"/>
        <w:numPr>
          <w:ilvl w:val="0"/>
          <w:numId w:val="2"/>
        </w:numPr>
        <w:kinsoku/>
        <w:wordWrap/>
        <w:overflowPunct/>
        <w:topLinePunct w:val="0"/>
        <w:autoSpaceDE/>
        <w:autoSpaceDN/>
        <w:bidi w:val="0"/>
        <w:adjustRightInd/>
        <w:spacing w:beforeAutospacing="0" w:afterAutospacing="0" w:line="560" w:lineRule="exact"/>
        <w:ind w:left="0" w:leftChars="0" w:right="0" w:firstLine="42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登记本部门合同台账。</w:t>
      </w:r>
    </w:p>
    <w:p w14:paraId="3637F5ED">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财务预算控制部门审核下列事项并承担责任</w:t>
      </w:r>
      <w:r>
        <w:rPr>
          <w:rFonts w:hint="eastAsia" w:ascii="仿宋_GB2312" w:hAnsi="仿宋_GB2312" w:eastAsia="仿宋_GB2312" w:cs="仿宋_GB2312"/>
          <w:color w:val="auto"/>
          <w:sz w:val="32"/>
          <w:szCs w:val="32"/>
          <w:highlight w:val="none"/>
          <w:lang w:eastAsia="zh-CN"/>
        </w:rPr>
        <w:t>：</w:t>
      </w:r>
    </w:p>
    <w:p w14:paraId="00C21649">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1.合同中有关价款、酬金条款及结算条款的合法性、适当性。</w:t>
      </w:r>
    </w:p>
    <w:p w14:paraId="742B2C17">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2.履行合同所需资金安排的可行性，资金用途及使用方法合理性。</w:t>
      </w:r>
    </w:p>
    <w:p w14:paraId="238707C7">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3.合同款项支付是否符合约定并按</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林场相关制度履行审批手续。</w:t>
      </w:r>
    </w:p>
    <w:p w14:paraId="0EF78449">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第三章 合同审核</w:t>
      </w:r>
    </w:p>
    <w:p w14:paraId="0DDD088D">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val="en-US" w:eastAsia="zh-CN"/>
        </w:rPr>
        <w:t>合同金额30万元（含）以上，</w:t>
      </w:r>
      <w:r>
        <w:rPr>
          <w:rFonts w:hint="eastAsia" w:ascii="仿宋_GB2312" w:hAnsi="仿宋_GB2312" w:eastAsia="仿宋_GB2312" w:cs="仿宋_GB2312"/>
          <w:color w:val="auto"/>
          <w:sz w:val="32"/>
          <w:szCs w:val="32"/>
          <w:highlight w:val="none"/>
        </w:rPr>
        <w:t>合同签订前经</w:t>
      </w:r>
      <w:r>
        <w:rPr>
          <w:rFonts w:hint="eastAsia" w:ascii="仿宋_GB2312" w:hAnsi="仿宋_GB2312" w:eastAsia="仿宋_GB2312" w:cs="仿宋_GB2312"/>
          <w:color w:val="auto"/>
          <w:sz w:val="32"/>
          <w:szCs w:val="32"/>
          <w:highlight w:val="none"/>
          <w:lang w:val="en-US" w:eastAsia="zh-CN"/>
        </w:rPr>
        <w:t>属地政府</w:t>
      </w:r>
      <w:r>
        <w:rPr>
          <w:rFonts w:hint="eastAsia" w:ascii="仿宋_GB2312" w:hAnsi="仿宋_GB2312" w:eastAsia="仿宋_GB2312" w:cs="仿宋_GB2312"/>
          <w:color w:val="auto"/>
          <w:sz w:val="32"/>
          <w:szCs w:val="32"/>
          <w:highlight w:val="none"/>
        </w:rPr>
        <w:t>法务审核后，确认通过。</w:t>
      </w:r>
    </w:p>
    <w:p w14:paraId="6266AF68">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（二）责任部门应在合同签订时，提供合同事项的决策审批文件或会议纪要及招标/比选等有效文件。</w:t>
      </w:r>
    </w:p>
    <w:p w14:paraId="732F6016">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第四章 合同签字、盖章</w:t>
      </w:r>
    </w:p>
    <w:p w14:paraId="3C1113E9">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（一）对于不能在同一地点签订的合同，应要求合同对方先在合同上签字盖章。</w:t>
      </w:r>
    </w:p>
    <w:p w14:paraId="22DCAF2B">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（二）签署合同应加盖合同专用章或公章，所有合同均必须加盖骑缝章</w:t>
      </w:r>
      <w:r>
        <w:rPr>
          <w:rFonts w:hint="eastAsia" w:ascii="仿宋_GB2312" w:hAnsi="仿宋_GB2312" w:eastAsia="仿宋_GB2312" w:cs="仿宋_GB2312"/>
          <w:color w:val="auto"/>
          <w:sz w:val="32"/>
          <w:szCs w:val="32"/>
          <w:highlight w:val="none"/>
          <w:lang w:val="en-US" w:eastAsia="zh-CN"/>
        </w:rPr>
        <w:t>并由法定代表人或授权代表签字或盖章</w:t>
      </w:r>
      <w:r>
        <w:rPr>
          <w:rFonts w:hint="eastAsia" w:ascii="仿宋_GB2312" w:hAnsi="仿宋_GB2312" w:eastAsia="仿宋_GB2312" w:cs="仿宋_GB2312"/>
          <w:color w:val="auto"/>
          <w:sz w:val="32"/>
          <w:szCs w:val="32"/>
          <w:highlight w:val="none"/>
        </w:rPr>
        <w:t>。</w:t>
      </w:r>
    </w:p>
    <w:p w14:paraId="17A8426E">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（三）盖章的合同文本不得留有空白。严禁在对外签订的合同的空白文本上盖章。</w:t>
      </w:r>
    </w:p>
    <w:p w14:paraId="6D510A41">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四）合同签订日期须在项目实施之前，未签订合同不得提前开展。</w:t>
      </w:r>
    </w:p>
    <w:p w14:paraId="3E3BEA2B">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第五章 合同保管</w:t>
      </w:r>
    </w:p>
    <w:p w14:paraId="030F84C9">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（一）合同签订完毕后，</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林场应保留至少两份合同正本。</w:t>
      </w:r>
      <w:r>
        <w:rPr>
          <w:rFonts w:hint="eastAsia" w:ascii="仿宋_GB2312" w:hAnsi="仿宋_GB2312" w:eastAsia="仿宋_GB2312" w:cs="仿宋_GB2312"/>
          <w:color w:val="auto"/>
          <w:sz w:val="32"/>
          <w:szCs w:val="32"/>
          <w:highlight w:val="none"/>
          <w:lang w:eastAsia="zh-CN"/>
        </w:rPr>
        <w:t>综合部</w:t>
      </w:r>
      <w:r>
        <w:rPr>
          <w:rFonts w:hint="eastAsia" w:ascii="仿宋_GB2312" w:hAnsi="仿宋_GB2312" w:eastAsia="仿宋_GB2312" w:cs="仿宋_GB2312"/>
          <w:color w:val="auto"/>
          <w:sz w:val="32"/>
          <w:szCs w:val="32"/>
          <w:highlight w:val="none"/>
        </w:rPr>
        <w:t>、责任部门各保留一份合同正本。根据合同性质和工作需要可以增加保留合同正本数量。</w:t>
      </w:r>
    </w:p>
    <w:p w14:paraId="0572073C">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（二）合同正本应由</w:t>
      </w:r>
      <w:r>
        <w:rPr>
          <w:rFonts w:hint="eastAsia" w:ascii="仿宋_GB2312" w:hAnsi="仿宋_GB2312" w:eastAsia="仿宋_GB2312" w:cs="仿宋_GB2312"/>
          <w:color w:val="auto"/>
          <w:sz w:val="32"/>
          <w:szCs w:val="32"/>
          <w:highlight w:val="none"/>
          <w:lang w:eastAsia="zh-CN"/>
        </w:rPr>
        <w:t>综合部</w:t>
      </w:r>
      <w:r>
        <w:rPr>
          <w:rFonts w:hint="eastAsia" w:ascii="仿宋_GB2312" w:hAnsi="仿宋_GB2312" w:eastAsia="仿宋_GB2312" w:cs="仿宋_GB2312"/>
          <w:color w:val="auto"/>
          <w:sz w:val="32"/>
          <w:szCs w:val="32"/>
          <w:highlight w:val="none"/>
        </w:rPr>
        <w:t>档案管理员按照</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林场合同编号规则对合同进行编号并登记。</w:t>
      </w:r>
    </w:p>
    <w:p w14:paraId="44725EC6">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（三）财务预算控制负责根据相关法律法规的规定缴纳印花税。</w:t>
      </w:r>
    </w:p>
    <w:p w14:paraId="68675A03">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第六章 合同履行</w:t>
      </w:r>
    </w:p>
    <w:p w14:paraId="7BDD9D00">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（一）合同签订后即具有法律效力，责任部门必须认真履行合同，严格执行，不得因违约给</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林场造成损失。</w:t>
      </w:r>
    </w:p>
    <w:p w14:paraId="7AC557D5">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（二）合同付款，责任部门应填写相关《报销单》，由相关部门人员签字确认后，交到财务预算控制</w:t>
      </w:r>
      <w:r>
        <w:rPr>
          <w:rFonts w:hint="eastAsia" w:ascii="仿宋_GB2312" w:hAnsi="仿宋_GB2312" w:eastAsia="仿宋_GB2312" w:cs="仿宋_GB2312"/>
          <w:color w:val="auto"/>
          <w:sz w:val="32"/>
          <w:szCs w:val="32"/>
          <w:highlight w:val="none"/>
          <w:lang w:val="en-US" w:eastAsia="zh-CN"/>
        </w:rPr>
        <w:t>部门</w:t>
      </w:r>
      <w:r>
        <w:rPr>
          <w:rFonts w:hint="eastAsia" w:ascii="仿宋_GB2312" w:hAnsi="仿宋_GB2312" w:eastAsia="仿宋_GB2312" w:cs="仿宋_GB2312"/>
          <w:color w:val="auto"/>
          <w:sz w:val="32"/>
          <w:szCs w:val="32"/>
          <w:highlight w:val="none"/>
        </w:rPr>
        <w:t>。财务预算控制在确认《报销单》依审批权限签字完整，且本次支付金额及支付方式符合合同约定后，按财务管理流程支付款项。签字不完整或与合同不符的，财务预算控制应拒绝付款。</w:t>
      </w:r>
    </w:p>
    <w:p w14:paraId="147C72B2">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第七章 合同台账</w:t>
      </w:r>
    </w:p>
    <w:p w14:paraId="4A74F0A6">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（一）各部门应建立本部门的合同台账，</w:t>
      </w:r>
      <w:r>
        <w:rPr>
          <w:rFonts w:hint="eastAsia" w:ascii="仿宋_GB2312" w:hAnsi="仿宋_GB2312" w:eastAsia="仿宋_GB2312" w:cs="仿宋_GB2312"/>
          <w:color w:val="auto"/>
          <w:sz w:val="32"/>
          <w:szCs w:val="32"/>
          <w:highlight w:val="none"/>
          <w:lang w:eastAsia="zh-CN"/>
        </w:rPr>
        <w:t>综合部</w:t>
      </w:r>
      <w:r>
        <w:rPr>
          <w:rFonts w:hint="eastAsia" w:ascii="仿宋_GB2312" w:hAnsi="仿宋_GB2312" w:eastAsia="仿宋_GB2312" w:cs="仿宋_GB2312"/>
          <w:color w:val="auto"/>
          <w:sz w:val="32"/>
          <w:szCs w:val="32"/>
          <w:highlight w:val="none"/>
        </w:rPr>
        <w:t>应建立全部合同台账。</w:t>
      </w:r>
    </w:p>
    <w:p w14:paraId="75EE8C21">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val="en-US" w:eastAsia="zh-CN"/>
        </w:rPr>
        <w:t>综合部</w:t>
      </w:r>
      <w:r>
        <w:rPr>
          <w:rFonts w:hint="eastAsia" w:ascii="仿宋_GB2312" w:hAnsi="仿宋_GB2312" w:eastAsia="仿宋_GB2312" w:cs="仿宋_GB2312"/>
          <w:color w:val="auto"/>
          <w:sz w:val="32"/>
          <w:szCs w:val="32"/>
          <w:highlight w:val="none"/>
        </w:rPr>
        <w:t>应定期与责任部门核对合同台账。</w:t>
      </w:r>
    </w:p>
    <w:p w14:paraId="734F9FE2">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第八章 合同变更与解除</w:t>
      </w:r>
    </w:p>
    <w:p w14:paraId="448E2E55">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如合同需要变更、补充或解除的，一律采用书面形式。该书面文件也为合同，其审核、签字和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盖章、保管、履行等同样适用本制度。</w:t>
      </w:r>
    </w:p>
    <w:p w14:paraId="5936D59C">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第九章 合同纠纷的处理</w:t>
      </w:r>
    </w:p>
    <w:p w14:paraId="3B2103C8">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合同履行过程中产生纠纷的，各责任部门应立即上报。能协商解决的，应协商解决。不能协商解决，由</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林场法务</w:t>
      </w:r>
      <w:r>
        <w:rPr>
          <w:rFonts w:hint="eastAsia" w:ascii="仿宋_GB2312" w:hAnsi="仿宋_GB2312" w:eastAsia="仿宋_GB2312" w:cs="仿宋_GB2312"/>
          <w:color w:val="auto"/>
          <w:sz w:val="32"/>
          <w:szCs w:val="32"/>
          <w:highlight w:val="none"/>
          <w:lang w:val="en-US" w:eastAsia="zh-CN"/>
        </w:rPr>
        <w:t>介入通过</w:t>
      </w:r>
      <w:r>
        <w:rPr>
          <w:rFonts w:hint="eastAsia" w:ascii="仿宋_GB2312" w:hAnsi="仿宋_GB2312" w:eastAsia="仿宋_GB2312" w:cs="仿宋_GB2312"/>
          <w:color w:val="auto"/>
          <w:sz w:val="32"/>
          <w:szCs w:val="32"/>
          <w:highlight w:val="none"/>
        </w:rPr>
        <w:t>司法</w:t>
      </w:r>
      <w:r>
        <w:rPr>
          <w:rFonts w:hint="eastAsia" w:ascii="仿宋_GB2312" w:hAnsi="仿宋_GB2312" w:eastAsia="仿宋_GB2312" w:cs="仿宋_GB2312"/>
          <w:color w:val="auto"/>
          <w:sz w:val="32"/>
          <w:szCs w:val="32"/>
          <w:highlight w:val="none"/>
          <w:lang w:val="en-US" w:eastAsia="zh-CN"/>
        </w:rPr>
        <w:t>途径</w:t>
      </w:r>
      <w:r>
        <w:rPr>
          <w:rFonts w:hint="eastAsia" w:ascii="仿宋_GB2312" w:hAnsi="仿宋_GB2312" w:eastAsia="仿宋_GB2312" w:cs="仿宋_GB2312"/>
          <w:color w:val="auto"/>
          <w:sz w:val="32"/>
          <w:szCs w:val="32"/>
          <w:highlight w:val="none"/>
        </w:rPr>
        <w:t>解决。</w:t>
      </w:r>
    </w:p>
    <w:p w14:paraId="78C4E172">
      <w:pPr>
        <w:rPr>
          <w:rFonts w:hint="eastAsia" w:ascii="仿宋_GB2312" w:hAnsi="仿宋_GB2312" w:eastAsia="仿宋_GB2312" w:cs="仿宋_GB2312"/>
          <w:color w:val="auto"/>
          <w:sz w:val="32"/>
          <w:szCs w:val="32"/>
          <w:highlight w:val="none"/>
          <w:lang w:eastAsia="zh-CN"/>
        </w:rPr>
      </w:pPr>
    </w:p>
    <w:p w14:paraId="63883E1D">
      <w:pPr>
        <w:keepNext/>
        <w:keepLines/>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outlineLvl w:val="1"/>
        <w:rPr>
          <w:rFonts w:hint="eastAsia" w:ascii="楷体_GB2312" w:hAnsi="楷体_GB2312" w:eastAsia="楷体_GB2312" w:cs="楷体_GB2312"/>
          <w:b/>
          <w:color w:val="auto"/>
          <w:kern w:val="2"/>
          <w:sz w:val="32"/>
          <w:szCs w:val="32"/>
          <w:highlight w:val="none"/>
          <w:lang w:val="en-US" w:eastAsia="zh-CN" w:bidi="ar-SA"/>
        </w:rPr>
      </w:pPr>
      <w:bookmarkStart w:id="113" w:name="_Toc4925"/>
      <w:r>
        <w:rPr>
          <w:rFonts w:hint="eastAsia" w:ascii="楷体_GB2312" w:hAnsi="楷体_GB2312" w:eastAsia="楷体_GB2312" w:cs="楷体_GB2312"/>
          <w:b/>
          <w:color w:val="auto"/>
          <w:kern w:val="2"/>
          <w:sz w:val="32"/>
          <w:szCs w:val="32"/>
          <w:highlight w:val="none"/>
          <w:lang w:val="en-US" w:eastAsia="zh-CN" w:bidi="ar-SA"/>
        </w:rPr>
        <w:t>（七）“三重一大”管理制度</w:t>
      </w:r>
      <w:bookmarkEnd w:id="113"/>
      <w:r>
        <w:rPr>
          <w:rFonts w:hint="eastAsia" w:ascii="楷体_GB2312" w:hAnsi="楷体_GB2312" w:eastAsia="楷体_GB2312" w:cs="楷体_GB2312"/>
          <w:b/>
          <w:color w:val="auto"/>
          <w:kern w:val="2"/>
          <w:sz w:val="32"/>
          <w:szCs w:val="32"/>
          <w:highlight w:val="none"/>
          <w:lang w:val="en-US" w:eastAsia="zh-CN" w:bidi="ar-SA"/>
        </w:rPr>
        <w:t>模板</w:t>
      </w:r>
    </w:p>
    <w:p w14:paraId="2F205730">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为加强</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新型集体林场对重大事项决策、重要干部任免、重要项目安排和大额资金使用等“三重一大”事项决策风险防控和监督管理，推进</w:t>
      </w:r>
      <w:r>
        <w:rPr>
          <w:rFonts w:hint="eastAsia" w:ascii="仿宋_GB2312" w:hAnsi="仿宋_GB2312" w:eastAsia="仿宋_GB2312" w:cs="仿宋_GB2312"/>
          <w:color w:val="auto"/>
          <w:sz w:val="32"/>
          <w:szCs w:val="32"/>
          <w:highlight w:val="none"/>
          <w:lang w:eastAsia="zh-CN"/>
        </w:rPr>
        <w:t>新型集体林场场务会</w:t>
      </w:r>
      <w:r>
        <w:rPr>
          <w:rFonts w:hint="eastAsia" w:ascii="仿宋_GB2312" w:hAnsi="仿宋_GB2312" w:eastAsia="仿宋_GB2312" w:cs="仿宋_GB2312"/>
          <w:color w:val="auto"/>
          <w:sz w:val="32"/>
          <w:szCs w:val="32"/>
          <w:highlight w:val="none"/>
        </w:rPr>
        <w:t>依法民主、科学、规范决策，结合</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新型集体林场实际，制定本试行办法。</w:t>
      </w:r>
    </w:p>
    <w:p w14:paraId="3AED0520">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第一章 “三重一大”主要内容</w:t>
      </w:r>
    </w:p>
    <w:p w14:paraId="4A6D1729">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（一）重要事项决策</w:t>
      </w:r>
    </w:p>
    <w:p w14:paraId="37747DCB">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1.涉及决定</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林场发展规划、年度工作计划、重大决策措施和重要制度的制定与修订等事项；</w:t>
      </w:r>
    </w:p>
    <w:p w14:paraId="10736A79">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2.涉及</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林场改革发展稳定和职工切身利益的重大事项；</w:t>
      </w:r>
    </w:p>
    <w:p w14:paraId="3F0D1302">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3.需要提交</w:t>
      </w:r>
      <w:r>
        <w:rPr>
          <w:rFonts w:hint="eastAsia" w:ascii="仿宋_GB2312" w:hAnsi="仿宋_GB2312" w:eastAsia="仿宋_GB2312" w:cs="仿宋_GB2312"/>
          <w:color w:val="auto"/>
          <w:sz w:val="32"/>
          <w:szCs w:val="32"/>
          <w:highlight w:val="none"/>
          <w:lang w:val="en-US" w:eastAsia="zh-CN"/>
        </w:rPr>
        <w:t>属地</w:t>
      </w:r>
      <w:r>
        <w:rPr>
          <w:rFonts w:hint="eastAsia" w:ascii="仿宋_GB2312" w:hAnsi="仿宋_GB2312" w:eastAsia="仿宋_GB2312" w:cs="仿宋_GB2312"/>
          <w:color w:val="auto"/>
          <w:sz w:val="32"/>
          <w:szCs w:val="32"/>
          <w:highlight w:val="none"/>
        </w:rPr>
        <w:t>党委会等审议决定的事项；</w:t>
      </w:r>
    </w:p>
    <w:p w14:paraId="487801BA">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4.其他有较大影响的重要事项。</w:t>
      </w:r>
    </w:p>
    <w:p w14:paraId="77DDEBD8">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（二）重要干部任免</w:t>
      </w:r>
    </w:p>
    <w:p w14:paraId="70DCF9CF">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1.涉及</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林场中层以上经营管理人员的选聘、任免、重要奖惩等事项；</w:t>
      </w:r>
    </w:p>
    <w:p w14:paraId="00390972">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2.其他干部管理的重要事项。</w:t>
      </w:r>
    </w:p>
    <w:p w14:paraId="742390EE">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（三）重要项目安排和大额资金使用</w:t>
      </w:r>
    </w:p>
    <w:p w14:paraId="7F59E169">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1.有关重大项目资金的申报和使用；</w:t>
      </w:r>
    </w:p>
    <w:p w14:paraId="2CD06D38">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2.涉及</w:t>
      </w:r>
      <w:r>
        <w:rPr>
          <w:rFonts w:hint="eastAsia" w:ascii="仿宋_GB2312" w:hAnsi="仿宋_GB2312" w:eastAsia="仿宋_GB2312" w:cs="仿宋_GB2312"/>
          <w:color w:val="auto"/>
          <w:sz w:val="32"/>
          <w:szCs w:val="32"/>
          <w:highlight w:val="none"/>
          <w:lang w:val="en-US" w:eastAsia="zh-CN"/>
        </w:rPr>
        <w:t>大额资金</w:t>
      </w:r>
      <w:r>
        <w:rPr>
          <w:rFonts w:hint="eastAsia" w:ascii="仿宋_GB2312" w:hAnsi="仿宋_GB2312" w:eastAsia="仿宋_GB2312" w:cs="仿宋_GB2312"/>
          <w:color w:val="auto"/>
          <w:sz w:val="32"/>
          <w:szCs w:val="32"/>
          <w:highlight w:val="none"/>
        </w:rPr>
        <w:t>的使用和支出项目等；</w:t>
      </w:r>
    </w:p>
    <w:p w14:paraId="3D96993B">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3.涉及年度预算安排和年度决算；</w:t>
      </w:r>
    </w:p>
    <w:p w14:paraId="4C6D21E6">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4.其他需要</w:t>
      </w:r>
      <w:r>
        <w:rPr>
          <w:rFonts w:hint="eastAsia" w:ascii="仿宋_GB2312" w:hAnsi="仿宋_GB2312" w:eastAsia="仿宋_GB2312" w:cs="仿宋_GB2312"/>
          <w:color w:val="auto"/>
          <w:sz w:val="32"/>
          <w:szCs w:val="32"/>
          <w:highlight w:val="none"/>
          <w:lang w:eastAsia="zh-CN"/>
        </w:rPr>
        <w:t>新型集体林场场务会</w:t>
      </w:r>
      <w:r>
        <w:rPr>
          <w:rFonts w:hint="eastAsia" w:ascii="仿宋_GB2312" w:hAnsi="仿宋_GB2312" w:eastAsia="仿宋_GB2312" w:cs="仿宋_GB2312"/>
          <w:color w:val="auto"/>
          <w:sz w:val="32"/>
          <w:szCs w:val="32"/>
          <w:highlight w:val="none"/>
        </w:rPr>
        <w:t>集体研究决定的重要项目安排和大额资金使用。</w:t>
      </w:r>
    </w:p>
    <w:p w14:paraId="1840B4FC">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第二章 “三重一大”事项决策原则和决策机制</w:t>
      </w:r>
    </w:p>
    <w:p w14:paraId="081C5955">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（一）决策原则</w:t>
      </w:r>
    </w:p>
    <w:p w14:paraId="61260D87">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1.坚持集体领导、民主集中、个别酝酿、会议决定的原则。凡属职责范围内的“三重一大”事项，除遇重大突发事件及紧急情况外，都应由</w:t>
      </w:r>
      <w:r>
        <w:rPr>
          <w:rFonts w:hint="eastAsia" w:ascii="仿宋_GB2312" w:hAnsi="仿宋_GB2312" w:eastAsia="仿宋_GB2312" w:cs="仿宋_GB2312"/>
          <w:color w:val="auto"/>
          <w:sz w:val="32"/>
          <w:szCs w:val="32"/>
          <w:highlight w:val="none"/>
          <w:lang w:val="en-US" w:eastAsia="zh-CN"/>
        </w:rPr>
        <w:t>新型集体林场</w:t>
      </w:r>
      <w:r>
        <w:rPr>
          <w:rFonts w:hint="eastAsia" w:ascii="仿宋_GB2312" w:hAnsi="仿宋_GB2312" w:eastAsia="仿宋_GB2312" w:cs="仿宋_GB2312"/>
          <w:color w:val="auto"/>
          <w:sz w:val="32"/>
          <w:szCs w:val="32"/>
          <w:highlight w:val="none"/>
        </w:rPr>
        <w:t>以会议形式集体讨论决定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并报属地政府批准后执行</w:t>
      </w:r>
      <w:r>
        <w:rPr>
          <w:rFonts w:hint="eastAsia" w:ascii="仿宋_GB2312" w:hAnsi="仿宋_GB2312" w:eastAsia="仿宋_GB2312" w:cs="仿宋_GB2312"/>
          <w:color w:val="auto"/>
          <w:sz w:val="32"/>
          <w:szCs w:val="32"/>
          <w:highlight w:val="none"/>
        </w:rPr>
        <w:t>，不得以传阅、会签或个别征求意见等方式代替集体决策。特殊情况决策后，应及时向有关人员和部门通报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并报属地政府备案</w:t>
      </w:r>
      <w:r>
        <w:rPr>
          <w:rFonts w:hint="eastAsia" w:ascii="仿宋_GB2312" w:hAnsi="仿宋_GB2312" w:eastAsia="仿宋_GB2312" w:cs="仿宋_GB2312"/>
          <w:color w:val="auto"/>
          <w:sz w:val="32"/>
          <w:szCs w:val="32"/>
          <w:highlight w:val="none"/>
        </w:rPr>
        <w:t>。</w:t>
      </w:r>
    </w:p>
    <w:p w14:paraId="6ACD1860">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2.坚持集体</w:t>
      </w:r>
      <w:r>
        <w:rPr>
          <w:rFonts w:hint="eastAsia" w:ascii="仿宋_GB2312" w:hAnsi="仿宋_GB2312" w:eastAsia="仿宋_GB2312" w:cs="仿宋_GB2312"/>
          <w:color w:val="auto"/>
          <w:sz w:val="32"/>
          <w:szCs w:val="32"/>
          <w:highlight w:val="none"/>
          <w:lang w:val="en-US" w:eastAsia="zh-CN"/>
        </w:rPr>
        <w:t>决策</w:t>
      </w:r>
      <w:r>
        <w:rPr>
          <w:rFonts w:hint="eastAsia" w:ascii="仿宋_GB2312" w:hAnsi="仿宋_GB2312" w:eastAsia="仿宋_GB2312" w:cs="仿宋_GB2312"/>
          <w:color w:val="auto"/>
          <w:sz w:val="32"/>
          <w:szCs w:val="32"/>
          <w:highlight w:val="none"/>
        </w:rPr>
        <w:t>和个人分工负责相结合的原则。贯彻民主集中制，充分发扬民主，实行</w:t>
      </w:r>
      <w:r>
        <w:rPr>
          <w:rFonts w:hint="eastAsia" w:ascii="仿宋_GB2312" w:hAnsi="仿宋_GB2312" w:eastAsia="仿宋_GB2312" w:cs="仿宋_GB2312"/>
          <w:color w:val="auto"/>
          <w:sz w:val="32"/>
          <w:szCs w:val="32"/>
          <w:highlight w:val="none"/>
          <w:lang w:eastAsia="zh-CN"/>
        </w:rPr>
        <w:t>新型集体林场管理层成员</w:t>
      </w:r>
      <w:r>
        <w:rPr>
          <w:rFonts w:hint="eastAsia" w:ascii="仿宋_GB2312" w:hAnsi="仿宋_GB2312" w:eastAsia="仿宋_GB2312" w:cs="仿宋_GB2312"/>
          <w:color w:val="auto"/>
          <w:sz w:val="32"/>
          <w:szCs w:val="32"/>
          <w:highlight w:val="none"/>
        </w:rPr>
        <w:t>分工负责，保证权力正确行使，发挥集体智慧和集体合力。</w:t>
      </w:r>
    </w:p>
    <w:p w14:paraId="71D1413A">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3.坚持依法、科学、民主的原则。注重调查研究、尊重和反映客观规律，广泛听取各方面意见，自觉接受各方面的监督。</w:t>
      </w:r>
    </w:p>
    <w:p w14:paraId="1B6203D4">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（二）决策机制</w:t>
      </w:r>
    </w:p>
    <w:p w14:paraId="31024C3A">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根据需要和决策的内容，由</w:t>
      </w:r>
      <w:r>
        <w:rPr>
          <w:rFonts w:hint="eastAsia" w:ascii="仿宋_GB2312" w:hAnsi="仿宋_GB2312" w:eastAsia="仿宋_GB2312" w:cs="仿宋_GB2312"/>
          <w:color w:val="auto"/>
          <w:sz w:val="32"/>
          <w:szCs w:val="32"/>
          <w:highlight w:val="none"/>
          <w:lang w:eastAsia="zh-CN"/>
        </w:rPr>
        <w:t>场务会</w:t>
      </w:r>
      <w:r>
        <w:rPr>
          <w:rFonts w:hint="eastAsia" w:ascii="仿宋_GB2312" w:hAnsi="仿宋_GB2312" w:eastAsia="仿宋_GB2312" w:cs="仿宋_GB2312"/>
          <w:color w:val="auto"/>
          <w:sz w:val="32"/>
          <w:szCs w:val="32"/>
          <w:highlight w:val="none"/>
        </w:rPr>
        <w:t>会议形式集体讨论并作出决定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并报属地政府备案。</w:t>
      </w:r>
      <w:r>
        <w:rPr>
          <w:rFonts w:hint="eastAsia" w:ascii="仿宋_GB2312" w:hAnsi="仿宋_GB2312" w:eastAsia="仿宋_GB2312" w:cs="仿宋_GB2312"/>
          <w:color w:val="auto"/>
          <w:sz w:val="32"/>
          <w:szCs w:val="32"/>
          <w:highlight w:val="none"/>
        </w:rPr>
        <w:t>会议召开的形式、决策的内容和议事规则，分别按照有关规定执行。</w:t>
      </w:r>
    </w:p>
    <w:p w14:paraId="5E6E3C55">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第三章 “三重一大”事项决策程序</w:t>
      </w:r>
    </w:p>
    <w:p w14:paraId="70C31699">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（一）确定议题</w:t>
      </w:r>
    </w:p>
    <w:p w14:paraId="2F17E4C8">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涉及“三重一大”事项的议题，</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林场场长、副场长、部门负责人等根据</w:t>
      </w:r>
      <w:r>
        <w:rPr>
          <w:rFonts w:hint="eastAsia" w:ascii="仿宋_GB2312" w:hAnsi="仿宋_GB2312" w:eastAsia="仿宋_GB2312" w:cs="仿宋_GB2312"/>
          <w:color w:val="auto"/>
          <w:sz w:val="32"/>
          <w:szCs w:val="32"/>
          <w:highlight w:val="none"/>
          <w:lang w:eastAsia="zh-CN"/>
        </w:rPr>
        <w:t>分管副场长</w:t>
      </w:r>
      <w:r>
        <w:rPr>
          <w:rFonts w:hint="eastAsia" w:ascii="仿宋_GB2312" w:hAnsi="仿宋_GB2312" w:eastAsia="仿宋_GB2312" w:cs="仿宋_GB2312"/>
          <w:color w:val="auto"/>
          <w:sz w:val="32"/>
          <w:szCs w:val="32"/>
          <w:highlight w:val="none"/>
        </w:rPr>
        <w:t>或有关部门的建议，确定</w:t>
      </w:r>
      <w:r>
        <w:rPr>
          <w:rFonts w:hint="eastAsia" w:ascii="仿宋_GB2312" w:hAnsi="仿宋_GB2312" w:eastAsia="仿宋_GB2312" w:cs="仿宋_GB2312"/>
          <w:color w:val="auto"/>
          <w:sz w:val="32"/>
          <w:szCs w:val="32"/>
          <w:highlight w:val="none"/>
          <w:lang w:val="en-US" w:eastAsia="zh-CN"/>
        </w:rPr>
        <w:t>场务</w:t>
      </w:r>
      <w:r>
        <w:rPr>
          <w:rFonts w:hint="eastAsia" w:ascii="仿宋_GB2312" w:hAnsi="仿宋_GB2312" w:eastAsia="仿宋_GB2312" w:cs="仿宋_GB2312"/>
          <w:color w:val="auto"/>
          <w:sz w:val="32"/>
          <w:szCs w:val="32"/>
          <w:highlight w:val="none"/>
        </w:rPr>
        <w:t>会的议题。</w:t>
      </w:r>
    </w:p>
    <w:p w14:paraId="707C0369">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（二）酝酿论证</w:t>
      </w:r>
    </w:p>
    <w:p w14:paraId="149EA7A0">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“三重一大”事项决策事项，会前应由</w:t>
      </w:r>
      <w:r>
        <w:rPr>
          <w:rFonts w:hint="eastAsia" w:ascii="仿宋_GB2312" w:hAnsi="仿宋_GB2312" w:eastAsia="仿宋_GB2312" w:cs="仿宋_GB2312"/>
          <w:color w:val="auto"/>
          <w:sz w:val="32"/>
          <w:szCs w:val="32"/>
          <w:highlight w:val="none"/>
          <w:lang w:eastAsia="zh-CN"/>
        </w:rPr>
        <w:t>分管副场长</w:t>
      </w:r>
      <w:r>
        <w:rPr>
          <w:rFonts w:hint="eastAsia" w:ascii="仿宋_GB2312" w:hAnsi="仿宋_GB2312" w:eastAsia="仿宋_GB2312" w:cs="仿宋_GB2312"/>
          <w:color w:val="auto"/>
          <w:sz w:val="32"/>
          <w:szCs w:val="32"/>
          <w:highlight w:val="none"/>
        </w:rPr>
        <w:t>或各部门负责人深入调查研究，广泛听取意见。在决策前应适时召开专题会议研究，并充分征求</w:t>
      </w:r>
      <w:r>
        <w:rPr>
          <w:rFonts w:hint="eastAsia" w:ascii="仿宋_GB2312" w:hAnsi="仿宋_GB2312" w:eastAsia="仿宋_GB2312" w:cs="仿宋_GB2312"/>
          <w:color w:val="auto"/>
          <w:sz w:val="32"/>
          <w:szCs w:val="32"/>
          <w:highlight w:val="none"/>
          <w:lang w:eastAsia="zh-CN"/>
        </w:rPr>
        <w:t>新型集体林场管理层成员</w:t>
      </w:r>
      <w:r>
        <w:rPr>
          <w:rFonts w:hint="eastAsia" w:ascii="仿宋_GB2312" w:hAnsi="仿宋_GB2312" w:eastAsia="仿宋_GB2312" w:cs="仿宋_GB2312"/>
          <w:color w:val="auto"/>
          <w:sz w:val="32"/>
          <w:szCs w:val="32"/>
          <w:highlight w:val="none"/>
        </w:rPr>
        <w:t>意见。会议召开的时间、议题及上会材料应提前告知并送达与会</w:t>
      </w:r>
      <w:r>
        <w:rPr>
          <w:rFonts w:hint="eastAsia" w:ascii="仿宋_GB2312" w:hAnsi="仿宋_GB2312" w:eastAsia="仿宋_GB2312" w:cs="仿宋_GB2312"/>
          <w:color w:val="auto"/>
          <w:sz w:val="32"/>
          <w:szCs w:val="32"/>
          <w:highlight w:val="none"/>
          <w:lang w:eastAsia="zh-CN"/>
        </w:rPr>
        <w:t>新型集体林场管理层成员</w:t>
      </w:r>
      <w:r>
        <w:rPr>
          <w:rFonts w:hint="eastAsia" w:ascii="仿宋_GB2312" w:hAnsi="仿宋_GB2312" w:eastAsia="仿宋_GB2312" w:cs="仿宋_GB2312"/>
          <w:color w:val="auto"/>
          <w:sz w:val="32"/>
          <w:szCs w:val="32"/>
          <w:highlight w:val="none"/>
        </w:rPr>
        <w:t>，并将相关会议申请材料提交</w:t>
      </w:r>
      <w:r>
        <w:rPr>
          <w:rFonts w:hint="eastAsia" w:ascii="仿宋_GB2312" w:hAnsi="仿宋_GB2312" w:eastAsia="仿宋_GB2312" w:cs="仿宋_GB2312"/>
          <w:color w:val="auto"/>
          <w:sz w:val="32"/>
          <w:szCs w:val="32"/>
          <w:highlight w:val="none"/>
          <w:lang w:eastAsia="zh-CN"/>
        </w:rPr>
        <w:t>综合部</w:t>
      </w:r>
      <w:r>
        <w:rPr>
          <w:rFonts w:hint="eastAsia" w:ascii="仿宋_GB2312" w:hAnsi="仿宋_GB2312" w:eastAsia="仿宋_GB2312" w:cs="仿宋_GB2312"/>
          <w:color w:val="auto"/>
          <w:sz w:val="32"/>
          <w:szCs w:val="32"/>
          <w:highlight w:val="none"/>
        </w:rPr>
        <w:t>，做好会议准备。</w:t>
      </w:r>
    </w:p>
    <w:p w14:paraId="05EE55B5">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（三）审议决策</w:t>
      </w:r>
    </w:p>
    <w:p w14:paraId="5843CDD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after="0" w:line="560" w:lineRule="exact"/>
        <w:ind w:leftChars="0" w:right="0" w:firstLine="640" w:firstLineChars="200"/>
        <w:jc w:val="both"/>
        <w:textAlignment w:val="baseline"/>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会议必须有三分之二以上成员出席，由新型集体林场场长主持，议题由分管副场长或相关部门负责人汇报，与会新型集体林场管理层成员（由新型集体林场根据实际情况具体明确）应就议题逐个表态，主持人应在充分听取意见后表明自己的意见。表决可采取口头、举手、无记名投票等方式进行，必须经应到会成员半数以上同意，方可形成决定，并报属</w:t>
      </w:r>
      <w:r>
        <w:rPr>
          <w:rFonts w:hint="eastAsia" w:ascii="仿宋_GB2312" w:hAnsi="仿宋_GB2312" w:eastAsia="仿宋_GB2312" w:cs="仿宋_GB2312"/>
          <w:color w:val="auto"/>
          <w:spacing w:val="-6"/>
          <w:kern w:val="2"/>
          <w:sz w:val="32"/>
          <w:szCs w:val="32"/>
          <w:highlight w:val="none"/>
          <w:lang w:val="en-US" w:eastAsia="zh-CN" w:bidi="ar-SA"/>
        </w:rPr>
        <w:t>地政府批准后执行。发现有重大问题尚不清楚的，暂缓决策。</w:t>
      </w:r>
    </w:p>
    <w:p w14:paraId="796B648F">
      <w:pPr>
        <w:pageBreakBefore w:val="0"/>
        <w:kinsoku/>
        <w:wordWrap/>
        <w:overflowPunct/>
        <w:topLinePunct w:val="0"/>
        <w:autoSpaceDE/>
        <w:autoSpaceDN/>
        <w:bidi w:val="0"/>
        <w:adjustRightInd/>
        <w:snapToGrid/>
        <w:spacing w:beforeAutospacing="0" w:afterAutospacing="0" w:line="560" w:lineRule="exact"/>
        <w:ind w:left="0" w:right="0" w:firstLine="668"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7"/>
          <w:sz w:val="32"/>
          <w:szCs w:val="32"/>
          <w:highlight w:val="none"/>
          <w:lang w:val="en-US" w:eastAsia="zh-CN"/>
        </w:rPr>
        <w:t>涉及大额资金的事项，按照属地政府“三重一大”标准和程序执行</w:t>
      </w:r>
      <w:r>
        <w:rPr>
          <w:rFonts w:hint="eastAsia" w:ascii="仿宋_GB2312" w:hAnsi="仿宋_GB2312" w:eastAsia="仿宋_GB2312" w:cs="仿宋_GB2312"/>
          <w:color w:val="auto"/>
          <w:spacing w:val="7"/>
          <w:sz w:val="32"/>
          <w:szCs w:val="32"/>
          <w:highlight w:val="none"/>
          <w:lang w:eastAsia="zh-CN"/>
        </w:rPr>
        <w:t>。</w:t>
      </w:r>
    </w:p>
    <w:p w14:paraId="612390AA">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（四）形成纪要</w:t>
      </w:r>
    </w:p>
    <w:p w14:paraId="3A23A32C">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会议应指定</w:t>
      </w:r>
      <w:r>
        <w:rPr>
          <w:rFonts w:hint="eastAsia" w:ascii="仿宋_GB2312" w:hAnsi="仿宋_GB2312" w:eastAsia="仿宋_GB2312" w:cs="仿宋_GB2312"/>
          <w:color w:val="auto"/>
          <w:sz w:val="32"/>
          <w:szCs w:val="32"/>
          <w:highlight w:val="none"/>
          <w:lang w:eastAsia="zh-CN"/>
        </w:rPr>
        <w:t>综合部</w:t>
      </w:r>
      <w:r>
        <w:rPr>
          <w:rFonts w:hint="eastAsia" w:ascii="仿宋_GB2312" w:hAnsi="仿宋_GB2312" w:eastAsia="仿宋_GB2312" w:cs="仿宋_GB2312"/>
          <w:color w:val="auto"/>
          <w:sz w:val="32"/>
          <w:szCs w:val="32"/>
          <w:highlight w:val="none"/>
        </w:rPr>
        <w:t>专人负责会议记录，会议文件及讨论情况，应如实记录，存档备查。会议纪要经</w:t>
      </w:r>
      <w:r>
        <w:rPr>
          <w:rFonts w:hint="eastAsia" w:ascii="仿宋_GB2312" w:hAnsi="仿宋_GB2312" w:eastAsia="仿宋_GB2312" w:cs="仿宋_GB2312"/>
          <w:color w:val="auto"/>
          <w:sz w:val="32"/>
          <w:szCs w:val="32"/>
          <w:highlight w:val="none"/>
          <w:lang w:val="en-US" w:eastAsia="zh-CN"/>
        </w:rPr>
        <w:t>场长</w:t>
      </w:r>
      <w:r>
        <w:rPr>
          <w:rFonts w:hint="eastAsia" w:ascii="仿宋_GB2312" w:hAnsi="仿宋_GB2312" w:eastAsia="仿宋_GB2312" w:cs="仿宋_GB2312"/>
          <w:color w:val="auto"/>
          <w:sz w:val="32"/>
          <w:szCs w:val="32"/>
          <w:highlight w:val="none"/>
        </w:rPr>
        <w:t>审核签发，要以书面形式及时发送相关部门和人员。</w:t>
      </w:r>
    </w:p>
    <w:p w14:paraId="5441F00D">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（五）决策执行</w:t>
      </w:r>
    </w:p>
    <w:p w14:paraId="40DC5647">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w:t>
      </w:r>
      <w:r>
        <w:rPr>
          <w:rFonts w:hint="eastAsia" w:ascii="仿宋_GB2312" w:hAnsi="仿宋_GB2312" w:eastAsia="仿宋_GB2312" w:cs="仿宋_GB2312"/>
          <w:color w:val="auto"/>
          <w:sz w:val="32"/>
          <w:szCs w:val="32"/>
          <w:highlight w:val="none"/>
          <w:lang w:val="en-US" w:eastAsia="zh-CN"/>
        </w:rPr>
        <w:t>新型集体林场场务会</w:t>
      </w:r>
      <w:r>
        <w:rPr>
          <w:rFonts w:hint="eastAsia" w:ascii="仿宋_GB2312" w:hAnsi="仿宋_GB2312" w:eastAsia="仿宋_GB2312" w:cs="仿宋_GB2312"/>
          <w:color w:val="auto"/>
          <w:sz w:val="32"/>
          <w:szCs w:val="32"/>
          <w:highlight w:val="none"/>
        </w:rPr>
        <w:t>决策的“三重一大”事项，应由</w:t>
      </w:r>
      <w:r>
        <w:rPr>
          <w:rFonts w:hint="eastAsia" w:ascii="仿宋_GB2312" w:hAnsi="仿宋_GB2312" w:eastAsia="仿宋_GB2312" w:cs="仿宋_GB2312"/>
          <w:color w:val="auto"/>
          <w:sz w:val="32"/>
          <w:szCs w:val="32"/>
          <w:highlight w:val="none"/>
          <w:lang w:val="en-US" w:eastAsia="zh-CN"/>
        </w:rPr>
        <w:t>新型集体林场管理层</w:t>
      </w:r>
      <w:r>
        <w:rPr>
          <w:rFonts w:hint="eastAsia" w:ascii="仿宋_GB2312" w:hAnsi="仿宋_GB2312" w:eastAsia="仿宋_GB2312" w:cs="仿宋_GB2312"/>
          <w:color w:val="auto"/>
          <w:sz w:val="32"/>
          <w:szCs w:val="32"/>
          <w:highlight w:val="none"/>
        </w:rPr>
        <w:t>按照职责分工组织实施。遇有职责分工交叉的，应明确一名</w:t>
      </w:r>
      <w:r>
        <w:rPr>
          <w:rFonts w:hint="eastAsia" w:ascii="仿宋_GB2312" w:hAnsi="仿宋_GB2312" w:eastAsia="仿宋_GB2312" w:cs="仿宋_GB2312"/>
          <w:color w:val="auto"/>
          <w:sz w:val="32"/>
          <w:szCs w:val="32"/>
          <w:highlight w:val="none"/>
          <w:lang w:val="en-US" w:eastAsia="zh-CN"/>
        </w:rPr>
        <w:t>新型集体林场管理层成员</w:t>
      </w:r>
      <w:r>
        <w:rPr>
          <w:rFonts w:hint="eastAsia" w:ascii="仿宋_GB2312" w:hAnsi="仿宋_GB2312" w:eastAsia="仿宋_GB2312" w:cs="仿宋_GB2312"/>
          <w:color w:val="auto"/>
          <w:sz w:val="32"/>
          <w:szCs w:val="32"/>
          <w:highlight w:val="none"/>
        </w:rPr>
        <w:t>牵头负责。</w:t>
      </w:r>
      <w:r>
        <w:rPr>
          <w:rFonts w:hint="eastAsia" w:ascii="仿宋_GB2312" w:hAnsi="仿宋_GB2312" w:eastAsia="仿宋_GB2312" w:cs="仿宋_GB2312"/>
          <w:color w:val="auto"/>
          <w:sz w:val="32"/>
          <w:szCs w:val="32"/>
          <w:highlight w:val="none"/>
          <w:lang w:val="en-US" w:eastAsia="zh-CN"/>
        </w:rPr>
        <w:t>新型集体林场管理层成员</w:t>
      </w:r>
      <w:r>
        <w:rPr>
          <w:rFonts w:hint="eastAsia" w:ascii="仿宋_GB2312" w:hAnsi="仿宋_GB2312" w:eastAsia="仿宋_GB2312" w:cs="仿宋_GB2312"/>
          <w:color w:val="auto"/>
          <w:sz w:val="32"/>
          <w:szCs w:val="32"/>
          <w:highlight w:val="none"/>
        </w:rPr>
        <w:t>不得擅自改变集体决策，个人对决策有不同意见的可以保留，但在未作出新的决策之前，应无条件执行。决策执行部门要及时报告决策执行情况，对发现的问题提出意见和建议。</w:t>
      </w:r>
    </w:p>
    <w:p w14:paraId="409905FE">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第四章 监督管理</w:t>
      </w:r>
    </w:p>
    <w:p w14:paraId="34A6D2CF">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为确保“三重一大”决策制度真正落到实处，要切实加强对“三重一大”事项决策、执行情况的监督检查。</w:t>
      </w:r>
      <w:r>
        <w:rPr>
          <w:rFonts w:hint="eastAsia" w:ascii="仿宋_GB2312" w:hAnsi="仿宋_GB2312" w:eastAsia="仿宋_GB2312" w:cs="仿宋_GB2312"/>
          <w:color w:val="auto"/>
          <w:sz w:val="32"/>
          <w:szCs w:val="32"/>
          <w:highlight w:val="none"/>
          <w:lang w:eastAsia="zh-CN"/>
        </w:rPr>
        <w:t>新型集体林场管理层成员</w:t>
      </w:r>
      <w:r>
        <w:rPr>
          <w:rFonts w:hint="eastAsia" w:ascii="仿宋_GB2312" w:hAnsi="仿宋_GB2312" w:eastAsia="仿宋_GB2312" w:cs="仿宋_GB2312"/>
          <w:color w:val="auto"/>
          <w:sz w:val="32"/>
          <w:szCs w:val="32"/>
          <w:highlight w:val="none"/>
        </w:rPr>
        <w:t>应根据分工和职责及时向</w:t>
      </w:r>
      <w:r>
        <w:rPr>
          <w:rFonts w:hint="eastAsia" w:ascii="仿宋_GB2312" w:hAnsi="仿宋_GB2312" w:eastAsia="仿宋_GB2312" w:cs="仿宋_GB2312"/>
          <w:color w:val="auto"/>
          <w:sz w:val="32"/>
          <w:szCs w:val="32"/>
          <w:highlight w:val="none"/>
          <w:lang w:val="en-US" w:eastAsia="zh-CN"/>
        </w:rPr>
        <w:t>新型集体林场场务会</w:t>
      </w:r>
      <w:r>
        <w:rPr>
          <w:rFonts w:hint="eastAsia" w:ascii="仿宋_GB2312" w:hAnsi="仿宋_GB2312" w:eastAsia="仿宋_GB2312" w:cs="仿宋_GB2312"/>
          <w:color w:val="auto"/>
          <w:sz w:val="32"/>
          <w:szCs w:val="32"/>
          <w:highlight w:val="none"/>
        </w:rPr>
        <w:t>报告事项执行情况。“三重一大”事项的决策、执行情况，除按照规定落实保密要求外，应定期或不定期在相应的范围内公开。</w:t>
      </w:r>
    </w:p>
    <w:p w14:paraId="0B13E8E8">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第五章 责任追究</w:t>
      </w:r>
    </w:p>
    <w:p w14:paraId="55BA1270">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“三重一大”决策列入</w:t>
      </w:r>
      <w:r>
        <w:rPr>
          <w:rFonts w:hint="eastAsia" w:ascii="仿宋_GB2312" w:hAnsi="仿宋_GB2312" w:eastAsia="仿宋_GB2312" w:cs="仿宋_GB2312"/>
          <w:color w:val="auto"/>
          <w:sz w:val="32"/>
          <w:szCs w:val="32"/>
          <w:highlight w:val="none"/>
          <w:lang w:eastAsia="zh-CN"/>
        </w:rPr>
        <w:t>新型集体林场场务会</w:t>
      </w:r>
      <w:r>
        <w:rPr>
          <w:rFonts w:hint="eastAsia" w:ascii="仿宋_GB2312" w:hAnsi="仿宋_GB2312" w:eastAsia="仿宋_GB2312" w:cs="仿宋_GB2312"/>
          <w:color w:val="auto"/>
          <w:sz w:val="32"/>
          <w:szCs w:val="32"/>
          <w:highlight w:val="none"/>
        </w:rPr>
        <w:t>成员的问责范围。</w:t>
      </w:r>
      <w:r>
        <w:rPr>
          <w:rFonts w:hint="eastAsia" w:ascii="仿宋_GB2312" w:hAnsi="仿宋_GB2312" w:eastAsia="仿宋_GB2312" w:cs="仿宋_GB2312"/>
          <w:color w:val="auto"/>
          <w:sz w:val="32"/>
          <w:szCs w:val="32"/>
          <w:highlight w:val="none"/>
          <w:lang w:val="en" w:eastAsia="zh-CN"/>
        </w:rPr>
        <w:t>与会人员需对会议的决策承担责任，凡属下列情况造成重大损失或严重不良影响的，应进行责任追究：不履行“三重一大”制度决策程序，不执行或擅自改变集体决定的；未经集体讨论决定而个人决策、事后又不通报的；未向新型集体林场场务会提供真实情况而造成错误决定的；执行决策后发现可能造成损失，能挽回而不采取措施纠正的；其他违反本办法而造成失误的。</w:t>
      </w:r>
    </w:p>
    <w:p w14:paraId="101D38ED">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p>
    <w:p w14:paraId="7CC3B067">
      <w:pPr>
        <w:keepNext/>
        <w:keepLines/>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outlineLvl w:val="1"/>
        <w:rPr>
          <w:rFonts w:hint="eastAsia" w:ascii="楷体_GB2312" w:hAnsi="楷体_GB2312" w:eastAsia="楷体_GB2312" w:cs="楷体_GB2312"/>
          <w:b/>
          <w:color w:val="auto"/>
          <w:kern w:val="2"/>
          <w:sz w:val="32"/>
          <w:szCs w:val="32"/>
          <w:highlight w:val="none"/>
          <w:lang w:val="en-US" w:eastAsia="zh-CN" w:bidi="ar-SA"/>
        </w:rPr>
      </w:pPr>
      <w:bookmarkStart w:id="114" w:name="_Toc14033"/>
      <w:r>
        <w:rPr>
          <w:rFonts w:hint="eastAsia" w:ascii="楷体_GB2312" w:hAnsi="楷体_GB2312" w:eastAsia="楷体_GB2312" w:cs="楷体_GB2312"/>
          <w:b/>
          <w:color w:val="auto"/>
          <w:kern w:val="2"/>
          <w:sz w:val="32"/>
          <w:szCs w:val="32"/>
          <w:highlight w:val="none"/>
          <w:lang w:val="en-US" w:eastAsia="zh-CN" w:bidi="ar-SA"/>
        </w:rPr>
        <w:t>（八）工会管理制度</w:t>
      </w:r>
      <w:bookmarkEnd w:id="114"/>
      <w:r>
        <w:rPr>
          <w:rFonts w:hint="eastAsia" w:ascii="楷体_GB2312" w:hAnsi="楷体_GB2312" w:eastAsia="楷体_GB2312" w:cs="楷体_GB2312"/>
          <w:b/>
          <w:color w:val="auto"/>
          <w:kern w:val="2"/>
          <w:sz w:val="32"/>
          <w:szCs w:val="32"/>
          <w:highlight w:val="none"/>
          <w:lang w:val="en-US" w:eastAsia="zh-CN" w:bidi="ar-SA"/>
        </w:rPr>
        <w:t>模板</w:t>
      </w:r>
    </w:p>
    <w:p w14:paraId="739A0251">
      <w:pPr>
        <w:keepNext w:val="0"/>
        <w:keepLines w:val="0"/>
        <w:pageBreakBefore w:val="0"/>
        <w:widowControl/>
        <w:kinsoku/>
        <w:wordWrap/>
        <w:overflowPunct/>
        <w:topLinePunct w:val="0"/>
        <w:autoSpaceDE w:val="0"/>
        <w:autoSpaceDN w:val="0"/>
        <w:bidi w:val="0"/>
        <w:adjustRightInd w:val="0"/>
        <w:snapToGrid w:val="0"/>
        <w:spacing w:after="0" w:line="56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第一章 工会委员会的基本任务</w:t>
      </w:r>
    </w:p>
    <w:p w14:paraId="37794E8C">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一、执行会员大会或会员代表大会的决议和上级工会的决定，主持新型集体林场工会的日常工作。</w:t>
      </w:r>
    </w:p>
    <w:p w14:paraId="184C6853">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二、代表和组织职工依照法律规定，通过职工代表大会和</w:t>
      </w:r>
      <w:r>
        <w:rPr>
          <w:rFonts w:hint="eastAsia" w:ascii="仿宋_GB2312" w:hAnsi="仿宋_GB2312" w:eastAsia="仿宋_GB2312" w:cs="仿宋_GB2312"/>
          <w:color w:val="auto"/>
          <w:sz w:val="32"/>
          <w:szCs w:val="32"/>
          <w:highlight w:val="none"/>
          <w:lang w:eastAsia="zh-CN"/>
        </w:rPr>
        <w:t>其他</w:t>
      </w:r>
      <w:r>
        <w:rPr>
          <w:rFonts w:hint="eastAsia" w:ascii="仿宋_GB2312" w:hAnsi="仿宋_GB2312" w:eastAsia="仿宋_GB2312" w:cs="仿宋_GB2312"/>
          <w:color w:val="auto"/>
          <w:sz w:val="32"/>
          <w:szCs w:val="32"/>
          <w:highlight w:val="none"/>
        </w:rPr>
        <w:t>形式，参加</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林场民主管理和民主监督。新型集体林场工会委员会是职工代表大会工作机构，负责职工代表大会的日常工作，检查、督促职工代表大会决议的执行。</w:t>
      </w:r>
    </w:p>
    <w:p w14:paraId="2FC2B258">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参与协调劳动关系和调解劳动争议，与企业行政建立平等协商制度，协商解决涉及职工切身利益问题，帮助和指导职工与企业行政方面签订劳动合同，代表职工与企业行政方面签订集体合同或其他合同，并监督执行。</w:t>
      </w:r>
    </w:p>
    <w:p w14:paraId="5FF41166">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四、组织职工开展劳动竞赛、合理化建议。做好先进生产（工作）者和劳动模范的推荐、评选、表彰、培养和管理工作。</w:t>
      </w:r>
    </w:p>
    <w:p w14:paraId="708E32AB">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五、对职工进行思想政治教育，鼓励支持职工学习文化科学技术和管理知识，开展健康的文化体育活动，办好工会文化、教育、体育事业。</w:t>
      </w:r>
    </w:p>
    <w:p w14:paraId="2A4C4FCD">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六、确定职业健康安全员工代表，指导职业健康安全管理工作的开展。</w:t>
      </w:r>
    </w:p>
    <w:p w14:paraId="5A31BA01">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七、组织进行现场劳动保护检查，进行职业病防治，建立健全员工健康档案和职业病</w:t>
      </w:r>
      <w:r>
        <w:rPr>
          <w:rFonts w:hint="eastAsia" w:ascii="仿宋_GB2312" w:hAnsi="仿宋_GB2312" w:eastAsia="仿宋_GB2312" w:cs="仿宋_GB2312"/>
          <w:color w:val="auto"/>
          <w:sz w:val="32"/>
          <w:szCs w:val="32"/>
          <w:highlight w:val="none"/>
          <w:lang w:eastAsia="zh-CN"/>
        </w:rPr>
        <w:t>台账</w:t>
      </w:r>
      <w:r>
        <w:rPr>
          <w:rFonts w:hint="eastAsia" w:ascii="仿宋_GB2312" w:hAnsi="仿宋_GB2312" w:eastAsia="仿宋_GB2312" w:cs="仿宋_GB2312"/>
          <w:color w:val="auto"/>
          <w:sz w:val="32"/>
          <w:szCs w:val="32"/>
          <w:highlight w:val="none"/>
        </w:rPr>
        <w:t>，监督实施员工劳动保护工作</w:t>
      </w:r>
      <w:r>
        <w:rPr>
          <w:rFonts w:hint="eastAsia" w:ascii="仿宋_GB2312" w:hAnsi="仿宋_GB2312" w:eastAsia="仿宋_GB2312" w:cs="仿宋_GB2312"/>
          <w:color w:val="auto"/>
          <w:sz w:val="32"/>
          <w:szCs w:val="32"/>
          <w:highlight w:val="none"/>
          <w:lang w:eastAsia="zh-CN"/>
        </w:rPr>
        <w:t>的开</w:t>
      </w:r>
      <w:r>
        <w:rPr>
          <w:rFonts w:hint="eastAsia" w:ascii="仿宋_GB2312" w:hAnsi="仿宋_GB2312" w:eastAsia="仿宋_GB2312" w:cs="仿宋_GB2312"/>
          <w:color w:val="auto"/>
          <w:sz w:val="32"/>
          <w:szCs w:val="32"/>
          <w:highlight w:val="none"/>
        </w:rPr>
        <w:t>展。参与职工伤亡事故的调查和处理。</w:t>
      </w:r>
    </w:p>
    <w:p w14:paraId="11FE0497">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八、监督有关</w:t>
      </w:r>
      <w:r>
        <w:rPr>
          <w:rFonts w:hint="eastAsia" w:ascii="仿宋_GB2312" w:hAnsi="仿宋_GB2312" w:eastAsia="仿宋_GB2312" w:cs="仿宋_GB2312"/>
          <w:color w:val="auto"/>
          <w:sz w:val="32"/>
          <w:szCs w:val="32"/>
          <w:highlight w:val="none"/>
          <w:lang w:eastAsia="zh-CN"/>
        </w:rPr>
        <w:t>法律法规</w:t>
      </w:r>
      <w:r>
        <w:rPr>
          <w:rFonts w:hint="eastAsia" w:ascii="仿宋_GB2312" w:hAnsi="仿宋_GB2312" w:eastAsia="仿宋_GB2312" w:cs="仿宋_GB2312"/>
          <w:color w:val="auto"/>
          <w:sz w:val="32"/>
          <w:szCs w:val="32"/>
          <w:highlight w:val="none"/>
        </w:rPr>
        <w:t>特别是劳动法律法规的贯彻执行。协助和督促行政方面做好劳动保险、劳动保护工作，办好集体福利事业，改善职工生活。</w:t>
      </w:r>
    </w:p>
    <w:p w14:paraId="4966CBC7">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九、维护女职工的特殊利益，同歧视、虐待、摧残、迫害女职工的现象</w:t>
      </w:r>
      <w:r>
        <w:rPr>
          <w:rFonts w:hint="eastAsia" w:ascii="仿宋_GB2312" w:hAnsi="仿宋_GB2312" w:eastAsia="仿宋_GB2312" w:cs="仿宋_GB2312"/>
          <w:color w:val="auto"/>
          <w:sz w:val="32"/>
          <w:szCs w:val="32"/>
          <w:highlight w:val="none"/>
          <w:lang w:eastAsia="zh-CN"/>
        </w:rPr>
        <w:t>做</w:t>
      </w:r>
      <w:r>
        <w:rPr>
          <w:rFonts w:hint="eastAsia" w:ascii="仿宋_GB2312" w:hAnsi="仿宋_GB2312" w:eastAsia="仿宋_GB2312" w:cs="仿宋_GB2312"/>
          <w:color w:val="auto"/>
          <w:sz w:val="32"/>
          <w:szCs w:val="32"/>
          <w:highlight w:val="none"/>
        </w:rPr>
        <w:t>斗争。</w:t>
      </w:r>
    </w:p>
    <w:p w14:paraId="2FEA3D27">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十、搞好工会组织建设，健全民主制度和民主生活。建立和发展工会积极分子队伍。做好新会员的接收、教育工作。</w:t>
      </w:r>
    </w:p>
    <w:p w14:paraId="3B55E5EB">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十一、收好、管好、用好工会经费，管理好工会财产。</w:t>
      </w:r>
    </w:p>
    <w:p w14:paraId="213BD3F4">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第二章 工会主席职责</w:t>
      </w:r>
    </w:p>
    <w:p w14:paraId="7CAB064B">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一、根据《</w:t>
      </w:r>
      <w:r>
        <w:rPr>
          <w:rFonts w:hint="eastAsia" w:ascii="仿宋_GB2312" w:hAnsi="仿宋_GB2312" w:eastAsia="仿宋_GB2312" w:cs="仿宋_GB2312"/>
          <w:color w:val="auto"/>
          <w:sz w:val="32"/>
          <w:szCs w:val="32"/>
          <w:highlight w:val="none"/>
          <w:lang w:eastAsia="zh-CN"/>
        </w:rPr>
        <w:t>中华人民共和国工会法》《</w:t>
      </w:r>
      <w:r>
        <w:rPr>
          <w:rFonts w:hint="eastAsia" w:ascii="仿宋_GB2312" w:hAnsi="仿宋_GB2312" w:eastAsia="仿宋_GB2312" w:cs="仿宋_GB2312"/>
          <w:color w:val="auto"/>
          <w:sz w:val="32"/>
          <w:szCs w:val="32"/>
          <w:highlight w:val="none"/>
        </w:rPr>
        <w:t>中国工会章程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基层工会工作暂行条例》，按照上级工会指示精神，有计划地开展工作。</w:t>
      </w:r>
    </w:p>
    <w:p w14:paraId="4D6F7AD7">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二、负责召集工会委员会会议，主持工会的正常工作。</w:t>
      </w:r>
    </w:p>
    <w:p w14:paraId="25F753C3">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三、接受党委的政治领导，贯彻执行党委的有关决议。定期向党委和上级工会汇报工作情况，反映职工群众的意见和呼声，提出解决问题的建议。</w:t>
      </w:r>
    </w:p>
    <w:p w14:paraId="313F1ED8">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四、对于党委讨论决定的有关工会的重大问题，召集工会委员会认真讨论，组织实施。工会的日常工作和经费开支，要根据职工群众的要求和上级工会的有关规定，积极主动、独立负责地办理。</w:t>
      </w:r>
    </w:p>
    <w:p w14:paraId="50D9BF7F">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五、对生产行政工作行使职权，维护生产行政指挥系统的高度权威，教育职工遵纪守法，发动职工积极参加企业的改革，努力提高经济效益和工程质量，全面完成各项工作任务。</w:t>
      </w:r>
    </w:p>
    <w:p w14:paraId="3B301225">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六、参加研究有关生产和职工切身利益的问题，提出意见，维护国家利益，企业集体利益和职工的合法权益，受理职工群众的申诉，参与调处劳动争议。</w:t>
      </w:r>
    </w:p>
    <w:p w14:paraId="5CF60413">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七、积极主动地参与企业改革，根据三个文明建设的需要和职工群众的合理要求，提出建议，协助行政制定改革方案，发动职工群众贯彻实施。</w:t>
      </w:r>
    </w:p>
    <w:p w14:paraId="405E9A7A">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八、对职工代表大会和会员代表大会负责，执行大会决议，定期向大会报告工作，接受职工群众监督。</w:t>
      </w:r>
    </w:p>
    <w:p w14:paraId="674D0AAE">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九、贯彻新型集体林场管理方针和目标，指导职业健康安全管理工作的开展。</w:t>
      </w:r>
    </w:p>
    <w:p w14:paraId="2A045CB1">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十、代表员工合法权益，组织有关人员进行现场劳动保护检查，进行职业病防治，参加职工伤亡事故的调查和处理，监督实施员工劳动保护工作的开展。</w:t>
      </w:r>
    </w:p>
    <w:p w14:paraId="67585888">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十一、实行集体领导和分工负责相结合的制度，重要问题经过集体讨论，作出决定。</w:t>
      </w:r>
    </w:p>
    <w:p w14:paraId="2E69BB17">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十二、加强各分工会和工会小组建设，支持分工会开展工作，培训工会干部和积极分子，总结交流经验，大力表彰先进。</w:t>
      </w:r>
    </w:p>
    <w:p w14:paraId="00342247">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第三章 工会经审委员会职责</w:t>
      </w:r>
    </w:p>
    <w:p w14:paraId="03B868B4">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一、经费审查委员会代表工会会员对工会各项经费的收支和财产管理进行审查和监督。 </w:t>
      </w:r>
    </w:p>
    <w:p w14:paraId="17AA3F09">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二、协助工会组织收好、管好、用好工会各项经费，管好工会财产；监督工会组织认真贯彻、执行党和政府的财经政策、纪律、法律和上级工会的各项财务规定、制度。</w:t>
      </w:r>
    </w:p>
    <w:p w14:paraId="2214558A">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三、审查新型集体林场工会经费年度预算、决算的编制和执行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确保预算经费切实、可行，决算准确。 </w:t>
      </w:r>
    </w:p>
    <w:p w14:paraId="585B6C91">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四、审查工会经费的收入状况，保证工会经费</w:t>
      </w:r>
      <w:r>
        <w:rPr>
          <w:rFonts w:hint="eastAsia" w:ascii="仿宋_GB2312" w:hAnsi="仿宋_GB2312" w:eastAsia="仿宋_GB2312" w:cs="仿宋_GB2312"/>
          <w:color w:val="auto"/>
          <w:sz w:val="32"/>
          <w:szCs w:val="32"/>
          <w:highlight w:val="none"/>
          <w:lang w:eastAsia="zh-CN"/>
        </w:rPr>
        <w:t>按时入账</w:t>
      </w:r>
      <w:r>
        <w:rPr>
          <w:rFonts w:hint="eastAsia" w:ascii="仿宋_GB2312" w:hAnsi="仿宋_GB2312" w:eastAsia="仿宋_GB2312" w:cs="仿宋_GB2312"/>
          <w:color w:val="auto"/>
          <w:sz w:val="32"/>
          <w:szCs w:val="32"/>
          <w:highlight w:val="none"/>
        </w:rPr>
        <w:t>，按时上解。审查工会经费的支出，监督工会经费的使用，确保经费的合理开支，防止挪用和浪费。提出工会经费使用和管理的建议和意见。</w:t>
      </w:r>
    </w:p>
    <w:p w14:paraId="59B5255D">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五、工会组织变动时或工会财务工作人员变动时，负责监督办理交接手续。</w:t>
      </w:r>
    </w:p>
    <w:p w14:paraId="63C98743">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六、经费审查委员会要在年初向工会委员会通报上年度工会经费的使用情况，年末审查年度工会财务报告，并在“职代</w:t>
      </w:r>
      <w:r>
        <w:rPr>
          <w:rFonts w:hint="eastAsia" w:ascii="仿宋_GB2312" w:hAnsi="仿宋_GB2312" w:eastAsia="仿宋_GB2312" w:cs="仿宋_GB2312"/>
          <w:color w:val="auto"/>
          <w:spacing w:val="-6"/>
          <w:sz w:val="32"/>
          <w:szCs w:val="32"/>
          <w:highlight w:val="none"/>
        </w:rPr>
        <w:t>会”上向全体代表做经费审查报告，接受“职代会”的监督。</w:t>
      </w:r>
    </w:p>
    <w:p w14:paraId="3E543233">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七、宣传国家的财经政策和工会的财务管理制度，坚决同铺张浪费、贪污盗窃、私设小金库等违反财务制度和纪律的现象做斗争，保证工会经费的合理使用。</w:t>
      </w:r>
    </w:p>
    <w:p w14:paraId="24948709">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八、接受上级工会经费审查委员会的工作指导。</w:t>
      </w:r>
    </w:p>
    <w:p w14:paraId="45410AE0">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第四章 女职工委员会职责</w:t>
      </w:r>
    </w:p>
    <w:p w14:paraId="014D336C">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在新型集体林场工会领导下，负责新型集体林场女职工的全面工作。女职工委员会的工作按《</w:t>
      </w:r>
      <w:r>
        <w:rPr>
          <w:rFonts w:hint="eastAsia" w:ascii="仿宋_GB2312" w:hAnsi="仿宋_GB2312" w:eastAsia="仿宋_GB2312" w:cs="仿宋_GB2312"/>
          <w:color w:val="auto"/>
          <w:sz w:val="32"/>
          <w:szCs w:val="32"/>
          <w:highlight w:val="none"/>
          <w:lang w:eastAsia="zh-CN"/>
        </w:rPr>
        <w:t>中华人民共和国工</w:t>
      </w:r>
      <w:r>
        <w:rPr>
          <w:rFonts w:hint="eastAsia" w:ascii="仿宋_GB2312" w:hAnsi="仿宋_GB2312" w:eastAsia="仿宋_GB2312" w:cs="仿宋_GB2312"/>
          <w:color w:val="auto"/>
          <w:spacing w:val="-6"/>
          <w:sz w:val="32"/>
          <w:szCs w:val="32"/>
          <w:highlight w:val="none"/>
          <w:lang w:eastAsia="zh-CN"/>
        </w:rPr>
        <w:t>会法》《</w:t>
      </w:r>
      <w:r>
        <w:rPr>
          <w:rFonts w:hint="eastAsia" w:ascii="仿宋_GB2312" w:hAnsi="仿宋_GB2312" w:eastAsia="仿宋_GB2312" w:cs="仿宋_GB2312"/>
          <w:color w:val="auto"/>
          <w:spacing w:val="-6"/>
          <w:sz w:val="32"/>
          <w:szCs w:val="32"/>
          <w:highlight w:val="none"/>
        </w:rPr>
        <w:t>工会章程》依法维护女职工的合法权益和特殊利益。</w:t>
      </w:r>
    </w:p>
    <w:p w14:paraId="624ACE15">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制定并组织实施女职工工作计划和工作制度。密切同</w:t>
      </w:r>
      <w:r>
        <w:rPr>
          <w:rFonts w:hint="eastAsia" w:ascii="仿宋_GB2312" w:hAnsi="仿宋_GB2312" w:eastAsia="仿宋_GB2312" w:cs="仿宋_GB2312"/>
          <w:color w:val="auto"/>
          <w:spacing w:val="-6"/>
          <w:sz w:val="32"/>
          <w:szCs w:val="32"/>
          <w:highlight w:val="none"/>
        </w:rPr>
        <w:t>新型集体林场各</w:t>
      </w:r>
      <w:r>
        <w:rPr>
          <w:rFonts w:hint="eastAsia" w:ascii="仿宋_GB2312" w:hAnsi="仿宋_GB2312" w:eastAsia="仿宋_GB2312" w:cs="仿宋_GB2312"/>
          <w:color w:val="auto"/>
          <w:spacing w:val="-6"/>
          <w:sz w:val="32"/>
          <w:szCs w:val="32"/>
          <w:highlight w:val="none"/>
          <w:lang w:val="en-US" w:eastAsia="zh-CN"/>
        </w:rPr>
        <w:t>部门负责人</w:t>
      </w:r>
      <w:r>
        <w:rPr>
          <w:rFonts w:hint="eastAsia" w:ascii="仿宋_GB2312" w:hAnsi="仿宋_GB2312" w:eastAsia="仿宋_GB2312" w:cs="仿宋_GB2312"/>
          <w:color w:val="auto"/>
          <w:spacing w:val="-6"/>
          <w:sz w:val="32"/>
          <w:szCs w:val="32"/>
          <w:highlight w:val="none"/>
        </w:rPr>
        <w:t>联系，互相协调、配合做好工作。</w:t>
      </w:r>
    </w:p>
    <w:p w14:paraId="7BEC41C0">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动员和组织女职工积极投身参与民主管理，参加改革，开展劳动竞赛，努力完成劳动（工作）任务。</w:t>
      </w:r>
    </w:p>
    <w:p w14:paraId="512638CD">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维护女职工的合法权益和民主权利，认真做好协调工作，与企业建立协商制度，主动同新型集体林场研究解决一些特殊性问题，参与制定企业发展计划和同职工密切相关的政策，规章制度，提出意见，协助贯彻落实。</w:t>
      </w:r>
    </w:p>
    <w:p w14:paraId="3393C68B">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、坚持民主集中制，引导女职工树立“四自”的精神，全面提高女职工的思想道德、科学文化技术和自身的素质。</w:t>
      </w:r>
    </w:p>
    <w:p w14:paraId="419C5261">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、深入基层调查研究，掌握基层组合情况，虚心听取基层组织和职工群众意见和要求，关心女职工学习生活，认真帮助解决存在的问题，处理女职工的申诉。</w:t>
      </w:r>
    </w:p>
    <w:p w14:paraId="43AF9AD9">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、以民主管理为龙头，努力增强基层女工组织的活动，积</w:t>
      </w:r>
      <w:r>
        <w:rPr>
          <w:rFonts w:hint="eastAsia" w:ascii="仿宋_GB2312" w:hAnsi="仿宋_GB2312" w:eastAsia="仿宋_GB2312" w:cs="仿宋_GB2312"/>
          <w:color w:val="auto"/>
          <w:spacing w:val="-6"/>
          <w:sz w:val="32"/>
          <w:szCs w:val="32"/>
          <w:highlight w:val="none"/>
        </w:rPr>
        <w:t>极发现、培养女性人才，及时向有关部门推荐优秀女性人才。</w:t>
      </w:r>
    </w:p>
    <w:p w14:paraId="12F8D57C">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color w:val="auto"/>
          <w:sz w:val="32"/>
          <w:szCs w:val="32"/>
          <w:highlight w:val="none"/>
        </w:rPr>
        <w:t>、代表新型集体林场职工协商和签约新型集体林场集体合同，解决执行中存在的问题。协助新型集体林场签订集体合同，并监督执行情况。</w:t>
      </w:r>
    </w:p>
    <w:p w14:paraId="4D745403">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pacing w:val="-6"/>
          <w:sz w:val="32"/>
          <w:szCs w:val="32"/>
          <w:highlight w:val="none"/>
        </w:rPr>
        <w:t>完成上级女职委和新型集体林场工会交办的有关任务。</w:t>
      </w:r>
    </w:p>
    <w:p w14:paraId="0C3A3F46">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第五章 劳动法律监督委员会职责</w:t>
      </w:r>
    </w:p>
    <w:p w14:paraId="379551B0">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参与立法活动。积极参与企业规章制度、涉及职工利益的有关规定的制订和修改活动，并对涉及职工利益的各项问题，尤其是一些带有倾向性的问题开展认真的调查研究工作，主动向有关部门提出立法建议，不断提高工会参与立法的质量。</w:t>
      </w:r>
    </w:p>
    <w:p w14:paraId="4B187A0E">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二、开展劳动法律法规执行情况的监督检查。重点检查企业行政对《</w:t>
      </w:r>
      <w:r>
        <w:rPr>
          <w:rFonts w:hint="eastAsia" w:ascii="仿宋_GB2312" w:hAnsi="仿宋_GB2312" w:eastAsia="仿宋_GB2312" w:cs="仿宋_GB2312"/>
          <w:color w:val="auto"/>
          <w:sz w:val="32"/>
          <w:szCs w:val="32"/>
          <w:highlight w:val="none"/>
          <w:lang w:eastAsia="zh-CN"/>
        </w:rPr>
        <w:t>中华人民共和国劳动法</w:t>
      </w:r>
      <w:r>
        <w:rPr>
          <w:rFonts w:hint="eastAsia" w:ascii="仿宋_GB2312" w:hAnsi="仿宋_GB2312" w:eastAsia="仿宋_GB2312" w:cs="仿宋_GB2312"/>
          <w:color w:val="auto"/>
          <w:sz w:val="32"/>
          <w:szCs w:val="32"/>
          <w:highlight w:val="none"/>
        </w:rPr>
        <w:t>》及配套法规、《</w:t>
      </w:r>
      <w:r>
        <w:rPr>
          <w:rFonts w:hint="eastAsia" w:ascii="仿宋_GB2312" w:hAnsi="仿宋_GB2312" w:eastAsia="仿宋_GB2312" w:cs="仿宋_GB2312"/>
          <w:color w:val="auto"/>
          <w:sz w:val="32"/>
          <w:szCs w:val="32"/>
          <w:highlight w:val="none"/>
          <w:lang w:eastAsia="zh-CN"/>
        </w:rPr>
        <w:t>中华人民共和国工会法</w:t>
      </w:r>
      <w:r>
        <w:rPr>
          <w:rFonts w:hint="eastAsia" w:ascii="仿宋_GB2312" w:hAnsi="仿宋_GB2312" w:eastAsia="仿宋_GB2312" w:cs="仿宋_GB2312"/>
          <w:color w:val="auto"/>
          <w:sz w:val="32"/>
          <w:szCs w:val="32"/>
          <w:highlight w:val="none"/>
        </w:rPr>
        <w:t>》等有关法律法规贯彻执行情况、新型集体林场集体合同的履约情况，督促企业依法参加社会保险，依法履行劳动合同和依法修订规章制度，指导职工与企业签订劳动合同。</w:t>
      </w:r>
    </w:p>
    <w:p w14:paraId="1FA5F2E5">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三、为工会参政议政提供法律依据。在调查研究、充分听取职工意见和要求的基础上，为工会参政议政的各项活动提供法律依据，保障工会依法履行职能。</w:t>
      </w:r>
    </w:p>
    <w:p w14:paraId="4EAFD0EE">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为职工和新型集体林场工会提供法律服务。贯彻以事实为依据、以法律为准绳的原则，运用法律手段同侵犯职工合法权益的行为作斗争，为职工提供法律帮助，依法维护职工的合法权益。同时为工会组织的自身建设和各项业务的开展提供法律咨询服务，以保障工会组织的合法权益和依法行使职权。</w:t>
      </w:r>
    </w:p>
    <w:p w14:paraId="4FCD671D">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五、依法调处劳动争议。贯彻“预防为主、调解为主、基层为主”的方针，充分发挥预警机制协调劳动关系的作用，协同劳动争议调解委员会参与劳动争议的调解、仲裁直至代理职工参与诉讼活动。</w:t>
      </w:r>
    </w:p>
    <w:p w14:paraId="3F9493F1">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六、对职工进行</w:t>
      </w:r>
      <w:r>
        <w:rPr>
          <w:rFonts w:hint="eastAsia" w:ascii="仿宋_GB2312" w:hAnsi="仿宋_GB2312" w:eastAsia="仿宋_GB2312" w:cs="仿宋_GB2312"/>
          <w:color w:val="auto"/>
          <w:sz w:val="32"/>
          <w:szCs w:val="32"/>
          <w:highlight w:val="none"/>
          <w:lang w:eastAsia="zh-CN"/>
        </w:rPr>
        <w:t>法治宣传教育</w:t>
      </w:r>
      <w:r>
        <w:rPr>
          <w:rFonts w:hint="eastAsia" w:ascii="仿宋_GB2312" w:hAnsi="仿宋_GB2312" w:eastAsia="仿宋_GB2312" w:cs="仿宋_GB2312"/>
          <w:color w:val="auto"/>
          <w:sz w:val="32"/>
          <w:szCs w:val="32"/>
          <w:highlight w:val="none"/>
        </w:rPr>
        <w:t>工作。参与制订并认真贯彻落实普法教育宣传规则，同时配合工会的宣传教育部门，结合新型集体林场的具体情况，采取多种形式，有的放矢地进行</w:t>
      </w:r>
      <w:r>
        <w:rPr>
          <w:rFonts w:hint="eastAsia" w:ascii="仿宋_GB2312" w:hAnsi="仿宋_GB2312" w:eastAsia="仿宋_GB2312" w:cs="仿宋_GB2312"/>
          <w:color w:val="auto"/>
          <w:sz w:val="32"/>
          <w:szCs w:val="32"/>
          <w:highlight w:val="none"/>
          <w:lang w:eastAsia="zh-CN"/>
        </w:rPr>
        <w:t>法治宣传教育</w:t>
      </w:r>
      <w:r>
        <w:rPr>
          <w:rFonts w:hint="eastAsia" w:ascii="仿宋_GB2312" w:hAnsi="仿宋_GB2312" w:eastAsia="仿宋_GB2312" w:cs="仿宋_GB2312"/>
          <w:color w:val="auto"/>
          <w:sz w:val="32"/>
          <w:szCs w:val="32"/>
          <w:highlight w:val="none"/>
        </w:rPr>
        <w:t>工作，提高广大职工的法律意识，增强职工的自我维护能力。</w:t>
      </w:r>
    </w:p>
    <w:p w14:paraId="250B8D92">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第六章  劳动争议调解委员会职责</w:t>
      </w:r>
    </w:p>
    <w:p w14:paraId="688C9AAC">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规定，企业劳动争议调解委员会的主要职责是：</w:t>
      </w:r>
    </w:p>
    <w:p w14:paraId="1EF7AB08">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一、依法调解本企业内发生的劳动争议。</w:t>
      </w:r>
    </w:p>
    <w:p w14:paraId="68E53645">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二、在调解劳动争议中应履行以下职责：</w:t>
      </w:r>
    </w:p>
    <w:p w14:paraId="730D7ADF">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1、决定接受劳动争议当事人的调查申请。</w:t>
      </w:r>
    </w:p>
    <w:p w14:paraId="53A4BBDD">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2、调查取证，认定事实。</w:t>
      </w:r>
    </w:p>
    <w:p w14:paraId="1E5109EA">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3、以事实为依据，以法律为准绳，开展调解工作，维护劳动争议双方当事人合法权益。</w:t>
      </w:r>
    </w:p>
    <w:p w14:paraId="286B0A07">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4、遵守调解纪律，维护调解秩序。    </w:t>
      </w:r>
    </w:p>
    <w:p w14:paraId="2B395459">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5、监督检查争议双方当事人履行调解合同。</w:t>
      </w:r>
    </w:p>
    <w:p w14:paraId="5B225F78">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6、对职工进行劳动</w:t>
      </w:r>
      <w:r>
        <w:rPr>
          <w:rFonts w:hint="eastAsia" w:ascii="仿宋_GB2312" w:hAnsi="仿宋_GB2312" w:eastAsia="仿宋_GB2312" w:cs="仿宋_GB2312"/>
          <w:color w:val="auto"/>
          <w:sz w:val="32"/>
          <w:szCs w:val="32"/>
          <w:highlight w:val="none"/>
          <w:lang w:eastAsia="zh-CN"/>
        </w:rPr>
        <w:t>法律法规</w:t>
      </w:r>
      <w:r>
        <w:rPr>
          <w:rFonts w:hint="eastAsia" w:ascii="仿宋_GB2312" w:hAnsi="仿宋_GB2312" w:eastAsia="仿宋_GB2312" w:cs="仿宋_GB2312"/>
          <w:color w:val="auto"/>
          <w:sz w:val="32"/>
          <w:szCs w:val="32"/>
          <w:highlight w:val="none"/>
        </w:rPr>
        <w:t>的宣传教育，做好劳动争议的预防工作。</w:t>
      </w:r>
    </w:p>
    <w:p w14:paraId="0073E7FA">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认真贯彻“预防为主、防调结合”的处理劳动争议的方针，通过宣传教育、做思想工作、参与企业民主管理等各种方式开展劳动争议预防工作，努力把劳动争议解决在基层，达到化解矛盾，增强团结、促进生产、稳定大局的目的。</w:t>
      </w:r>
    </w:p>
    <w:p w14:paraId="484E279C">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四、搞好劳动争议调解委员会自身的组织建设和制度建设，提高调解委员会成员的政策法律水平和业务能力。</w:t>
      </w:r>
    </w:p>
    <w:p w14:paraId="6C6355A3">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第七章 工会会员的权利和义务</w:t>
      </w:r>
    </w:p>
    <w:p w14:paraId="05C51A6B">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一、工会会员的权利</w:t>
      </w:r>
    </w:p>
    <w:p w14:paraId="51516576">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（一）选举权、被选举权和表决权。</w:t>
      </w:r>
    </w:p>
    <w:p w14:paraId="2D167A99">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（二）对工会工作进行监督、提出意见和建议，要求撤换或罢免工会工作人员。</w:t>
      </w:r>
    </w:p>
    <w:p w14:paraId="168944CE">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（三）对国家和社会生活总是提出批评与建议，要求工会组织向有关方面如实反映。</w:t>
      </w:r>
    </w:p>
    <w:p w14:paraId="5CF35B83">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（四）在合法权益受到侵犯时，要求工会给予保护。</w:t>
      </w:r>
    </w:p>
    <w:p w14:paraId="03CE609B">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（五）享受工会举办的文化、教育、体育、旅游、疗休养事业等的优惠待遇；享受工会给予的各种奖励。</w:t>
      </w:r>
    </w:p>
    <w:p w14:paraId="3A142698">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（六）在工会会议和工会报刊上，参加关于工会工作和职工关心问题的讨论。</w:t>
      </w:r>
    </w:p>
    <w:p w14:paraId="08BE73B1">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二、工会会员的义务</w:t>
      </w:r>
    </w:p>
    <w:p w14:paraId="19FD088C">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（一）学习政治、经济、文化、科学、技术，学习工会基本知识。</w:t>
      </w:r>
    </w:p>
    <w:p w14:paraId="1772997E">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（二）积极参加民主管理，努力完成生产和工作任务。</w:t>
      </w:r>
    </w:p>
    <w:p w14:paraId="45FCCFBE">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（三）遵守宪法和法律，维护社会公德和职业道德，遵守劳动纪律。</w:t>
      </w:r>
    </w:p>
    <w:p w14:paraId="034339D0">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（四）正确处理国家、集体、个人三者利益关系，向危害国家、社会利益的行为</w:t>
      </w:r>
      <w:r>
        <w:rPr>
          <w:rFonts w:hint="eastAsia" w:ascii="仿宋_GB2312" w:hAnsi="仿宋_GB2312" w:eastAsia="仿宋_GB2312" w:cs="仿宋_GB2312"/>
          <w:color w:val="auto"/>
          <w:sz w:val="32"/>
          <w:szCs w:val="32"/>
          <w:highlight w:val="none"/>
          <w:lang w:eastAsia="zh-CN"/>
        </w:rPr>
        <w:t>做</w:t>
      </w:r>
      <w:r>
        <w:rPr>
          <w:rFonts w:hint="eastAsia" w:ascii="仿宋_GB2312" w:hAnsi="仿宋_GB2312" w:eastAsia="仿宋_GB2312" w:cs="仿宋_GB2312"/>
          <w:color w:val="auto"/>
          <w:sz w:val="32"/>
          <w:szCs w:val="32"/>
          <w:highlight w:val="none"/>
        </w:rPr>
        <w:t>斗争。</w:t>
      </w:r>
    </w:p>
    <w:p w14:paraId="43BC963F">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（五）维护工人阶级内部的团结和统一，发扬阶级友爱，搞好互助互济。</w:t>
      </w:r>
    </w:p>
    <w:p w14:paraId="5120DB3A">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（六）遵守工会章程，执行工会决议，参加工会活动，按月交纳会费。</w:t>
      </w:r>
    </w:p>
    <w:p w14:paraId="4CEDFBB1">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第八章 职工代表大会制度</w:t>
      </w:r>
    </w:p>
    <w:p w14:paraId="0DF67EED">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职工代表大会是企业实行民主管理的基本形式，是职工行使</w:t>
      </w:r>
      <w:r>
        <w:rPr>
          <w:rFonts w:hint="eastAsia" w:ascii="仿宋_GB2312" w:hAnsi="仿宋_GB2312" w:eastAsia="仿宋_GB2312" w:cs="仿宋_GB2312"/>
          <w:color w:val="auto"/>
          <w:sz w:val="32"/>
          <w:szCs w:val="32"/>
          <w:highlight w:val="none"/>
          <w:lang w:eastAsia="zh-CN"/>
        </w:rPr>
        <w:t>民主权利</w:t>
      </w:r>
      <w:r>
        <w:rPr>
          <w:rFonts w:hint="eastAsia" w:ascii="仿宋_GB2312" w:hAnsi="仿宋_GB2312" w:eastAsia="仿宋_GB2312" w:cs="仿宋_GB2312"/>
          <w:color w:val="auto"/>
          <w:sz w:val="32"/>
          <w:szCs w:val="32"/>
          <w:highlight w:val="none"/>
        </w:rPr>
        <w:t>的机构。</w:t>
      </w:r>
    </w:p>
    <w:p w14:paraId="7E5BFE4D">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认真履行职工代表大会的职权。依法行使审议建议权、审查同意或否决权、审议决定权、评议监督权、选举权。</w:t>
      </w:r>
    </w:p>
    <w:p w14:paraId="20349C27">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职工代表大会每年至少召开一次。</w:t>
      </w:r>
    </w:p>
    <w:p w14:paraId="0DD7AB64">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职工代表大会进行选举和作出决议，必须经全体职工代表过半数通过。</w:t>
      </w:r>
    </w:p>
    <w:p w14:paraId="4E4095B6">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职工代表大会闭会期间，需要临时解决的重要问题，由新型集体林场工会委员会召集职工代表组长和专门小组负责人联席会议协商处理，并向下一次职工代表大会报告予以确认。</w:t>
      </w:r>
    </w:p>
    <w:p w14:paraId="02D0D71E">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第九章 平等协商制度</w:t>
      </w:r>
    </w:p>
    <w:p w14:paraId="24A3CFF4">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为完善社会主义市场经济条件下的企业民主管理，保障劳动关系双方的合法权益，促进劳动关系和谐稳定，根据《</w:t>
      </w:r>
      <w:r>
        <w:rPr>
          <w:rFonts w:hint="eastAsia" w:ascii="仿宋_GB2312" w:hAnsi="仿宋_GB2312" w:eastAsia="仿宋_GB2312" w:cs="仿宋_GB2312"/>
          <w:color w:val="auto"/>
          <w:sz w:val="32"/>
          <w:szCs w:val="32"/>
          <w:highlight w:val="none"/>
          <w:lang w:eastAsia="zh-CN"/>
        </w:rPr>
        <w:t>中华人民共和国劳动法》《中华人民共和国工会法</w:t>
      </w:r>
      <w:r>
        <w:rPr>
          <w:rFonts w:hint="eastAsia" w:ascii="仿宋_GB2312" w:hAnsi="仿宋_GB2312" w:eastAsia="仿宋_GB2312" w:cs="仿宋_GB2312"/>
          <w:color w:val="auto"/>
          <w:sz w:val="32"/>
          <w:szCs w:val="32"/>
          <w:highlight w:val="none"/>
        </w:rPr>
        <w:t>》，特制定平等协商制度。</w:t>
      </w:r>
    </w:p>
    <w:p w14:paraId="15CBA380">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一、平等协商是指职工方（企业工会或职工代表）与企业方（企业代表）就企业内部劳动报酬，工作和休息、休假、劳动安全保护，保险与福利等问题进行平等协商，在协商一致的基础上签订集体合同的行为。</w:t>
      </w:r>
    </w:p>
    <w:p w14:paraId="21B1C354">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二、平等协商应遵循合法、平等、实事求是和效率优先，兼顾双方合法权益以及和谐、协商的原则。职工和企业方代表一致。由3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5人组成，职工方首席代表应由工会主席担任。</w:t>
      </w:r>
    </w:p>
    <w:p w14:paraId="4276D81E">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三、平等协商一般一年协商一次，对协商条款进行修改补充、完善。经一方提议，也可召开临时协商会议。</w:t>
      </w:r>
    </w:p>
    <w:p w14:paraId="705B7C69">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四、在平等协商意见一致的情况下，将协商条款提交职工代表大会审议通过，并签订集体合同书，集体合同书一式五份。</w:t>
      </w:r>
    </w:p>
    <w:p w14:paraId="167BA92D">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五、集体合同书报</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人力社保局审核，</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人力社保局审核同意后报市建筑工会和市总工会民管部各一份，并在企业内张榜公布。</w:t>
      </w:r>
    </w:p>
    <w:p w14:paraId="3799D826">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六、集体合同执行情况，每年由新型集体林场工会和行政联合组成检查组进行履约情况检查，并将检查情况向职代会报告，并张榜公布。</w:t>
      </w:r>
    </w:p>
    <w:p w14:paraId="631336F4">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七、本制度如与国家有关</w:t>
      </w:r>
      <w:r>
        <w:rPr>
          <w:rFonts w:hint="eastAsia" w:ascii="仿宋_GB2312" w:hAnsi="仿宋_GB2312" w:eastAsia="仿宋_GB2312" w:cs="仿宋_GB2312"/>
          <w:color w:val="auto"/>
          <w:sz w:val="32"/>
          <w:szCs w:val="32"/>
          <w:highlight w:val="none"/>
          <w:lang w:eastAsia="zh-CN"/>
        </w:rPr>
        <w:t>法律法规</w:t>
      </w:r>
      <w:r>
        <w:rPr>
          <w:rFonts w:hint="eastAsia" w:ascii="仿宋_GB2312" w:hAnsi="仿宋_GB2312" w:eastAsia="仿宋_GB2312" w:cs="仿宋_GB2312"/>
          <w:color w:val="auto"/>
          <w:sz w:val="32"/>
          <w:szCs w:val="32"/>
          <w:highlight w:val="none"/>
        </w:rPr>
        <w:t>相抵触，以国家</w:t>
      </w:r>
      <w:r>
        <w:rPr>
          <w:rFonts w:hint="eastAsia" w:ascii="仿宋_GB2312" w:hAnsi="仿宋_GB2312" w:eastAsia="仿宋_GB2312" w:cs="仿宋_GB2312"/>
          <w:color w:val="auto"/>
          <w:sz w:val="32"/>
          <w:szCs w:val="32"/>
          <w:highlight w:val="none"/>
          <w:lang w:eastAsia="zh-CN"/>
        </w:rPr>
        <w:t>法律法规</w:t>
      </w:r>
      <w:r>
        <w:rPr>
          <w:rFonts w:hint="eastAsia" w:ascii="仿宋_GB2312" w:hAnsi="仿宋_GB2312" w:eastAsia="仿宋_GB2312" w:cs="仿宋_GB2312"/>
          <w:color w:val="auto"/>
          <w:sz w:val="32"/>
          <w:szCs w:val="32"/>
          <w:highlight w:val="none"/>
        </w:rPr>
        <w:t>为准。</w:t>
      </w:r>
    </w:p>
    <w:p w14:paraId="66DCA855">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第十章  走访慰问制度</w:t>
      </w:r>
    </w:p>
    <w:p w14:paraId="78F6D0FB">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职工因病或因工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公</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住院、家庭发生特殊困难、女职工生育等，工会主席、副主席或由主席、副主席委托工会委员代表工会进行慰问，了解和掌握职工的病情和有关情况。职工本人因病或因工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公</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去世，职工的父母亲或其直系亲属去世的，工会积极协助局相关部门做好有关善后工作，在交通工具上应提供适当的方便（指近郊内），在安排新型集体林场车辆有困难时，可向工会提出申请，由工会协调解决。</w:t>
      </w:r>
    </w:p>
    <w:p w14:paraId="1CEFA000">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第十一章  创建职工之家基本条件</w:t>
      </w:r>
    </w:p>
    <w:p w14:paraId="0C6DD8D5">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一、组织健全：根据《</w:t>
      </w:r>
      <w:r>
        <w:rPr>
          <w:rFonts w:hint="eastAsia" w:ascii="仿宋_GB2312" w:hAnsi="仿宋_GB2312" w:eastAsia="仿宋_GB2312" w:cs="仿宋_GB2312"/>
          <w:color w:val="auto"/>
          <w:sz w:val="32"/>
          <w:szCs w:val="32"/>
          <w:highlight w:val="none"/>
          <w:lang w:eastAsia="zh-CN"/>
        </w:rPr>
        <w:t>中华人民共和国工会法》《</w:t>
      </w:r>
      <w:r>
        <w:rPr>
          <w:rFonts w:hint="eastAsia" w:ascii="仿宋_GB2312" w:hAnsi="仿宋_GB2312" w:eastAsia="仿宋_GB2312" w:cs="仿宋_GB2312"/>
          <w:color w:val="auto"/>
          <w:sz w:val="32"/>
          <w:szCs w:val="32"/>
          <w:highlight w:val="none"/>
        </w:rPr>
        <w:t>工会章程》要求，民主选举产生工会委员会。同时，建立经费审查委员会和女职工委员会等组织；工会健全、团结，工作富有成效。职工入会率要求达到85%以上。</w:t>
      </w:r>
    </w:p>
    <w:p w14:paraId="08A40954">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二、工作规范：建立工会委员会集体领导分工负责制，委员分工明确，一年</w:t>
      </w:r>
      <w:r>
        <w:rPr>
          <w:rFonts w:hint="eastAsia" w:ascii="仿宋_GB2312" w:hAnsi="仿宋_GB2312" w:eastAsia="仿宋_GB2312" w:cs="仿宋_GB2312"/>
          <w:color w:val="auto"/>
          <w:sz w:val="32"/>
          <w:szCs w:val="32"/>
          <w:highlight w:val="none"/>
          <w:lang w:eastAsia="zh-CN"/>
        </w:rPr>
        <w:t>两次</w:t>
      </w:r>
      <w:r>
        <w:rPr>
          <w:rFonts w:hint="eastAsia" w:ascii="仿宋_GB2312" w:hAnsi="仿宋_GB2312" w:eastAsia="仿宋_GB2312" w:cs="仿宋_GB2312"/>
          <w:color w:val="auto"/>
          <w:sz w:val="32"/>
          <w:szCs w:val="32"/>
          <w:highlight w:val="none"/>
        </w:rPr>
        <w:t>召开工会工作例会。做到年初有计划，年中有检查，年底有总结，各类制度齐全，工会档案、资料完整。</w:t>
      </w:r>
    </w:p>
    <w:p w14:paraId="6EB5A43F">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三、依法维权：建立平等协商、集体合同和工资集体协商制度。开展民主管理（</w:t>
      </w:r>
      <w:r>
        <w:rPr>
          <w:rFonts w:hint="eastAsia" w:ascii="仿宋_GB2312" w:hAnsi="仿宋_GB2312" w:eastAsia="仿宋_GB2312" w:cs="仿宋_GB2312"/>
          <w:color w:val="auto"/>
          <w:sz w:val="32"/>
          <w:szCs w:val="32"/>
          <w:highlight w:val="none"/>
          <w:lang w:eastAsia="zh-CN"/>
        </w:rPr>
        <w:t>场</w:t>
      </w:r>
      <w:r>
        <w:rPr>
          <w:rFonts w:hint="eastAsia" w:ascii="仿宋_GB2312" w:hAnsi="仿宋_GB2312" w:eastAsia="仿宋_GB2312" w:cs="仿宋_GB2312"/>
          <w:color w:val="auto"/>
          <w:sz w:val="32"/>
          <w:szCs w:val="32"/>
          <w:highlight w:val="none"/>
        </w:rPr>
        <w:t>务公开）工作，自觉执行职工最低工资、基本生活费和其他劳动保障规定，重视安全生产、劳动保护工作，建立劳动保护监督检查网络，关心困难职工生活，结合单位实际开展互助互济活动，维护和保障女职工合法权益，女职工四期保护措施落实得好。</w:t>
      </w:r>
    </w:p>
    <w:p w14:paraId="3787E913">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活动正常：组织职工学习政治、法律和科学文化知识，配合企事业单位开展职工文化技术培训、经济技术创新、“双爱双评”和评先选模活动，组织职工参加上级工会组织的各项活动，丰富职工的业余文体生活。</w:t>
      </w:r>
    </w:p>
    <w:p w14:paraId="5BAB34CD">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五、行政支持：企事业单位加强对工会工作的领导，行政支持工会开展工作，依法</w:t>
      </w:r>
      <w:r>
        <w:rPr>
          <w:rFonts w:hint="eastAsia" w:ascii="仿宋_GB2312" w:hAnsi="仿宋_GB2312" w:eastAsia="仿宋_GB2312" w:cs="仿宋_GB2312"/>
          <w:color w:val="auto"/>
          <w:sz w:val="32"/>
          <w:szCs w:val="32"/>
          <w:highlight w:val="none"/>
          <w:lang w:eastAsia="zh-CN"/>
        </w:rPr>
        <w:t>拨缴</w:t>
      </w:r>
      <w:r>
        <w:rPr>
          <w:rFonts w:hint="eastAsia" w:ascii="仿宋_GB2312" w:hAnsi="仿宋_GB2312" w:eastAsia="仿宋_GB2312" w:cs="仿宋_GB2312"/>
          <w:color w:val="auto"/>
          <w:sz w:val="32"/>
          <w:szCs w:val="32"/>
          <w:highlight w:val="none"/>
        </w:rPr>
        <w:t>工会经费，为工会开展活动提供必要的时间保证和物质保证。</w:t>
      </w:r>
    </w:p>
    <w:p w14:paraId="2A991C8B">
      <w:pPr>
        <w:pageBreakBefore w:val="0"/>
        <w:kinsoku/>
        <w:wordWrap/>
        <w:overflowPunct/>
        <w:topLinePunct w:val="0"/>
        <w:autoSpaceDE/>
        <w:autoSpaceDN/>
        <w:bidi w:val="0"/>
        <w:adjustRightInd/>
        <w:spacing w:beforeAutospacing="0" w:afterAutospacing="0" w:line="560" w:lineRule="exact"/>
        <w:ind w:left="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会员拥护：建设一支热心为职工群众服务的工会积极分子队伍，关心职工生活，积极为职工排忧解难，做好困难职工的帮扶工作，为职工和会员办实事成效显著。召开会员（代表）大会对工会工作进行民主评议，满意率须在85%以上。</w:t>
      </w:r>
    </w:p>
    <w:p w14:paraId="63CD876D">
      <w:pPr>
        <w:keepNext/>
        <w:keepLines/>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outlineLvl w:val="1"/>
        <w:rPr>
          <w:rFonts w:hint="eastAsia" w:ascii="黑体" w:hAnsi="黑体" w:eastAsia="黑体" w:cs="黑体"/>
          <w:b/>
          <w:color w:val="auto"/>
          <w:kern w:val="2"/>
          <w:sz w:val="32"/>
          <w:szCs w:val="32"/>
          <w:highlight w:val="none"/>
          <w:lang w:val="en-US" w:eastAsia="zh-CN" w:bidi="ar-SA"/>
        </w:rPr>
      </w:pPr>
      <w:bookmarkStart w:id="115" w:name="_Toc17259"/>
    </w:p>
    <w:p w14:paraId="0DF08B2F">
      <w:pPr>
        <w:keepNext/>
        <w:keepLines/>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outlineLvl w:val="1"/>
        <w:rPr>
          <w:rFonts w:hint="eastAsia" w:ascii="黑体" w:hAnsi="黑体" w:eastAsia="黑体" w:cs="黑体"/>
          <w:b/>
          <w:color w:val="auto"/>
          <w:kern w:val="2"/>
          <w:sz w:val="32"/>
          <w:szCs w:val="32"/>
          <w:highlight w:val="none"/>
          <w:lang w:val="en-US" w:eastAsia="zh-CN" w:bidi="ar-SA"/>
        </w:rPr>
      </w:pPr>
      <w:r>
        <w:rPr>
          <w:rFonts w:hint="eastAsia" w:ascii="黑体" w:hAnsi="黑体" w:eastAsia="黑体" w:cs="黑体"/>
          <w:b/>
          <w:color w:val="auto"/>
          <w:kern w:val="2"/>
          <w:sz w:val="32"/>
          <w:szCs w:val="32"/>
          <w:highlight w:val="none"/>
          <w:lang w:val="en-US" w:eastAsia="zh-CN" w:bidi="ar-SA"/>
        </w:rPr>
        <w:t>二、林业行业管理制度</w:t>
      </w:r>
      <w:bookmarkEnd w:id="115"/>
    </w:p>
    <w:p w14:paraId="02282579">
      <w:pPr>
        <w:keepNext/>
        <w:keepLines/>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outlineLvl w:val="1"/>
        <w:rPr>
          <w:rFonts w:hint="eastAsia" w:ascii="楷体_GB2312" w:hAnsi="楷体_GB2312" w:eastAsia="楷体_GB2312" w:cs="楷体_GB2312"/>
          <w:b/>
          <w:color w:val="auto"/>
          <w:kern w:val="2"/>
          <w:sz w:val="32"/>
          <w:szCs w:val="32"/>
          <w:highlight w:val="none"/>
          <w:lang w:val="en-US" w:eastAsia="zh-CN" w:bidi="ar-SA"/>
        </w:rPr>
      </w:pPr>
      <w:bookmarkStart w:id="116" w:name="_Toc30733"/>
      <w:r>
        <w:rPr>
          <w:rFonts w:hint="eastAsia" w:ascii="楷体_GB2312" w:hAnsi="楷体_GB2312" w:eastAsia="楷体_GB2312" w:cs="楷体_GB2312"/>
          <w:b/>
          <w:color w:val="auto"/>
          <w:kern w:val="2"/>
          <w:sz w:val="32"/>
          <w:szCs w:val="32"/>
          <w:highlight w:val="none"/>
          <w:lang w:val="en-US" w:eastAsia="zh-CN" w:bidi="ar-SA"/>
        </w:rPr>
        <w:t>（一）森林防火管理制度</w:t>
      </w:r>
      <w:bookmarkEnd w:id="116"/>
      <w:r>
        <w:rPr>
          <w:rFonts w:hint="eastAsia" w:ascii="楷体_GB2312" w:hAnsi="楷体_GB2312" w:eastAsia="楷体_GB2312" w:cs="楷体_GB2312"/>
          <w:b/>
          <w:color w:val="auto"/>
          <w:kern w:val="2"/>
          <w:sz w:val="32"/>
          <w:szCs w:val="32"/>
          <w:highlight w:val="none"/>
          <w:lang w:val="en-US" w:eastAsia="zh-CN" w:bidi="ar-SA"/>
        </w:rPr>
        <w:t>模板</w:t>
      </w:r>
    </w:p>
    <w:p w14:paraId="1C2501AF">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17" w:name="_Toc18824"/>
      <w:bookmarkStart w:id="118" w:name="_Toc6918"/>
      <w:bookmarkStart w:id="119" w:name="_Toc17907"/>
      <w:bookmarkStart w:id="120" w:name="_Toc22067"/>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第一章 总  则</w:t>
      </w:r>
      <w:bookmarkEnd w:id="117"/>
      <w:bookmarkEnd w:id="118"/>
      <w:bookmarkEnd w:id="119"/>
      <w:bookmarkEnd w:id="120"/>
    </w:p>
    <w:p w14:paraId="67971DE9">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第一条 为加强</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新型集体林场森林防火安全工作，明确各</w:t>
      </w:r>
      <w:r>
        <w:rPr>
          <w:rFonts w:hint="eastAsia" w:ascii="仿宋_GB2312" w:hAnsi="仿宋_GB2312" w:eastAsia="仿宋_GB2312" w:cs="仿宋_GB2312"/>
          <w:color w:val="auto"/>
          <w:sz w:val="32"/>
          <w:szCs w:val="32"/>
          <w:highlight w:val="none"/>
          <w:lang w:val="en-US" w:eastAsia="zh-CN"/>
        </w:rPr>
        <w:t>部门</w:t>
      </w:r>
      <w:r>
        <w:rPr>
          <w:rFonts w:hint="eastAsia" w:ascii="仿宋_GB2312" w:hAnsi="仿宋_GB2312" w:eastAsia="仿宋_GB2312" w:cs="仿宋_GB2312"/>
          <w:color w:val="auto"/>
          <w:sz w:val="32"/>
          <w:szCs w:val="32"/>
          <w:highlight w:val="none"/>
        </w:rPr>
        <w:t>职工应履行的森林防火安全职责，防止和减少森林火灾危害根据《中华人民共和国森林法》《森林防火条例》等法规，制定本制度。</w:t>
      </w:r>
    </w:p>
    <w:p w14:paraId="64FE5D7C">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第二条 森林防火安全工作贯彻“</w:t>
      </w:r>
      <w:r>
        <w:rPr>
          <w:rFonts w:hint="eastAsia" w:ascii="仿宋_GB2312" w:hAnsi="仿宋_GB2312" w:eastAsia="仿宋_GB2312" w:cs="仿宋_GB2312"/>
          <w:color w:val="auto"/>
          <w:sz w:val="32"/>
          <w:szCs w:val="32"/>
          <w:highlight w:val="none"/>
          <w:lang w:val="en-US" w:eastAsia="zh-CN"/>
        </w:rPr>
        <w:t>预防为主、积极消灭、生命至上、安全第一</w:t>
      </w:r>
      <w:r>
        <w:rPr>
          <w:rFonts w:hint="eastAsia" w:ascii="仿宋_GB2312" w:hAnsi="仿宋_GB2312" w:eastAsia="仿宋_GB2312" w:cs="仿宋_GB2312"/>
          <w:color w:val="auto"/>
          <w:sz w:val="32"/>
          <w:szCs w:val="32"/>
          <w:highlight w:val="none"/>
        </w:rPr>
        <w:t>”的方针，将防火安全工作纳入新型集体林场安全责任</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管理体系，</w:t>
      </w:r>
      <w:r>
        <w:rPr>
          <w:rFonts w:hint="eastAsia" w:ascii="仿宋_GB2312" w:hAnsi="仿宋_GB2312" w:eastAsia="仿宋_GB2312" w:cs="仿宋_GB2312"/>
          <w:color w:val="auto"/>
          <w:sz w:val="32"/>
          <w:szCs w:val="32"/>
          <w:highlight w:val="none"/>
          <w:lang w:val="en-US" w:eastAsia="zh-CN"/>
        </w:rPr>
        <w:t>逐步建立健全森林消防队伍，</w:t>
      </w:r>
      <w:r>
        <w:rPr>
          <w:rFonts w:hint="eastAsia" w:ascii="仿宋_GB2312" w:hAnsi="仿宋_GB2312" w:eastAsia="仿宋_GB2312" w:cs="仿宋_GB2312"/>
          <w:color w:val="auto"/>
          <w:sz w:val="32"/>
          <w:szCs w:val="32"/>
          <w:highlight w:val="none"/>
        </w:rPr>
        <w:t>使森林防火安全工作与新型集体林场的安全保障体系相适应。</w:t>
      </w:r>
    </w:p>
    <w:p w14:paraId="210FA3A1">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第三条 新型集体林场森林防火安全工作按照“谁主管、谁负责”和“新型集体林场自管、隐患自查、责任自负”的原则，实行新型集体林场领导下的逐层防火安全责任制和岗位责任制。</w:t>
      </w:r>
    </w:p>
    <w:p w14:paraId="3422A913">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第四条 新型集体林场的各部门和个人，均有维护森林防火安全、保护消防设施、制止违反防火法律法规和本制度的行为，防止森林火灾、汇报火警和参与有组织灭火工作的义务。</w:t>
      </w:r>
    </w:p>
    <w:p w14:paraId="39E18CC4">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第五条 新型集体林场的部门和个人，必须严格遵守本制度自觉维护森林防火安全。</w:t>
      </w:r>
    </w:p>
    <w:p w14:paraId="0754749C">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21" w:name="_Toc18577"/>
      <w:bookmarkStart w:id="122" w:name="_Toc27876"/>
      <w:bookmarkStart w:id="123" w:name="_Toc19172"/>
      <w:bookmarkStart w:id="124" w:name="_Toc6024"/>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第二章 森林防火安全工作领导小组</w:t>
      </w:r>
      <w:bookmarkEnd w:id="121"/>
      <w:bookmarkEnd w:id="122"/>
      <w:bookmarkEnd w:id="123"/>
      <w:bookmarkEnd w:id="124"/>
    </w:p>
    <w:p w14:paraId="651D7F1A">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第六条 新型集体林场成立森林防火安全工作领导小组</w:t>
      </w:r>
    </w:p>
    <w:p w14:paraId="5E1BBBE6">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组长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xxxx</w:t>
      </w:r>
    </w:p>
    <w:p w14:paraId="1676F95B">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副组长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xxxxx</w:t>
      </w:r>
    </w:p>
    <w:p w14:paraId="36397317">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组员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xxxxx</w:t>
      </w:r>
    </w:p>
    <w:p w14:paraId="2B0110E1">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领导小组下设森林防火</w:t>
      </w:r>
      <w:r>
        <w:rPr>
          <w:rFonts w:hint="eastAsia" w:ascii="仿宋_GB2312" w:hAnsi="仿宋_GB2312" w:eastAsia="仿宋_GB2312" w:cs="仿宋_GB2312"/>
          <w:color w:val="auto"/>
          <w:sz w:val="32"/>
          <w:szCs w:val="32"/>
          <w:highlight w:val="none"/>
          <w:lang w:val="en-US" w:eastAsia="zh-CN"/>
        </w:rPr>
        <w:t>组：小组</w:t>
      </w:r>
      <w:r>
        <w:rPr>
          <w:rFonts w:hint="eastAsia" w:ascii="仿宋_GB2312" w:hAnsi="仿宋_GB2312" w:eastAsia="仿宋_GB2312" w:cs="仿宋_GB2312"/>
          <w:color w:val="auto"/>
          <w:sz w:val="32"/>
          <w:szCs w:val="32"/>
          <w:highlight w:val="none"/>
        </w:rPr>
        <w:t>设在应急巡查部门，由应急巡查部负责管理。平常工作由巡查组掌握，在出现火情时及时告知有关人员，由组长和全体组员赶赴现场负责组织、协调、调动各方面的力量，指挥现场的灭火扑救工作。</w:t>
      </w:r>
    </w:p>
    <w:p w14:paraId="37501D53">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各组队</w:t>
      </w:r>
      <w:r>
        <w:rPr>
          <w:rFonts w:hint="eastAsia" w:ascii="仿宋_GB2312" w:hAnsi="仿宋_GB2312" w:eastAsia="仿宋_GB2312" w:cs="仿宋_GB2312"/>
          <w:color w:val="auto"/>
          <w:sz w:val="32"/>
          <w:szCs w:val="32"/>
          <w:highlight w:val="none"/>
          <w:lang w:val="en-US" w:eastAsia="zh-CN"/>
        </w:rPr>
        <w:t>对应成立</w:t>
      </w:r>
      <w:r>
        <w:rPr>
          <w:rFonts w:hint="eastAsia" w:ascii="仿宋_GB2312" w:hAnsi="仿宋_GB2312" w:eastAsia="仿宋_GB2312" w:cs="仿宋_GB2312"/>
          <w:color w:val="auto"/>
          <w:sz w:val="32"/>
          <w:szCs w:val="32"/>
          <w:highlight w:val="none"/>
        </w:rPr>
        <w:t>森林火灾扑救突击队，负责各自的森林火灾扑救工作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健全森林火灾扑救责任制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根据实际状况，配置灭火器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铁锹等灭火消防工具。</w:t>
      </w:r>
    </w:p>
    <w:p w14:paraId="04B76747">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与北京市通州区消防队</w:t>
      </w:r>
      <w:r>
        <w:rPr>
          <w:rFonts w:hint="eastAsia" w:ascii="仿宋_GB2312" w:hAnsi="仿宋_GB2312" w:eastAsia="仿宋_GB2312" w:cs="仿宋_GB2312"/>
          <w:color w:val="auto"/>
          <w:sz w:val="32"/>
          <w:szCs w:val="32"/>
          <w:highlight w:val="none"/>
          <w:lang w:eastAsia="zh-CN"/>
        </w:rPr>
        <w:t>取</w:t>
      </w:r>
      <w:r>
        <w:rPr>
          <w:rFonts w:hint="eastAsia" w:ascii="仿宋_GB2312" w:hAnsi="仿宋_GB2312" w:eastAsia="仿宋_GB2312" w:cs="仿宋_GB2312"/>
          <w:color w:val="auto"/>
          <w:sz w:val="32"/>
          <w:szCs w:val="32"/>
          <w:highlight w:val="none"/>
        </w:rPr>
        <w:t>得联络，运用消防队的专业队伍及消防设备，在发生火情时及时沟通，迅速扑救。</w:t>
      </w:r>
    </w:p>
    <w:p w14:paraId="2F650C10">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25" w:name="_Toc22930"/>
      <w:bookmarkStart w:id="126" w:name="_Toc16310"/>
      <w:bookmarkStart w:id="127" w:name="_Toc6153"/>
      <w:bookmarkStart w:id="128" w:name="_Toc23914"/>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第三章 防火职责</w:t>
      </w:r>
      <w:bookmarkEnd w:id="125"/>
      <w:bookmarkEnd w:id="126"/>
      <w:bookmarkEnd w:id="127"/>
      <w:bookmarkEnd w:id="128"/>
    </w:p>
    <w:p w14:paraId="54E143C6">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第七条 森林防火安全领导小组职责</w:t>
      </w:r>
    </w:p>
    <w:p w14:paraId="7C269F34">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1、组织制定和修改防火责任制，并督促实行</w:t>
      </w:r>
      <w:r>
        <w:rPr>
          <w:rFonts w:hint="eastAsia" w:ascii="仿宋_GB2312" w:hAnsi="仿宋_GB2312" w:eastAsia="仿宋_GB2312" w:cs="仿宋_GB2312"/>
          <w:color w:val="auto"/>
          <w:sz w:val="32"/>
          <w:szCs w:val="32"/>
          <w:highlight w:val="none"/>
          <w:lang w:eastAsia="zh-CN"/>
        </w:rPr>
        <w:t>；</w:t>
      </w:r>
    </w:p>
    <w:p w14:paraId="2F93E05C">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2、加强防火宣传教育，组织开展防火活动</w:t>
      </w:r>
      <w:r>
        <w:rPr>
          <w:rFonts w:hint="eastAsia" w:ascii="仿宋_GB2312" w:hAnsi="仿宋_GB2312" w:eastAsia="仿宋_GB2312" w:cs="仿宋_GB2312"/>
          <w:color w:val="auto"/>
          <w:sz w:val="32"/>
          <w:szCs w:val="32"/>
          <w:highlight w:val="none"/>
          <w:lang w:eastAsia="zh-CN"/>
        </w:rPr>
        <w:t>；</w:t>
      </w:r>
    </w:p>
    <w:p w14:paraId="5FE8EB4D">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3、领导专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职、义务消防组织，予以必要的工作和生活条件的保证</w:t>
      </w:r>
      <w:r>
        <w:rPr>
          <w:rFonts w:hint="eastAsia" w:ascii="仿宋_GB2312" w:hAnsi="仿宋_GB2312" w:eastAsia="仿宋_GB2312" w:cs="仿宋_GB2312"/>
          <w:color w:val="auto"/>
          <w:sz w:val="32"/>
          <w:szCs w:val="32"/>
          <w:highlight w:val="none"/>
          <w:lang w:eastAsia="zh-CN"/>
        </w:rPr>
        <w:t>；</w:t>
      </w:r>
    </w:p>
    <w:p w14:paraId="67818990">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4、组织防火安全检查，主持研究隐患整改方案的实行，做到“</w:t>
      </w:r>
      <w:r>
        <w:rPr>
          <w:rFonts w:hint="eastAsia" w:ascii="仿宋_GB2312" w:hAnsi="仿宋_GB2312" w:eastAsia="仿宋_GB2312" w:cs="仿宋_GB2312"/>
          <w:color w:val="auto"/>
          <w:sz w:val="32"/>
          <w:szCs w:val="32"/>
          <w:highlight w:val="none"/>
          <w:lang w:val="en-US" w:eastAsia="zh-CN"/>
        </w:rPr>
        <w:t>预防</w:t>
      </w:r>
      <w:r>
        <w:rPr>
          <w:rFonts w:hint="eastAsia" w:ascii="仿宋_GB2312" w:hAnsi="仿宋_GB2312" w:eastAsia="仿宋_GB2312" w:cs="仿宋_GB2312"/>
          <w:color w:val="auto"/>
          <w:sz w:val="32"/>
          <w:szCs w:val="32"/>
          <w:highlight w:val="none"/>
        </w:rPr>
        <w:t>为主”；</w:t>
      </w:r>
    </w:p>
    <w:p w14:paraId="12437556">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5、指导对防火设备的配置、维修、更换、管理</w:t>
      </w:r>
      <w:r>
        <w:rPr>
          <w:rFonts w:hint="eastAsia" w:ascii="仿宋_GB2312" w:hAnsi="仿宋_GB2312" w:eastAsia="仿宋_GB2312" w:cs="仿宋_GB2312"/>
          <w:color w:val="auto"/>
          <w:sz w:val="32"/>
          <w:szCs w:val="32"/>
          <w:highlight w:val="none"/>
          <w:lang w:eastAsia="zh-CN"/>
        </w:rPr>
        <w:t>；</w:t>
      </w:r>
    </w:p>
    <w:p w14:paraId="12CA960A">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6、一旦发生火灾事故，负责迅速上报、组织扑救并查明原因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明确责任，提出改善措施和处理意见。</w:t>
      </w:r>
    </w:p>
    <w:p w14:paraId="5A0358BE">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第八条 森林防火安全领导小组组长职责</w:t>
      </w:r>
    </w:p>
    <w:p w14:paraId="129A872A">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1、贯彻执行森林防火法规，保障新型集体林场森林防火安全符合规定掌握本新型集体林场的防火安全状况</w:t>
      </w:r>
      <w:r>
        <w:rPr>
          <w:rFonts w:hint="eastAsia" w:ascii="仿宋_GB2312" w:hAnsi="仿宋_GB2312" w:eastAsia="仿宋_GB2312" w:cs="仿宋_GB2312"/>
          <w:color w:val="auto"/>
          <w:sz w:val="32"/>
          <w:szCs w:val="32"/>
          <w:highlight w:val="none"/>
          <w:lang w:eastAsia="zh-CN"/>
        </w:rPr>
        <w:t>；</w:t>
      </w:r>
    </w:p>
    <w:p w14:paraId="679268A0">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2、将防火工作与新型集体林场的生产经营、管理等活动统筹安排，统一实行年度防火工作计划</w:t>
      </w:r>
      <w:r>
        <w:rPr>
          <w:rFonts w:hint="eastAsia" w:ascii="仿宋_GB2312" w:hAnsi="仿宋_GB2312" w:eastAsia="仿宋_GB2312" w:cs="仿宋_GB2312"/>
          <w:color w:val="auto"/>
          <w:sz w:val="32"/>
          <w:szCs w:val="32"/>
          <w:highlight w:val="none"/>
          <w:lang w:eastAsia="zh-CN"/>
        </w:rPr>
        <w:t>；</w:t>
      </w:r>
    </w:p>
    <w:p w14:paraId="3BF84503">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3、为新型集体林场的防火安全提供必要的经费和组织保障</w:t>
      </w:r>
      <w:r>
        <w:rPr>
          <w:rFonts w:hint="eastAsia" w:ascii="仿宋_GB2312" w:hAnsi="仿宋_GB2312" w:eastAsia="仿宋_GB2312" w:cs="仿宋_GB2312"/>
          <w:color w:val="auto"/>
          <w:sz w:val="32"/>
          <w:szCs w:val="32"/>
          <w:highlight w:val="none"/>
          <w:lang w:eastAsia="zh-CN"/>
        </w:rPr>
        <w:t>；</w:t>
      </w:r>
    </w:p>
    <w:p w14:paraId="4CC232B4">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4、确定逐层防火安全责任，同意实行防火安全制度和保障防火安全的操作规程</w:t>
      </w:r>
      <w:r>
        <w:rPr>
          <w:rFonts w:hint="eastAsia" w:ascii="仿宋_GB2312" w:hAnsi="仿宋_GB2312" w:eastAsia="仿宋_GB2312" w:cs="仿宋_GB2312"/>
          <w:color w:val="auto"/>
          <w:sz w:val="32"/>
          <w:szCs w:val="32"/>
          <w:highlight w:val="none"/>
          <w:lang w:eastAsia="zh-CN"/>
        </w:rPr>
        <w:t>；</w:t>
      </w:r>
    </w:p>
    <w:p w14:paraId="474DA46D">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5、组织防火检查，督促贯彻火灾隐患整改，及时处理波及防火安全的重大问题</w:t>
      </w:r>
      <w:r>
        <w:rPr>
          <w:rFonts w:hint="eastAsia" w:ascii="仿宋_GB2312" w:hAnsi="仿宋_GB2312" w:eastAsia="仿宋_GB2312" w:cs="仿宋_GB2312"/>
          <w:color w:val="auto"/>
          <w:sz w:val="32"/>
          <w:szCs w:val="32"/>
          <w:highlight w:val="none"/>
          <w:lang w:eastAsia="zh-CN"/>
        </w:rPr>
        <w:t>；</w:t>
      </w:r>
    </w:p>
    <w:p w14:paraId="78B78BAD">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6、根据森林防火法规的规定建立</w:t>
      </w:r>
      <w:r>
        <w:rPr>
          <w:rFonts w:hint="eastAsia" w:ascii="仿宋_GB2312" w:hAnsi="仿宋_GB2312" w:eastAsia="仿宋_GB2312" w:cs="仿宋_GB2312"/>
          <w:color w:val="auto"/>
          <w:sz w:val="32"/>
          <w:szCs w:val="32"/>
          <w:highlight w:val="none"/>
          <w:lang w:val="en-US" w:eastAsia="zh-CN"/>
        </w:rPr>
        <w:t>应急巡查组</w:t>
      </w:r>
      <w:r>
        <w:rPr>
          <w:rFonts w:hint="eastAsia" w:ascii="仿宋_GB2312" w:hAnsi="仿宋_GB2312" w:eastAsia="仿宋_GB2312" w:cs="仿宋_GB2312"/>
          <w:color w:val="auto"/>
          <w:sz w:val="32"/>
          <w:szCs w:val="32"/>
          <w:highlight w:val="none"/>
          <w:lang w:eastAsia="zh-CN"/>
        </w:rPr>
        <w:t>；</w:t>
      </w:r>
    </w:p>
    <w:p w14:paraId="1D7E01CE">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7、组织制定符合本新型集体林场实际的灭火和应急疏散预案，并实行演习。</w:t>
      </w:r>
    </w:p>
    <w:p w14:paraId="23BF9611">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第九条 森林防火安全管理人员重要职责</w:t>
      </w:r>
    </w:p>
    <w:p w14:paraId="313A3FC8">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1、在新型集体林场防火领导小组的领导下，全面负责监督、检查、管理责任区的防火工作</w:t>
      </w:r>
      <w:r>
        <w:rPr>
          <w:rFonts w:hint="eastAsia" w:ascii="仿宋_GB2312" w:hAnsi="仿宋_GB2312" w:eastAsia="仿宋_GB2312" w:cs="仿宋_GB2312"/>
          <w:color w:val="auto"/>
          <w:sz w:val="32"/>
          <w:szCs w:val="32"/>
          <w:highlight w:val="none"/>
          <w:lang w:eastAsia="zh-CN"/>
        </w:rPr>
        <w:t>；</w:t>
      </w:r>
    </w:p>
    <w:p w14:paraId="5EDB04E4">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2、定期向新型集体林场防火领导小组汇报</w:t>
      </w:r>
      <w:r>
        <w:rPr>
          <w:rFonts w:hint="eastAsia" w:ascii="仿宋_GB2312" w:hAnsi="仿宋_GB2312" w:eastAsia="仿宋_GB2312" w:cs="仿宋_GB2312"/>
          <w:color w:val="auto"/>
          <w:sz w:val="32"/>
          <w:szCs w:val="32"/>
          <w:highlight w:val="none"/>
          <w:lang w:val="en-US" w:eastAsia="zh-CN"/>
        </w:rPr>
        <w:t>应急巡查组</w:t>
      </w:r>
      <w:r>
        <w:rPr>
          <w:rFonts w:hint="eastAsia" w:ascii="仿宋_GB2312" w:hAnsi="仿宋_GB2312" w:eastAsia="仿宋_GB2312" w:cs="仿宋_GB2312"/>
          <w:color w:val="auto"/>
          <w:sz w:val="32"/>
          <w:szCs w:val="32"/>
          <w:highlight w:val="none"/>
        </w:rPr>
        <w:t>的防火工作状况，提出防火工作实行计划</w:t>
      </w:r>
      <w:r>
        <w:rPr>
          <w:rFonts w:hint="eastAsia" w:ascii="仿宋_GB2312" w:hAnsi="仿宋_GB2312" w:eastAsia="仿宋_GB2312" w:cs="仿宋_GB2312"/>
          <w:color w:val="auto"/>
          <w:sz w:val="32"/>
          <w:szCs w:val="32"/>
          <w:highlight w:val="none"/>
          <w:lang w:eastAsia="zh-CN"/>
        </w:rPr>
        <w:t>；</w:t>
      </w:r>
    </w:p>
    <w:p w14:paraId="7DA6537C">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3、对职工进行防火安全知识教育与普及</w:t>
      </w:r>
      <w:r>
        <w:rPr>
          <w:rFonts w:hint="eastAsia" w:ascii="仿宋_GB2312" w:hAnsi="仿宋_GB2312" w:eastAsia="仿宋_GB2312" w:cs="仿宋_GB2312"/>
          <w:color w:val="auto"/>
          <w:sz w:val="32"/>
          <w:szCs w:val="32"/>
          <w:highlight w:val="none"/>
          <w:lang w:eastAsia="zh-CN"/>
        </w:rPr>
        <w:t>；</w:t>
      </w:r>
    </w:p>
    <w:p w14:paraId="5918B2BC">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4、组织安全检查，查出的隐患及时填写整改告知单，并对整改状况负责复查验收，对重点禁火部位动火实行监护</w:t>
      </w:r>
      <w:r>
        <w:rPr>
          <w:rFonts w:hint="eastAsia" w:ascii="仿宋_GB2312" w:hAnsi="仿宋_GB2312" w:eastAsia="仿宋_GB2312" w:cs="仿宋_GB2312"/>
          <w:color w:val="auto"/>
          <w:sz w:val="32"/>
          <w:szCs w:val="32"/>
          <w:highlight w:val="none"/>
          <w:lang w:eastAsia="zh-CN"/>
        </w:rPr>
        <w:t>；</w:t>
      </w:r>
    </w:p>
    <w:p w14:paraId="332D8874">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5、对重大火险隐患及时向新型集体林场领导汇报，并督促</w:t>
      </w:r>
      <w:r>
        <w:rPr>
          <w:rFonts w:hint="eastAsia" w:ascii="仿宋_GB2312" w:hAnsi="仿宋_GB2312" w:eastAsia="仿宋_GB2312" w:cs="仿宋_GB2312"/>
          <w:color w:val="auto"/>
          <w:sz w:val="32"/>
          <w:szCs w:val="32"/>
          <w:highlight w:val="none"/>
          <w:lang w:val="en-US" w:eastAsia="zh-CN"/>
        </w:rPr>
        <w:t>应急巡查部</w:t>
      </w:r>
      <w:r>
        <w:rPr>
          <w:rFonts w:hint="eastAsia" w:ascii="仿宋_GB2312" w:hAnsi="仿宋_GB2312" w:eastAsia="仿宋_GB2312" w:cs="仿宋_GB2312"/>
          <w:color w:val="auto"/>
          <w:sz w:val="32"/>
          <w:szCs w:val="32"/>
          <w:highlight w:val="none"/>
        </w:rPr>
        <w:t>有关人员采取临时紧急措施，防止事故发生</w:t>
      </w:r>
      <w:r>
        <w:rPr>
          <w:rFonts w:hint="eastAsia" w:ascii="仿宋_GB2312" w:hAnsi="仿宋_GB2312" w:eastAsia="仿宋_GB2312" w:cs="仿宋_GB2312"/>
          <w:color w:val="auto"/>
          <w:sz w:val="32"/>
          <w:szCs w:val="32"/>
          <w:highlight w:val="none"/>
          <w:lang w:eastAsia="zh-CN"/>
        </w:rPr>
        <w:t>；</w:t>
      </w:r>
    </w:p>
    <w:p w14:paraId="4EEF6DBC">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6、一旦发生火灾，应及时赶赴现场组织扑救，做好善后处理工作，调查状况，分析原因，明确责任</w:t>
      </w:r>
      <w:r>
        <w:rPr>
          <w:rFonts w:hint="eastAsia" w:ascii="仿宋_GB2312" w:hAnsi="仿宋_GB2312" w:eastAsia="仿宋_GB2312" w:cs="仿宋_GB2312"/>
          <w:color w:val="auto"/>
          <w:sz w:val="32"/>
          <w:szCs w:val="32"/>
          <w:highlight w:val="none"/>
          <w:lang w:eastAsia="zh-CN"/>
        </w:rPr>
        <w:t>；</w:t>
      </w:r>
    </w:p>
    <w:p w14:paraId="116F5DE4">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7、对防火工作中成绩显</w:t>
      </w:r>
      <w:r>
        <w:rPr>
          <w:rFonts w:hint="eastAsia" w:ascii="仿宋_GB2312" w:hAnsi="仿宋_GB2312" w:eastAsia="仿宋_GB2312" w:cs="仿宋_GB2312"/>
          <w:color w:val="auto"/>
          <w:sz w:val="32"/>
          <w:szCs w:val="32"/>
          <w:highlight w:val="none"/>
          <w:lang w:eastAsia="zh-CN"/>
        </w:rPr>
        <w:t>著</w:t>
      </w:r>
      <w:r>
        <w:rPr>
          <w:rFonts w:hint="eastAsia" w:ascii="仿宋_GB2312" w:hAnsi="仿宋_GB2312" w:eastAsia="仿宋_GB2312" w:cs="仿宋_GB2312"/>
          <w:color w:val="auto"/>
          <w:sz w:val="32"/>
          <w:szCs w:val="32"/>
          <w:highlight w:val="none"/>
        </w:rPr>
        <w:t>的个人提出表扬和奖励。对违反防火安全制度，导致火灾事故的责任者，按情节轻重提出处理意见</w:t>
      </w:r>
      <w:r>
        <w:rPr>
          <w:rFonts w:hint="eastAsia" w:ascii="仿宋_GB2312" w:hAnsi="仿宋_GB2312" w:eastAsia="仿宋_GB2312" w:cs="仿宋_GB2312"/>
          <w:color w:val="auto"/>
          <w:sz w:val="32"/>
          <w:szCs w:val="32"/>
          <w:highlight w:val="none"/>
          <w:lang w:eastAsia="zh-CN"/>
        </w:rPr>
        <w:t>。</w:t>
      </w:r>
    </w:p>
    <w:p w14:paraId="6D45A0B8">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第十条 森林防火专</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兼</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职管理人员职责</w:t>
      </w:r>
    </w:p>
    <w:p w14:paraId="10E72837">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1、在</w:t>
      </w:r>
      <w:r>
        <w:rPr>
          <w:rFonts w:hint="eastAsia" w:ascii="仿宋_GB2312" w:hAnsi="仿宋_GB2312" w:eastAsia="仿宋_GB2312" w:cs="仿宋_GB2312"/>
          <w:color w:val="auto"/>
          <w:sz w:val="32"/>
          <w:szCs w:val="32"/>
          <w:highlight w:val="none"/>
          <w:lang w:val="en-US" w:eastAsia="zh-CN"/>
        </w:rPr>
        <w:t>场长</w:t>
      </w:r>
      <w:r>
        <w:rPr>
          <w:rFonts w:hint="eastAsia" w:ascii="仿宋_GB2312" w:hAnsi="仿宋_GB2312" w:eastAsia="仿宋_GB2312" w:cs="仿宋_GB2312"/>
          <w:color w:val="auto"/>
          <w:sz w:val="32"/>
          <w:szCs w:val="32"/>
          <w:highlight w:val="none"/>
        </w:rPr>
        <w:t>的领导下，负责</w:t>
      </w:r>
      <w:r>
        <w:rPr>
          <w:rFonts w:hint="eastAsia" w:ascii="仿宋_GB2312" w:hAnsi="仿宋_GB2312" w:eastAsia="仿宋_GB2312" w:cs="仿宋_GB2312"/>
          <w:color w:val="auto"/>
          <w:sz w:val="32"/>
          <w:szCs w:val="32"/>
          <w:highlight w:val="none"/>
          <w:lang w:val="en-US" w:eastAsia="zh-CN"/>
        </w:rPr>
        <w:t>新型集体林场所管辖的区域</w:t>
      </w:r>
      <w:r>
        <w:rPr>
          <w:rFonts w:hint="eastAsia" w:ascii="仿宋_GB2312" w:hAnsi="仿宋_GB2312" w:eastAsia="仿宋_GB2312" w:cs="仿宋_GB2312"/>
          <w:color w:val="auto"/>
          <w:sz w:val="32"/>
          <w:szCs w:val="32"/>
          <w:highlight w:val="none"/>
        </w:rPr>
        <w:t>的消防安全工作</w:t>
      </w:r>
      <w:r>
        <w:rPr>
          <w:rFonts w:hint="eastAsia" w:ascii="仿宋_GB2312" w:hAnsi="仿宋_GB2312" w:eastAsia="仿宋_GB2312" w:cs="仿宋_GB2312"/>
          <w:color w:val="auto"/>
          <w:sz w:val="32"/>
          <w:szCs w:val="32"/>
          <w:highlight w:val="none"/>
          <w:lang w:eastAsia="zh-CN"/>
        </w:rPr>
        <w:t>；</w:t>
      </w:r>
    </w:p>
    <w:p w14:paraId="4E561104">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2、严格执行《中华人民共和国森林法》《森林防火条例》等法规以及新型集体林场的消防安全管理制度</w:t>
      </w:r>
      <w:r>
        <w:rPr>
          <w:rFonts w:hint="eastAsia" w:ascii="仿宋_GB2312" w:hAnsi="仿宋_GB2312" w:eastAsia="仿宋_GB2312" w:cs="仿宋_GB2312"/>
          <w:color w:val="auto"/>
          <w:sz w:val="32"/>
          <w:szCs w:val="32"/>
          <w:highlight w:val="none"/>
          <w:lang w:eastAsia="zh-CN"/>
        </w:rPr>
        <w:t>；</w:t>
      </w:r>
    </w:p>
    <w:p w14:paraId="56106208">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3、钻研防火业务知识，积极开展防火宣传，在职工中普及防火知识；</w:t>
      </w:r>
    </w:p>
    <w:p w14:paraId="5AFE2359">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4、组织开展检查、宣传、整改等防火安全管理工作，做好器材建卡、</w:t>
      </w:r>
      <w:r>
        <w:rPr>
          <w:rFonts w:hint="eastAsia" w:ascii="仿宋_GB2312" w:hAnsi="仿宋_GB2312" w:eastAsia="仿宋_GB2312" w:cs="仿宋_GB2312"/>
          <w:color w:val="auto"/>
          <w:sz w:val="32"/>
          <w:szCs w:val="32"/>
          <w:highlight w:val="none"/>
          <w:lang w:eastAsia="zh-CN"/>
        </w:rPr>
        <w:t>立账</w:t>
      </w:r>
      <w:r>
        <w:rPr>
          <w:rFonts w:hint="eastAsia" w:ascii="仿宋_GB2312" w:hAnsi="仿宋_GB2312" w:eastAsia="仿宋_GB2312" w:cs="仿宋_GB2312"/>
          <w:color w:val="auto"/>
          <w:sz w:val="32"/>
          <w:szCs w:val="32"/>
          <w:highlight w:val="none"/>
        </w:rPr>
        <w:t>、资料归档工作</w:t>
      </w:r>
      <w:r>
        <w:rPr>
          <w:rFonts w:hint="eastAsia" w:ascii="仿宋_GB2312" w:hAnsi="仿宋_GB2312" w:eastAsia="仿宋_GB2312" w:cs="仿宋_GB2312"/>
          <w:color w:val="auto"/>
          <w:sz w:val="32"/>
          <w:szCs w:val="32"/>
          <w:highlight w:val="none"/>
          <w:lang w:eastAsia="zh-CN"/>
        </w:rPr>
        <w:t>；</w:t>
      </w:r>
    </w:p>
    <w:p w14:paraId="573B33EC">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5、切实管好电源、火源和化学危险物品，贯彻各项防火安全措施</w:t>
      </w:r>
      <w:r>
        <w:rPr>
          <w:rFonts w:hint="eastAsia" w:ascii="仿宋_GB2312" w:hAnsi="仿宋_GB2312" w:eastAsia="仿宋_GB2312" w:cs="仿宋_GB2312"/>
          <w:color w:val="auto"/>
          <w:sz w:val="32"/>
          <w:szCs w:val="32"/>
          <w:highlight w:val="none"/>
          <w:lang w:eastAsia="zh-CN"/>
        </w:rPr>
        <w:t>；</w:t>
      </w:r>
    </w:p>
    <w:p w14:paraId="489CE156">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6、负责管理</w:t>
      </w:r>
      <w:r>
        <w:rPr>
          <w:rFonts w:hint="eastAsia" w:ascii="仿宋_GB2312" w:hAnsi="仿宋_GB2312" w:eastAsia="仿宋_GB2312" w:cs="仿宋_GB2312"/>
          <w:color w:val="auto"/>
          <w:sz w:val="32"/>
          <w:szCs w:val="32"/>
          <w:highlight w:val="none"/>
          <w:lang w:val="en-US" w:eastAsia="zh-CN"/>
        </w:rPr>
        <w:t>应急巡查组</w:t>
      </w:r>
      <w:r>
        <w:rPr>
          <w:rFonts w:hint="eastAsia" w:ascii="仿宋_GB2312" w:hAnsi="仿宋_GB2312" w:eastAsia="仿宋_GB2312" w:cs="仿宋_GB2312"/>
          <w:color w:val="auto"/>
          <w:sz w:val="32"/>
          <w:szCs w:val="32"/>
          <w:highlight w:val="none"/>
        </w:rPr>
        <w:t>的工作，指导业务训练和灭火演习，提高自救能力</w:t>
      </w:r>
      <w:r>
        <w:rPr>
          <w:rFonts w:hint="eastAsia" w:ascii="仿宋_GB2312" w:hAnsi="仿宋_GB2312" w:eastAsia="仿宋_GB2312" w:cs="仿宋_GB2312"/>
          <w:color w:val="auto"/>
          <w:sz w:val="32"/>
          <w:szCs w:val="32"/>
          <w:highlight w:val="none"/>
          <w:lang w:eastAsia="zh-CN"/>
        </w:rPr>
        <w:t>；</w:t>
      </w:r>
    </w:p>
    <w:p w14:paraId="65CF5647">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7、定期与不定期</w:t>
      </w:r>
      <w:r>
        <w:rPr>
          <w:rFonts w:hint="eastAsia" w:ascii="仿宋_GB2312" w:hAnsi="仿宋_GB2312" w:eastAsia="仿宋_GB2312" w:cs="仿宋_GB2312"/>
          <w:color w:val="auto"/>
          <w:sz w:val="32"/>
          <w:szCs w:val="32"/>
          <w:highlight w:val="none"/>
          <w:lang w:eastAsia="zh-CN"/>
        </w:rPr>
        <w:t>地</w:t>
      </w:r>
      <w:r>
        <w:rPr>
          <w:rFonts w:hint="eastAsia" w:ascii="仿宋_GB2312" w:hAnsi="仿宋_GB2312" w:eastAsia="仿宋_GB2312" w:cs="仿宋_GB2312"/>
          <w:color w:val="auto"/>
          <w:sz w:val="32"/>
          <w:szCs w:val="32"/>
          <w:highlight w:val="none"/>
        </w:rPr>
        <w:t>开展防火安全检查，发现火险隐患及时整改，重大隐患及时上报</w:t>
      </w:r>
      <w:r>
        <w:rPr>
          <w:rFonts w:hint="eastAsia" w:ascii="仿宋_GB2312" w:hAnsi="仿宋_GB2312" w:eastAsia="仿宋_GB2312" w:cs="仿宋_GB2312"/>
          <w:color w:val="auto"/>
          <w:sz w:val="32"/>
          <w:szCs w:val="32"/>
          <w:highlight w:val="none"/>
          <w:lang w:eastAsia="zh-CN"/>
        </w:rPr>
        <w:t>；</w:t>
      </w:r>
    </w:p>
    <w:p w14:paraId="2F737DDE">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8、发生火灾事故及时上报，查明原因，分清责任，吸取教训，做到“三不放过”</w:t>
      </w:r>
      <w:r>
        <w:rPr>
          <w:rFonts w:hint="eastAsia" w:ascii="仿宋_GB2312" w:hAnsi="仿宋_GB2312" w:eastAsia="仿宋_GB2312" w:cs="仿宋_GB2312"/>
          <w:color w:val="auto"/>
          <w:sz w:val="32"/>
          <w:szCs w:val="32"/>
          <w:highlight w:val="none"/>
          <w:lang w:eastAsia="zh-CN"/>
        </w:rPr>
        <w:t>。</w:t>
      </w:r>
    </w:p>
    <w:p w14:paraId="5AE8B4AA">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29" w:name="_Toc8447"/>
      <w:bookmarkStart w:id="130" w:name="_Toc22707"/>
      <w:bookmarkStart w:id="131" w:name="_Toc2772"/>
      <w:bookmarkStart w:id="132" w:name="_Toc30793"/>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第四章 有关职责</w:t>
      </w:r>
      <w:bookmarkEnd w:id="129"/>
      <w:bookmarkEnd w:id="130"/>
      <w:bookmarkEnd w:id="131"/>
      <w:bookmarkEnd w:id="132"/>
    </w:p>
    <w:p w14:paraId="303977CC">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第十一条 办公场所防火安全职责</w:t>
      </w:r>
    </w:p>
    <w:p w14:paraId="3B24EB2A">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1、办公室内不准使用</w:t>
      </w:r>
      <w:r>
        <w:rPr>
          <w:rFonts w:hint="eastAsia" w:ascii="仿宋_GB2312" w:hAnsi="仿宋_GB2312" w:eastAsia="仿宋_GB2312" w:cs="仿宋_GB2312"/>
          <w:color w:val="auto"/>
          <w:sz w:val="32"/>
          <w:szCs w:val="32"/>
          <w:highlight w:val="none"/>
          <w:lang w:val="en-US" w:eastAsia="zh-CN"/>
        </w:rPr>
        <w:t>明</w:t>
      </w:r>
      <w:r>
        <w:rPr>
          <w:rFonts w:hint="eastAsia" w:ascii="仿宋_GB2312" w:hAnsi="仿宋_GB2312" w:eastAsia="仿宋_GB2312" w:cs="仿宋_GB2312"/>
          <w:color w:val="auto"/>
          <w:sz w:val="32"/>
          <w:szCs w:val="32"/>
          <w:highlight w:val="none"/>
        </w:rPr>
        <w:t>火、电炉和其他电器加热取暖</w:t>
      </w:r>
      <w:r>
        <w:rPr>
          <w:rFonts w:hint="eastAsia" w:ascii="仿宋_GB2312" w:hAnsi="仿宋_GB2312" w:eastAsia="仿宋_GB2312" w:cs="仿宋_GB2312"/>
          <w:color w:val="auto"/>
          <w:sz w:val="32"/>
          <w:szCs w:val="32"/>
          <w:highlight w:val="none"/>
          <w:lang w:eastAsia="zh-CN"/>
        </w:rPr>
        <w:t>；</w:t>
      </w:r>
    </w:p>
    <w:p w14:paraId="46ED236B">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2、不得将易燃、易爆物品带入办公室</w:t>
      </w:r>
      <w:r>
        <w:rPr>
          <w:rFonts w:hint="eastAsia" w:ascii="仿宋_GB2312" w:hAnsi="仿宋_GB2312" w:eastAsia="仿宋_GB2312" w:cs="仿宋_GB2312"/>
          <w:color w:val="auto"/>
          <w:sz w:val="32"/>
          <w:szCs w:val="32"/>
          <w:highlight w:val="none"/>
          <w:lang w:eastAsia="zh-CN"/>
        </w:rPr>
        <w:t>；</w:t>
      </w:r>
    </w:p>
    <w:p w14:paraId="561CDB43">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3、办公室内不得燃烧纸屑等物品</w:t>
      </w:r>
      <w:r>
        <w:rPr>
          <w:rFonts w:hint="eastAsia" w:ascii="仿宋_GB2312" w:hAnsi="仿宋_GB2312" w:eastAsia="仿宋_GB2312" w:cs="仿宋_GB2312"/>
          <w:color w:val="auto"/>
          <w:sz w:val="32"/>
          <w:szCs w:val="32"/>
          <w:highlight w:val="none"/>
          <w:lang w:eastAsia="zh-CN"/>
        </w:rPr>
        <w:t>；</w:t>
      </w:r>
    </w:p>
    <w:p w14:paraId="53852B72">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4、吸烟时烟头应丢入烟缸内，严禁乱丢</w:t>
      </w:r>
      <w:r>
        <w:rPr>
          <w:rFonts w:hint="eastAsia" w:ascii="仿宋_GB2312" w:hAnsi="仿宋_GB2312" w:eastAsia="仿宋_GB2312" w:cs="仿宋_GB2312"/>
          <w:color w:val="auto"/>
          <w:sz w:val="32"/>
          <w:szCs w:val="32"/>
          <w:highlight w:val="none"/>
          <w:lang w:eastAsia="zh-CN"/>
        </w:rPr>
        <w:t>；</w:t>
      </w:r>
    </w:p>
    <w:p w14:paraId="60F4FF00">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5、下班前切断电源，检查火种，消除隐患，保证万无一失</w:t>
      </w:r>
      <w:r>
        <w:rPr>
          <w:rFonts w:hint="eastAsia" w:ascii="仿宋_GB2312" w:hAnsi="仿宋_GB2312" w:eastAsia="仿宋_GB2312" w:cs="仿宋_GB2312"/>
          <w:color w:val="auto"/>
          <w:sz w:val="32"/>
          <w:szCs w:val="32"/>
          <w:highlight w:val="none"/>
          <w:lang w:eastAsia="zh-CN"/>
        </w:rPr>
        <w:t>；</w:t>
      </w:r>
    </w:p>
    <w:p w14:paraId="33AF137E">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6、办公室人员有义务和责任配合监督管理新型集体林场、应急巡查组的防火安全工作。</w:t>
      </w:r>
    </w:p>
    <w:p w14:paraId="3A02FCB3">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第十二条 配电室防火安全职责</w:t>
      </w:r>
    </w:p>
    <w:p w14:paraId="0E505F9F">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1、新型集体林场从事配电室工作人员必须通过专业培训持证上岗</w:t>
      </w:r>
      <w:r>
        <w:rPr>
          <w:rFonts w:hint="eastAsia" w:ascii="仿宋_GB2312" w:hAnsi="仿宋_GB2312" w:eastAsia="仿宋_GB2312" w:cs="仿宋_GB2312"/>
          <w:color w:val="auto"/>
          <w:sz w:val="32"/>
          <w:szCs w:val="32"/>
          <w:highlight w:val="none"/>
          <w:lang w:eastAsia="zh-CN"/>
        </w:rPr>
        <w:t>；</w:t>
      </w:r>
    </w:p>
    <w:p w14:paraId="3A9CD7A2">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2、严格遵守操作规程和防火制度，值班人员不得擅离职守，无关人员不准入内，设置出入登记</w:t>
      </w:r>
      <w:r>
        <w:rPr>
          <w:rFonts w:hint="eastAsia" w:ascii="仿宋_GB2312" w:hAnsi="仿宋_GB2312" w:eastAsia="仿宋_GB2312" w:cs="仿宋_GB2312"/>
          <w:color w:val="auto"/>
          <w:sz w:val="32"/>
          <w:szCs w:val="32"/>
          <w:highlight w:val="none"/>
          <w:lang w:eastAsia="zh-CN"/>
        </w:rPr>
        <w:t>；</w:t>
      </w:r>
    </w:p>
    <w:p w14:paraId="4D57EDFB">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3、配电室内应保持整洁，不得寄存易燃品和食物，设备上不悬挂或覆盖衣物</w:t>
      </w:r>
      <w:r>
        <w:rPr>
          <w:rFonts w:hint="eastAsia" w:ascii="仿宋_GB2312" w:hAnsi="仿宋_GB2312" w:eastAsia="仿宋_GB2312" w:cs="仿宋_GB2312"/>
          <w:color w:val="auto"/>
          <w:sz w:val="32"/>
          <w:szCs w:val="32"/>
          <w:highlight w:val="none"/>
          <w:lang w:eastAsia="zh-CN"/>
        </w:rPr>
        <w:t>；</w:t>
      </w:r>
    </w:p>
    <w:p w14:paraId="67479DD6">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4、配电室纱门窗进出关闭，防止小动物进入而发生设备火灾事故</w:t>
      </w:r>
      <w:r>
        <w:rPr>
          <w:rFonts w:hint="eastAsia" w:ascii="仿宋_GB2312" w:hAnsi="仿宋_GB2312" w:eastAsia="仿宋_GB2312" w:cs="仿宋_GB2312"/>
          <w:color w:val="auto"/>
          <w:sz w:val="32"/>
          <w:szCs w:val="32"/>
          <w:highlight w:val="none"/>
          <w:lang w:eastAsia="zh-CN"/>
        </w:rPr>
        <w:t>；</w:t>
      </w:r>
    </w:p>
    <w:p w14:paraId="47E051B6">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5、检查配电设备及电气线路，发现故障及时查明原因，予以排除，并及时向有关部门汇报</w:t>
      </w:r>
      <w:r>
        <w:rPr>
          <w:rFonts w:hint="eastAsia" w:ascii="仿宋_GB2312" w:hAnsi="仿宋_GB2312" w:eastAsia="仿宋_GB2312" w:cs="仿宋_GB2312"/>
          <w:color w:val="auto"/>
          <w:sz w:val="32"/>
          <w:szCs w:val="32"/>
          <w:highlight w:val="none"/>
          <w:lang w:eastAsia="zh-CN"/>
        </w:rPr>
        <w:t>；</w:t>
      </w:r>
    </w:p>
    <w:p w14:paraId="61D7B74F">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6、遇有特殊状况如火灾，水灾等灾害事故，配电室工作人员可根据</w:t>
      </w:r>
      <w:r>
        <w:rPr>
          <w:rFonts w:hint="eastAsia" w:ascii="仿宋_GB2312" w:hAnsi="仿宋_GB2312" w:eastAsia="仿宋_GB2312" w:cs="仿宋_GB2312"/>
          <w:color w:val="auto"/>
          <w:sz w:val="32"/>
          <w:szCs w:val="32"/>
          <w:highlight w:val="none"/>
          <w:lang w:val="en-US" w:eastAsia="zh-CN"/>
        </w:rPr>
        <w:t>相关负责人</w:t>
      </w:r>
      <w:r>
        <w:rPr>
          <w:rFonts w:hint="eastAsia" w:ascii="仿宋_GB2312" w:hAnsi="仿宋_GB2312" w:eastAsia="仿宋_GB2312" w:cs="仿宋_GB2312"/>
          <w:color w:val="auto"/>
          <w:sz w:val="32"/>
          <w:szCs w:val="32"/>
          <w:highlight w:val="none"/>
        </w:rPr>
        <w:t>决定而停止供电或恢复供电</w:t>
      </w:r>
      <w:r>
        <w:rPr>
          <w:rFonts w:hint="eastAsia" w:ascii="仿宋_GB2312" w:hAnsi="仿宋_GB2312" w:eastAsia="仿宋_GB2312" w:cs="仿宋_GB2312"/>
          <w:color w:val="auto"/>
          <w:sz w:val="32"/>
          <w:szCs w:val="32"/>
          <w:highlight w:val="none"/>
          <w:lang w:eastAsia="zh-CN"/>
        </w:rPr>
        <w:t>；</w:t>
      </w:r>
    </w:p>
    <w:p w14:paraId="5F1400B4">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pacing w:val="-6"/>
          <w:sz w:val="32"/>
          <w:szCs w:val="32"/>
          <w:highlight w:val="none"/>
        </w:rPr>
        <w:t>工作人员必须懂得电气火灾的扑救和灭火器材的使用。</w:t>
      </w:r>
    </w:p>
    <w:p w14:paraId="297ED5D5">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第十三条 汽车库防火安全职责</w:t>
      </w:r>
    </w:p>
    <w:p w14:paraId="597EDC2E">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1、汽车库内不得寄存易燃易爆物品</w:t>
      </w:r>
      <w:r>
        <w:rPr>
          <w:rFonts w:hint="eastAsia" w:ascii="仿宋_GB2312" w:hAnsi="仿宋_GB2312" w:eastAsia="仿宋_GB2312" w:cs="仿宋_GB2312"/>
          <w:color w:val="auto"/>
          <w:sz w:val="32"/>
          <w:szCs w:val="32"/>
          <w:highlight w:val="none"/>
          <w:lang w:eastAsia="zh-CN"/>
        </w:rPr>
        <w:t>；</w:t>
      </w:r>
    </w:p>
    <w:p w14:paraId="45EEDC69">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2、汽车进入库区应服从管理，按序停车</w:t>
      </w:r>
      <w:r>
        <w:rPr>
          <w:rFonts w:hint="eastAsia" w:ascii="仿宋_GB2312" w:hAnsi="仿宋_GB2312" w:eastAsia="仿宋_GB2312" w:cs="仿宋_GB2312"/>
          <w:color w:val="auto"/>
          <w:sz w:val="32"/>
          <w:szCs w:val="32"/>
          <w:highlight w:val="none"/>
          <w:lang w:eastAsia="zh-CN"/>
        </w:rPr>
        <w:t>；</w:t>
      </w:r>
    </w:p>
    <w:p w14:paraId="5E0E6787">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3、汽车应按明显标识出入，严禁</w:t>
      </w:r>
      <w:r>
        <w:rPr>
          <w:rFonts w:hint="eastAsia" w:ascii="仿宋_GB2312" w:hAnsi="仿宋_GB2312" w:eastAsia="仿宋_GB2312" w:cs="仿宋_GB2312"/>
          <w:color w:val="auto"/>
          <w:sz w:val="32"/>
          <w:szCs w:val="32"/>
          <w:highlight w:val="none"/>
          <w:lang w:eastAsia="zh-CN"/>
        </w:rPr>
        <w:t>逆向</w:t>
      </w:r>
      <w:r>
        <w:rPr>
          <w:rFonts w:hint="eastAsia" w:ascii="仿宋_GB2312" w:hAnsi="仿宋_GB2312" w:eastAsia="仿宋_GB2312" w:cs="仿宋_GB2312"/>
          <w:color w:val="auto"/>
          <w:sz w:val="32"/>
          <w:szCs w:val="32"/>
          <w:highlight w:val="none"/>
        </w:rPr>
        <w:t>行驶</w:t>
      </w:r>
      <w:r>
        <w:rPr>
          <w:rFonts w:hint="eastAsia" w:ascii="仿宋_GB2312" w:hAnsi="仿宋_GB2312" w:eastAsia="仿宋_GB2312" w:cs="仿宋_GB2312"/>
          <w:color w:val="auto"/>
          <w:sz w:val="32"/>
          <w:szCs w:val="32"/>
          <w:highlight w:val="none"/>
          <w:lang w:eastAsia="zh-CN"/>
        </w:rPr>
        <w:t>；</w:t>
      </w:r>
    </w:p>
    <w:p w14:paraId="212C0D95">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4、汽车库内严禁吸烟和动用明火</w:t>
      </w:r>
      <w:r>
        <w:rPr>
          <w:rFonts w:hint="eastAsia" w:ascii="仿宋_GB2312" w:hAnsi="仿宋_GB2312" w:eastAsia="仿宋_GB2312" w:cs="仿宋_GB2312"/>
          <w:color w:val="auto"/>
          <w:sz w:val="32"/>
          <w:szCs w:val="32"/>
          <w:highlight w:val="none"/>
          <w:lang w:eastAsia="zh-CN"/>
        </w:rPr>
        <w:t>；</w:t>
      </w:r>
    </w:p>
    <w:p w14:paraId="2F95ECDC">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5、汽车库内严禁进行电焊、气焊操作，工作人员应检查汽车</w:t>
      </w:r>
      <w:r>
        <w:rPr>
          <w:rFonts w:hint="eastAsia" w:ascii="仿宋_GB2312" w:hAnsi="仿宋_GB2312" w:eastAsia="仿宋_GB2312" w:cs="仿宋_GB2312"/>
          <w:color w:val="auto"/>
          <w:sz w:val="32"/>
          <w:szCs w:val="32"/>
          <w:highlight w:val="none"/>
          <w:lang w:eastAsia="zh-CN"/>
        </w:rPr>
        <w:t>是否有</w:t>
      </w:r>
      <w:r>
        <w:rPr>
          <w:rFonts w:hint="eastAsia" w:ascii="仿宋_GB2312" w:hAnsi="仿宋_GB2312" w:eastAsia="仿宋_GB2312" w:cs="仿宋_GB2312"/>
          <w:color w:val="auto"/>
          <w:sz w:val="32"/>
          <w:szCs w:val="32"/>
          <w:highlight w:val="none"/>
        </w:rPr>
        <w:t>漏油现象，并及时处置</w:t>
      </w:r>
      <w:r>
        <w:rPr>
          <w:rFonts w:hint="eastAsia" w:ascii="仿宋_GB2312" w:hAnsi="仿宋_GB2312" w:eastAsia="仿宋_GB2312" w:cs="仿宋_GB2312"/>
          <w:color w:val="auto"/>
          <w:sz w:val="32"/>
          <w:szCs w:val="32"/>
          <w:highlight w:val="none"/>
          <w:lang w:eastAsia="zh-CN"/>
        </w:rPr>
        <w:t>；</w:t>
      </w:r>
    </w:p>
    <w:p w14:paraId="303674EC">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6、装有危险品的车辆严禁停放过夜</w:t>
      </w:r>
      <w:r>
        <w:rPr>
          <w:rFonts w:hint="eastAsia" w:ascii="仿宋_GB2312" w:hAnsi="仿宋_GB2312" w:eastAsia="仿宋_GB2312" w:cs="仿宋_GB2312"/>
          <w:color w:val="auto"/>
          <w:sz w:val="32"/>
          <w:szCs w:val="32"/>
          <w:highlight w:val="none"/>
          <w:lang w:eastAsia="zh-CN"/>
        </w:rPr>
        <w:t>；</w:t>
      </w:r>
    </w:p>
    <w:p w14:paraId="38645188">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7、汽车库工作人员要掌握灭火器材的使用措施</w:t>
      </w:r>
      <w:r>
        <w:rPr>
          <w:rFonts w:hint="eastAsia" w:ascii="仿宋_GB2312" w:hAnsi="仿宋_GB2312" w:eastAsia="仿宋_GB2312" w:cs="仿宋_GB2312"/>
          <w:color w:val="auto"/>
          <w:sz w:val="32"/>
          <w:szCs w:val="32"/>
          <w:highlight w:val="none"/>
          <w:lang w:eastAsia="zh-CN"/>
        </w:rPr>
        <w:t>，</w:t>
      </w:r>
    </w:p>
    <w:p w14:paraId="7E99199E">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第十四条 职工食堂防火安全职责</w:t>
      </w:r>
    </w:p>
    <w:p w14:paraId="2E9BBC87">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1、粮食、油料、食品储存处严禁烟火</w:t>
      </w:r>
      <w:r>
        <w:rPr>
          <w:rFonts w:hint="eastAsia" w:ascii="仿宋_GB2312" w:hAnsi="仿宋_GB2312" w:eastAsia="仿宋_GB2312" w:cs="仿宋_GB2312"/>
          <w:color w:val="auto"/>
          <w:sz w:val="32"/>
          <w:szCs w:val="32"/>
          <w:highlight w:val="none"/>
          <w:lang w:eastAsia="zh-CN"/>
        </w:rPr>
        <w:t>；</w:t>
      </w:r>
    </w:p>
    <w:p w14:paraId="01A6D1FE">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2、开油锅时思想集中，不准离人，并要掌握油温防止燃烧和外溢烫伤，结束时回收剩油</w:t>
      </w:r>
      <w:r>
        <w:rPr>
          <w:rFonts w:hint="eastAsia" w:ascii="仿宋_GB2312" w:hAnsi="仿宋_GB2312" w:eastAsia="仿宋_GB2312" w:cs="仿宋_GB2312"/>
          <w:color w:val="auto"/>
          <w:sz w:val="32"/>
          <w:szCs w:val="32"/>
          <w:highlight w:val="none"/>
          <w:lang w:eastAsia="zh-CN"/>
        </w:rPr>
        <w:t>；</w:t>
      </w:r>
    </w:p>
    <w:p w14:paraId="5C31F88F">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3、炉灶周围不准堆放过量燃料，工作结束时必须清除残渣</w:t>
      </w:r>
      <w:r>
        <w:rPr>
          <w:rFonts w:hint="eastAsia" w:ascii="仿宋_GB2312" w:hAnsi="仿宋_GB2312" w:eastAsia="仿宋_GB2312" w:cs="仿宋_GB2312"/>
          <w:color w:val="auto"/>
          <w:sz w:val="32"/>
          <w:szCs w:val="32"/>
          <w:highlight w:val="none"/>
          <w:lang w:eastAsia="zh-CN"/>
        </w:rPr>
        <w:t>；</w:t>
      </w:r>
    </w:p>
    <w:p w14:paraId="3485C12B">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4、炉灶周围不准烘烤衣物和寄存易燃易爆物品</w:t>
      </w:r>
      <w:r>
        <w:rPr>
          <w:rFonts w:hint="eastAsia" w:ascii="仿宋_GB2312" w:hAnsi="仿宋_GB2312" w:eastAsia="仿宋_GB2312" w:cs="仿宋_GB2312"/>
          <w:color w:val="auto"/>
          <w:sz w:val="32"/>
          <w:szCs w:val="32"/>
          <w:highlight w:val="none"/>
          <w:lang w:eastAsia="zh-CN"/>
        </w:rPr>
        <w:t>；</w:t>
      </w:r>
    </w:p>
    <w:p w14:paraId="70746D9B">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5、厨房、灶房内无关人员不得进入</w:t>
      </w:r>
      <w:r>
        <w:rPr>
          <w:rFonts w:hint="eastAsia" w:ascii="仿宋_GB2312" w:hAnsi="仿宋_GB2312" w:eastAsia="仿宋_GB2312" w:cs="仿宋_GB2312"/>
          <w:color w:val="auto"/>
          <w:sz w:val="32"/>
          <w:szCs w:val="32"/>
          <w:highlight w:val="none"/>
          <w:lang w:eastAsia="zh-CN"/>
        </w:rPr>
        <w:t>；</w:t>
      </w:r>
    </w:p>
    <w:p w14:paraId="0F4994D2">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6、使用柴油、煤或液化气应严格按照操作规程进行。</w:t>
      </w:r>
    </w:p>
    <w:p w14:paraId="49660880">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第十五条 电工防火安全职责</w:t>
      </w:r>
    </w:p>
    <w:p w14:paraId="3DBCA33A">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1、从事电工工作人员必须通过专业培训，持证上岗，技术纯熟，掌握用电防火安全知识，否则不准独立操作</w:t>
      </w:r>
      <w:r>
        <w:rPr>
          <w:rFonts w:hint="eastAsia" w:ascii="仿宋_GB2312" w:hAnsi="仿宋_GB2312" w:eastAsia="仿宋_GB2312" w:cs="仿宋_GB2312"/>
          <w:color w:val="auto"/>
          <w:sz w:val="32"/>
          <w:szCs w:val="32"/>
          <w:highlight w:val="none"/>
          <w:lang w:eastAsia="zh-CN"/>
        </w:rPr>
        <w:t>；</w:t>
      </w:r>
    </w:p>
    <w:p w14:paraId="63F52B21">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2、严格遵守操作规程，对不符合电气安全规定的供用电设施电工有权拒绝安装并予以取缔</w:t>
      </w:r>
      <w:r>
        <w:rPr>
          <w:rFonts w:hint="eastAsia" w:ascii="仿宋_GB2312" w:hAnsi="仿宋_GB2312" w:eastAsia="仿宋_GB2312" w:cs="仿宋_GB2312"/>
          <w:color w:val="auto"/>
          <w:sz w:val="32"/>
          <w:szCs w:val="32"/>
          <w:highlight w:val="none"/>
          <w:lang w:eastAsia="zh-CN"/>
        </w:rPr>
        <w:t>；</w:t>
      </w:r>
    </w:p>
    <w:p w14:paraId="1FAC5590">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3、安装电气设备必须符合安全规定，不准乱拉乱接电源或任意增大容量。新线接通，旧线必须拆除，铺设线路必须穿管</w:t>
      </w:r>
      <w:r>
        <w:rPr>
          <w:rFonts w:hint="eastAsia" w:ascii="仿宋_GB2312" w:hAnsi="仿宋_GB2312" w:eastAsia="仿宋_GB2312" w:cs="仿宋_GB2312"/>
          <w:color w:val="auto"/>
          <w:sz w:val="32"/>
          <w:szCs w:val="32"/>
          <w:highlight w:val="none"/>
          <w:lang w:eastAsia="zh-CN"/>
        </w:rPr>
        <w:t>；</w:t>
      </w:r>
    </w:p>
    <w:p w14:paraId="0203541E">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4、检查电气设备和线路的安全状况，并建立巡</w:t>
      </w:r>
      <w:r>
        <w:rPr>
          <w:rFonts w:hint="eastAsia" w:ascii="仿宋_GB2312" w:hAnsi="仿宋_GB2312" w:eastAsia="仿宋_GB2312" w:cs="仿宋_GB2312"/>
          <w:color w:val="auto"/>
          <w:sz w:val="32"/>
          <w:szCs w:val="32"/>
          <w:highlight w:val="none"/>
          <w:lang w:eastAsia="zh-CN"/>
        </w:rPr>
        <w:t>查机</w:t>
      </w:r>
      <w:r>
        <w:rPr>
          <w:rFonts w:hint="eastAsia" w:ascii="仿宋_GB2312" w:hAnsi="仿宋_GB2312" w:eastAsia="仿宋_GB2312" w:cs="仿宋_GB2312"/>
          <w:color w:val="auto"/>
          <w:sz w:val="32"/>
          <w:szCs w:val="32"/>
          <w:highlight w:val="none"/>
        </w:rPr>
        <w:t>制，发现隐患及时维修更换</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防止由于短路、过负荷、接触电阻、电火花和电弧所引起的火灾事故</w:t>
      </w:r>
      <w:r>
        <w:rPr>
          <w:rFonts w:hint="eastAsia" w:ascii="仿宋_GB2312" w:hAnsi="仿宋_GB2312" w:eastAsia="仿宋_GB2312" w:cs="仿宋_GB2312"/>
          <w:color w:val="auto"/>
          <w:sz w:val="32"/>
          <w:szCs w:val="32"/>
          <w:highlight w:val="none"/>
          <w:lang w:eastAsia="zh-CN"/>
        </w:rPr>
        <w:t>；</w:t>
      </w:r>
    </w:p>
    <w:p w14:paraId="39A4DBCB">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5、加强对电炉、电烘箱等大功率电热设备的安全管理，对违反制度不听劝阻的有权采用断电措施</w:t>
      </w:r>
      <w:r>
        <w:rPr>
          <w:rFonts w:hint="eastAsia" w:ascii="仿宋_GB2312" w:hAnsi="仿宋_GB2312" w:eastAsia="仿宋_GB2312" w:cs="仿宋_GB2312"/>
          <w:color w:val="auto"/>
          <w:sz w:val="32"/>
          <w:szCs w:val="32"/>
          <w:highlight w:val="none"/>
          <w:lang w:eastAsia="zh-CN"/>
        </w:rPr>
        <w:t>；</w:t>
      </w:r>
    </w:p>
    <w:p w14:paraId="0F8D0EEB">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6、认真履行职责，严格遵守防火制度，人人会使用灭火器。</w:t>
      </w:r>
    </w:p>
    <w:p w14:paraId="66A85FA3">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33" w:name="_Toc7657"/>
      <w:bookmarkStart w:id="134" w:name="_Toc9900"/>
      <w:bookmarkStart w:id="135" w:name="_Toc28498"/>
      <w:bookmarkStart w:id="136" w:name="_Toc28547"/>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第五章 各项防火制度</w:t>
      </w:r>
      <w:bookmarkEnd w:id="133"/>
      <w:bookmarkEnd w:id="134"/>
      <w:bookmarkEnd w:id="135"/>
      <w:bookmarkEnd w:id="136"/>
    </w:p>
    <w:p w14:paraId="487C37D3">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第十六条  森林防火期防火制度</w:t>
      </w:r>
    </w:p>
    <w:p w14:paraId="77BF041D">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1、严禁携带火种入林，严禁在</w:t>
      </w:r>
      <w:r>
        <w:rPr>
          <w:rFonts w:hint="eastAsia" w:ascii="仿宋_GB2312" w:hAnsi="仿宋_GB2312" w:eastAsia="仿宋_GB2312" w:cs="仿宋_GB2312"/>
          <w:color w:val="auto"/>
          <w:sz w:val="32"/>
          <w:szCs w:val="32"/>
          <w:highlight w:val="none"/>
          <w:lang w:val="en-US" w:eastAsia="zh-CN"/>
        </w:rPr>
        <w:t>林地内</w:t>
      </w:r>
      <w:r>
        <w:rPr>
          <w:rFonts w:hint="eastAsia" w:ascii="仿宋_GB2312" w:hAnsi="仿宋_GB2312" w:eastAsia="仿宋_GB2312" w:cs="仿宋_GB2312"/>
          <w:color w:val="auto"/>
          <w:sz w:val="32"/>
          <w:szCs w:val="32"/>
          <w:highlight w:val="none"/>
        </w:rPr>
        <w:t>吸烟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严禁野外用火</w:t>
      </w:r>
      <w:r>
        <w:rPr>
          <w:rFonts w:hint="eastAsia" w:ascii="仿宋_GB2312" w:hAnsi="仿宋_GB2312" w:eastAsia="仿宋_GB2312" w:cs="仿宋_GB2312"/>
          <w:color w:val="auto"/>
          <w:sz w:val="32"/>
          <w:szCs w:val="32"/>
          <w:highlight w:val="none"/>
          <w:lang w:eastAsia="zh-CN"/>
        </w:rPr>
        <w:t>；</w:t>
      </w:r>
    </w:p>
    <w:p w14:paraId="54C09A04">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2、经同意进入</w:t>
      </w:r>
      <w:r>
        <w:rPr>
          <w:rFonts w:hint="eastAsia" w:ascii="仿宋_GB2312" w:hAnsi="仿宋_GB2312" w:eastAsia="仿宋_GB2312" w:cs="仿宋_GB2312"/>
          <w:color w:val="auto"/>
          <w:sz w:val="32"/>
          <w:szCs w:val="32"/>
          <w:highlight w:val="none"/>
          <w:lang w:val="en-US" w:eastAsia="zh-CN"/>
        </w:rPr>
        <w:t>林地</w:t>
      </w:r>
      <w:r>
        <w:rPr>
          <w:rFonts w:hint="eastAsia" w:ascii="仿宋_GB2312" w:hAnsi="仿宋_GB2312" w:eastAsia="仿宋_GB2312" w:cs="仿宋_GB2312"/>
          <w:color w:val="auto"/>
          <w:sz w:val="32"/>
          <w:szCs w:val="32"/>
          <w:highlight w:val="none"/>
        </w:rPr>
        <w:t>施工，必须在同意的区域内活动并按</w:t>
      </w:r>
      <w:r>
        <w:rPr>
          <w:rFonts w:hint="eastAsia" w:ascii="仿宋_GB2312" w:hAnsi="仿宋_GB2312" w:eastAsia="仿宋_GB2312" w:cs="仿宋_GB2312"/>
          <w:color w:val="auto"/>
          <w:sz w:val="32"/>
          <w:szCs w:val="32"/>
          <w:highlight w:val="none"/>
          <w:lang w:val="en-US" w:eastAsia="zh-CN"/>
        </w:rPr>
        <w:t>通州区</w:t>
      </w:r>
      <w:r>
        <w:rPr>
          <w:rFonts w:hint="eastAsia" w:ascii="仿宋_GB2312" w:hAnsi="仿宋_GB2312" w:eastAsia="仿宋_GB2312" w:cs="仿宋_GB2312"/>
          <w:color w:val="auto"/>
          <w:sz w:val="32"/>
          <w:szCs w:val="32"/>
          <w:highlight w:val="none"/>
        </w:rPr>
        <w:t>人民政府森林防火指挥部的规定，做好防止和扑救森林火灾工作，承担其森林防火责任</w:t>
      </w:r>
      <w:r>
        <w:rPr>
          <w:rFonts w:hint="eastAsia" w:ascii="仿宋_GB2312" w:hAnsi="仿宋_GB2312" w:eastAsia="仿宋_GB2312" w:cs="仿宋_GB2312"/>
          <w:color w:val="auto"/>
          <w:sz w:val="32"/>
          <w:szCs w:val="32"/>
          <w:highlight w:val="none"/>
          <w:lang w:eastAsia="zh-CN"/>
        </w:rPr>
        <w:t>；</w:t>
      </w:r>
    </w:p>
    <w:p w14:paraId="4D36106F">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3、在林区使用多种机械进行野外作业的人员，必须严格遵守操作规程并配置灭火机具。</w:t>
      </w:r>
    </w:p>
    <w:p w14:paraId="0A12792F">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第十七条 消防安全重点部位的安全管理制度</w:t>
      </w:r>
    </w:p>
    <w:p w14:paraId="531F9D87">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1、根据消防安全重点部位的不一样性质、规模配置消防器材和安全设施</w:t>
      </w:r>
      <w:r>
        <w:rPr>
          <w:rFonts w:hint="eastAsia" w:ascii="仿宋_GB2312" w:hAnsi="仿宋_GB2312" w:eastAsia="仿宋_GB2312" w:cs="仿宋_GB2312"/>
          <w:color w:val="auto"/>
          <w:sz w:val="32"/>
          <w:szCs w:val="32"/>
          <w:highlight w:val="none"/>
          <w:lang w:eastAsia="zh-CN"/>
        </w:rPr>
        <w:t>；</w:t>
      </w:r>
    </w:p>
    <w:p w14:paraId="67C18375">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2、消防安全重点部位的工作人员严格执行考核、录取、管理的规定人员须经培训合格后持证上岗，并由管理</w:t>
      </w:r>
      <w:r>
        <w:rPr>
          <w:rFonts w:hint="eastAsia" w:ascii="仿宋_GB2312" w:hAnsi="仿宋_GB2312" w:eastAsia="仿宋_GB2312" w:cs="仿宋_GB2312"/>
          <w:color w:val="auto"/>
          <w:sz w:val="32"/>
          <w:szCs w:val="32"/>
          <w:highlight w:val="none"/>
          <w:lang w:eastAsia="zh-CN"/>
        </w:rPr>
        <w:t>人员</w:t>
      </w:r>
      <w:r>
        <w:rPr>
          <w:rFonts w:hint="eastAsia" w:ascii="仿宋_GB2312" w:hAnsi="仿宋_GB2312" w:eastAsia="仿宋_GB2312" w:cs="仿宋_GB2312"/>
          <w:color w:val="auto"/>
          <w:sz w:val="32"/>
          <w:szCs w:val="32"/>
          <w:highlight w:val="none"/>
        </w:rPr>
        <w:t>立案。工作人员应保持相对稳定，不适宜随意调动</w:t>
      </w:r>
      <w:r>
        <w:rPr>
          <w:rFonts w:hint="eastAsia" w:ascii="仿宋_GB2312" w:hAnsi="仿宋_GB2312" w:eastAsia="仿宋_GB2312" w:cs="仿宋_GB2312"/>
          <w:color w:val="auto"/>
          <w:sz w:val="32"/>
          <w:szCs w:val="32"/>
          <w:highlight w:val="none"/>
          <w:lang w:eastAsia="zh-CN"/>
        </w:rPr>
        <w:t>；</w:t>
      </w:r>
    </w:p>
    <w:p w14:paraId="3FD5212B">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3、消防安全重点部位的防火安全工作必须专人负责，制定行之有效的安全制度，并严格执行</w:t>
      </w:r>
      <w:r>
        <w:rPr>
          <w:rFonts w:hint="eastAsia" w:ascii="仿宋_GB2312" w:hAnsi="仿宋_GB2312" w:eastAsia="仿宋_GB2312" w:cs="仿宋_GB2312"/>
          <w:color w:val="auto"/>
          <w:sz w:val="32"/>
          <w:szCs w:val="32"/>
          <w:highlight w:val="none"/>
          <w:lang w:eastAsia="zh-CN"/>
        </w:rPr>
        <w:t>；</w:t>
      </w:r>
    </w:p>
    <w:p w14:paraId="6CB96AF8">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4、消防安全重点部位的防火负责人应进行安全</w:t>
      </w:r>
      <w:r>
        <w:rPr>
          <w:rFonts w:hint="eastAsia" w:ascii="仿宋_GB2312" w:hAnsi="仿宋_GB2312" w:eastAsia="仿宋_GB2312" w:cs="仿宋_GB2312"/>
          <w:color w:val="auto"/>
          <w:sz w:val="32"/>
          <w:szCs w:val="32"/>
          <w:highlight w:val="none"/>
          <w:lang w:val="en-US" w:eastAsia="zh-CN"/>
        </w:rPr>
        <w:t>检查</w:t>
      </w:r>
      <w:r>
        <w:rPr>
          <w:rFonts w:hint="eastAsia" w:ascii="仿宋_GB2312" w:hAnsi="仿宋_GB2312" w:eastAsia="仿宋_GB2312" w:cs="仿宋_GB2312"/>
          <w:color w:val="auto"/>
          <w:sz w:val="32"/>
          <w:szCs w:val="32"/>
          <w:highlight w:val="none"/>
        </w:rPr>
        <w:t>、自纠工作，</w:t>
      </w:r>
      <w:r>
        <w:rPr>
          <w:rFonts w:hint="eastAsia" w:ascii="仿宋_GB2312" w:hAnsi="仿宋_GB2312" w:eastAsia="仿宋_GB2312" w:cs="仿宋_GB2312"/>
          <w:color w:val="auto"/>
          <w:sz w:val="32"/>
          <w:szCs w:val="32"/>
          <w:highlight w:val="none"/>
          <w:lang w:eastAsia="zh-CN"/>
        </w:rPr>
        <w:t>消除</w:t>
      </w:r>
      <w:r>
        <w:rPr>
          <w:rFonts w:hint="eastAsia" w:ascii="仿宋_GB2312" w:hAnsi="仿宋_GB2312" w:eastAsia="仿宋_GB2312" w:cs="仿宋_GB2312"/>
          <w:color w:val="auto"/>
          <w:sz w:val="32"/>
          <w:szCs w:val="32"/>
          <w:highlight w:val="none"/>
        </w:rPr>
        <w:t>安全隐患</w:t>
      </w:r>
      <w:r>
        <w:rPr>
          <w:rFonts w:hint="eastAsia" w:ascii="仿宋_GB2312" w:hAnsi="仿宋_GB2312" w:eastAsia="仿宋_GB2312" w:cs="仿宋_GB2312"/>
          <w:color w:val="auto"/>
          <w:sz w:val="32"/>
          <w:szCs w:val="32"/>
          <w:highlight w:val="none"/>
          <w:lang w:eastAsia="zh-CN"/>
        </w:rPr>
        <w:t>；</w:t>
      </w:r>
    </w:p>
    <w:p w14:paraId="4621CFB4">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5、防火应急巡查部门会同消防安全重点部位所属部门加</w:t>
      </w:r>
      <w:r>
        <w:rPr>
          <w:rFonts w:hint="eastAsia" w:ascii="仿宋_GB2312" w:hAnsi="仿宋_GB2312" w:eastAsia="仿宋_GB2312" w:cs="仿宋_GB2312"/>
          <w:color w:val="auto"/>
          <w:spacing w:val="-6"/>
          <w:sz w:val="32"/>
          <w:szCs w:val="32"/>
          <w:highlight w:val="none"/>
        </w:rPr>
        <w:t>强防火安全检查和督导，并进行严格的考核，提出奖罚意见。</w:t>
      </w:r>
    </w:p>
    <w:p w14:paraId="19DBA9C5">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第十八条 </w:t>
      </w:r>
      <w:r>
        <w:rPr>
          <w:rFonts w:hint="eastAsia" w:ascii="仿宋_GB2312" w:hAnsi="仿宋_GB2312" w:eastAsia="仿宋_GB2312" w:cs="仿宋_GB2312"/>
          <w:color w:val="auto"/>
          <w:sz w:val="32"/>
          <w:szCs w:val="32"/>
          <w:highlight w:val="none"/>
          <w:lang w:val="en-US" w:eastAsia="zh-CN"/>
        </w:rPr>
        <w:t>应急巡查组</w:t>
      </w:r>
      <w:r>
        <w:rPr>
          <w:rFonts w:hint="eastAsia" w:ascii="仿宋_GB2312" w:hAnsi="仿宋_GB2312" w:eastAsia="仿宋_GB2312" w:cs="仿宋_GB2312"/>
          <w:color w:val="auto"/>
          <w:sz w:val="32"/>
          <w:szCs w:val="32"/>
          <w:highlight w:val="none"/>
        </w:rPr>
        <w:t>防火安全管理制度</w:t>
      </w:r>
    </w:p>
    <w:p w14:paraId="1E48A87E">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val="en-US" w:eastAsia="zh-CN"/>
        </w:rPr>
        <w:t>巡查组</w:t>
      </w:r>
      <w:r>
        <w:rPr>
          <w:rFonts w:hint="eastAsia" w:ascii="仿宋_GB2312" w:hAnsi="仿宋_GB2312" w:eastAsia="仿宋_GB2312" w:cs="仿宋_GB2312"/>
          <w:color w:val="auto"/>
          <w:sz w:val="32"/>
          <w:szCs w:val="32"/>
          <w:highlight w:val="none"/>
        </w:rPr>
        <w:t>必须贯彻</w:t>
      </w:r>
      <w:r>
        <w:rPr>
          <w:rFonts w:hint="eastAsia" w:ascii="仿宋_GB2312" w:hAnsi="仿宋_GB2312" w:eastAsia="仿宋_GB2312" w:cs="仿宋_GB2312"/>
          <w:color w:val="auto"/>
          <w:sz w:val="32"/>
          <w:szCs w:val="32"/>
          <w:highlight w:val="none"/>
          <w:lang w:val="en-US" w:eastAsia="zh-CN"/>
        </w:rPr>
        <w:t>森林防火</w:t>
      </w:r>
      <w:r>
        <w:rPr>
          <w:rFonts w:hint="eastAsia" w:ascii="仿宋_GB2312" w:hAnsi="仿宋_GB2312" w:eastAsia="仿宋_GB2312" w:cs="仿宋_GB2312"/>
          <w:color w:val="auto"/>
          <w:sz w:val="32"/>
          <w:szCs w:val="32"/>
          <w:highlight w:val="none"/>
        </w:rPr>
        <w:t>方针，认真执行新型集体林场制定的</w:t>
      </w:r>
      <w:r>
        <w:rPr>
          <w:rFonts w:hint="eastAsia" w:ascii="仿宋_GB2312" w:hAnsi="仿宋_GB2312" w:eastAsia="仿宋_GB2312" w:cs="仿宋_GB2312"/>
          <w:color w:val="auto"/>
          <w:sz w:val="32"/>
          <w:szCs w:val="32"/>
          <w:highlight w:val="none"/>
          <w:lang w:val="en-US" w:eastAsia="zh-CN"/>
        </w:rPr>
        <w:t>安全生产</w:t>
      </w:r>
      <w:r>
        <w:rPr>
          <w:rFonts w:hint="eastAsia" w:ascii="仿宋_GB2312" w:hAnsi="仿宋_GB2312" w:eastAsia="仿宋_GB2312" w:cs="仿宋_GB2312"/>
          <w:color w:val="auto"/>
          <w:sz w:val="32"/>
          <w:szCs w:val="32"/>
          <w:highlight w:val="none"/>
        </w:rPr>
        <w:t>管理制度</w:t>
      </w:r>
      <w:r>
        <w:rPr>
          <w:rFonts w:hint="eastAsia" w:ascii="仿宋_GB2312" w:hAnsi="仿宋_GB2312" w:eastAsia="仿宋_GB2312" w:cs="仿宋_GB2312"/>
          <w:color w:val="auto"/>
          <w:sz w:val="32"/>
          <w:szCs w:val="32"/>
          <w:highlight w:val="none"/>
          <w:lang w:eastAsia="zh-CN"/>
        </w:rPr>
        <w:t>；</w:t>
      </w:r>
    </w:p>
    <w:p w14:paraId="6E429005">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严格遵守新型集体林场与</w:t>
      </w:r>
      <w:r>
        <w:rPr>
          <w:rFonts w:hint="eastAsia" w:ascii="仿宋_GB2312" w:hAnsi="仿宋_GB2312" w:eastAsia="仿宋_GB2312" w:cs="仿宋_GB2312"/>
          <w:color w:val="auto"/>
          <w:sz w:val="32"/>
          <w:szCs w:val="32"/>
          <w:highlight w:val="none"/>
          <w:lang w:val="en-US" w:eastAsia="zh-CN"/>
        </w:rPr>
        <w:t>巡查组</w:t>
      </w:r>
      <w:r>
        <w:rPr>
          <w:rFonts w:hint="eastAsia" w:ascii="仿宋_GB2312" w:hAnsi="仿宋_GB2312" w:eastAsia="仿宋_GB2312" w:cs="仿宋_GB2312"/>
          <w:color w:val="auto"/>
          <w:sz w:val="32"/>
          <w:szCs w:val="32"/>
          <w:highlight w:val="none"/>
        </w:rPr>
        <w:t>签订的安全经营目的管理责任书的条款，各</w:t>
      </w:r>
      <w:r>
        <w:rPr>
          <w:rFonts w:hint="eastAsia" w:ascii="仿宋_GB2312" w:hAnsi="仿宋_GB2312" w:eastAsia="仿宋_GB2312" w:cs="仿宋_GB2312"/>
          <w:color w:val="auto"/>
          <w:sz w:val="32"/>
          <w:szCs w:val="32"/>
          <w:highlight w:val="none"/>
          <w:lang w:eastAsia="zh-CN"/>
        </w:rPr>
        <w:t>巡查组</w:t>
      </w:r>
      <w:r>
        <w:rPr>
          <w:rFonts w:hint="eastAsia" w:ascii="仿宋_GB2312" w:hAnsi="仿宋_GB2312" w:eastAsia="仿宋_GB2312" w:cs="仿宋_GB2312"/>
          <w:color w:val="auto"/>
          <w:sz w:val="32"/>
          <w:szCs w:val="32"/>
          <w:highlight w:val="none"/>
        </w:rPr>
        <w:t>的负责人即为各</w:t>
      </w:r>
      <w:r>
        <w:rPr>
          <w:rFonts w:hint="eastAsia" w:ascii="仿宋_GB2312" w:hAnsi="仿宋_GB2312" w:eastAsia="仿宋_GB2312" w:cs="仿宋_GB2312"/>
          <w:color w:val="auto"/>
          <w:sz w:val="32"/>
          <w:szCs w:val="32"/>
          <w:highlight w:val="none"/>
          <w:lang w:eastAsia="zh-CN"/>
        </w:rPr>
        <w:t>巡查组</w:t>
      </w:r>
      <w:r>
        <w:rPr>
          <w:rFonts w:hint="eastAsia" w:ascii="仿宋_GB2312" w:hAnsi="仿宋_GB2312" w:eastAsia="仿宋_GB2312" w:cs="仿宋_GB2312"/>
          <w:color w:val="auto"/>
          <w:sz w:val="32"/>
          <w:szCs w:val="32"/>
          <w:highlight w:val="none"/>
        </w:rPr>
        <w:t>的消防安全负责人，对本</w:t>
      </w:r>
      <w:r>
        <w:rPr>
          <w:rFonts w:hint="eastAsia" w:ascii="仿宋_GB2312" w:hAnsi="仿宋_GB2312" w:eastAsia="仿宋_GB2312" w:cs="仿宋_GB2312"/>
          <w:color w:val="auto"/>
          <w:sz w:val="32"/>
          <w:szCs w:val="32"/>
          <w:highlight w:val="none"/>
          <w:lang w:eastAsia="zh-CN"/>
        </w:rPr>
        <w:t>巡查组</w:t>
      </w:r>
      <w:r>
        <w:rPr>
          <w:rFonts w:hint="eastAsia" w:ascii="仿宋_GB2312" w:hAnsi="仿宋_GB2312" w:eastAsia="仿宋_GB2312" w:cs="仿宋_GB2312"/>
          <w:color w:val="auto"/>
          <w:sz w:val="32"/>
          <w:szCs w:val="32"/>
          <w:highlight w:val="none"/>
        </w:rPr>
        <w:t>的安全经营切实负起责任。对本</w:t>
      </w:r>
      <w:r>
        <w:rPr>
          <w:rFonts w:hint="eastAsia" w:ascii="仿宋_GB2312" w:hAnsi="仿宋_GB2312" w:eastAsia="仿宋_GB2312" w:cs="仿宋_GB2312"/>
          <w:color w:val="auto"/>
          <w:sz w:val="32"/>
          <w:szCs w:val="32"/>
          <w:highlight w:val="none"/>
          <w:lang w:eastAsia="zh-CN"/>
        </w:rPr>
        <w:t>巡查组</w:t>
      </w:r>
      <w:r>
        <w:rPr>
          <w:rFonts w:hint="eastAsia" w:ascii="仿宋_GB2312" w:hAnsi="仿宋_GB2312" w:eastAsia="仿宋_GB2312" w:cs="仿宋_GB2312"/>
          <w:color w:val="auto"/>
          <w:sz w:val="32"/>
          <w:szCs w:val="32"/>
          <w:highlight w:val="none"/>
        </w:rPr>
        <w:t>的职工进行防火安全教育，严格遵守安全操作规程，对本</w:t>
      </w:r>
      <w:r>
        <w:rPr>
          <w:rFonts w:hint="eastAsia" w:ascii="仿宋_GB2312" w:hAnsi="仿宋_GB2312" w:eastAsia="仿宋_GB2312" w:cs="仿宋_GB2312"/>
          <w:color w:val="auto"/>
          <w:sz w:val="32"/>
          <w:szCs w:val="32"/>
          <w:highlight w:val="none"/>
          <w:lang w:eastAsia="zh-CN"/>
        </w:rPr>
        <w:t>巡查组</w:t>
      </w:r>
      <w:r>
        <w:rPr>
          <w:rFonts w:hint="eastAsia" w:ascii="仿宋_GB2312" w:hAnsi="仿宋_GB2312" w:eastAsia="仿宋_GB2312" w:cs="仿宋_GB2312"/>
          <w:color w:val="auto"/>
          <w:sz w:val="32"/>
          <w:szCs w:val="32"/>
          <w:highlight w:val="none"/>
        </w:rPr>
        <w:t>职工的安全教育每月不得少于一次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并结合本</w:t>
      </w:r>
      <w:r>
        <w:rPr>
          <w:rFonts w:hint="eastAsia" w:ascii="仿宋_GB2312" w:hAnsi="仿宋_GB2312" w:eastAsia="仿宋_GB2312" w:cs="仿宋_GB2312"/>
          <w:color w:val="auto"/>
          <w:sz w:val="32"/>
          <w:szCs w:val="32"/>
          <w:highlight w:val="none"/>
          <w:lang w:eastAsia="zh-CN"/>
        </w:rPr>
        <w:t>巡查组</w:t>
      </w:r>
      <w:r>
        <w:rPr>
          <w:rFonts w:hint="eastAsia" w:ascii="仿宋_GB2312" w:hAnsi="仿宋_GB2312" w:eastAsia="仿宋_GB2312" w:cs="仿宋_GB2312"/>
          <w:color w:val="auto"/>
          <w:sz w:val="32"/>
          <w:szCs w:val="32"/>
          <w:highlight w:val="none"/>
        </w:rPr>
        <w:t>的实际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负责制定并贯彻安全管理制度将安全经营的责任贯彻到人；</w:t>
      </w:r>
    </w:p>
    <w:p w14:paraId="1D47322F">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3、切实做好本</w:t>
      </w:r>
      <w:r>
        <w:rPr>
          <w:rFonts w:hint="eastAsia" w:ascii="仿宋_GB2312" w:hAnsi="仿宋_GB2312" w:eastAsia="仿宋_GB2312" w:cs="仿宋_GB2312"/>
          <w:color w:val="auto"/>
          <w:sz w:val="32"/>
          <w:szCs w:val="32"/>
          <w:highlight w:val="none"/>
          <w:lang w:eastAsia="zh-CN"/>
        </w:rPr>
        <w:t>巡查组</w:t>
      </w:r>
      <w:r>
        <w:rPr>
          <w:rFonts w:hint="eastAsia" w:ascii="仿宋_GB2312" w:hAnsi="仿宋_GB2312" w:eastAsia="仿宋_GB2312" w:cs="仿宋_GB2312"/>
          <w:color w:val="auto"/>
          <w:sz w:val="32"/>
          <w:szCs w:val="32"/>
          <w:highlight w:val="none"/>
        </w:rPr>
        <w:t>的防火工作，保证无火灾隐患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无火灾事故。自觉做到不挤占消防通道，防火卷帘下严禁堆放商品及其他物品。灭火器材贯彻专人维护、管理，保证处在完好状态。职工要掌握防火、灭火的基本知识，人人会使用消防器材</w:t>
      </w:r>
      <w:r>
        <w:rPr>
          <w:rFonts w:hint="eastAsia" w:ascii="仿宋_GB2312" w:hAnsi="仿宋_GB2312" w:eastAsia="仿宋_GB2312" w:cs="仿宋_GB2312"/>
          <w:color w:val="auto"/>
          <w:sz w:val="32"/>
          <w:szCs w:val="32"/>
          <w:highlight w:val="none"/>
          <w:lang w:eastAsia="zh-CN"/>
        </w:rPr>
        <w:t>；</w:t>
      </w:r>
    </w:p>
    <w:p w14:paraId="1E05CAC9">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4、加强防火工作，严格对火种的管理。教育、督促</w:t>
      </w:r>
      <w:r>
        <w:rPr>
          <w:rFonts w:hint="eastAsia" w:ascii="仿宋_GB2312" w:hAnsi="仿宋_GB2312" w:eastAsia="仿宋_GB2312" w:cs="仿宋_GB2312"/>
          <w:color w:val="auto"/>
          <w:sz w:val="32"/>
          <w:szCs w:val="32"/>
          <w:highlight w:val="none"/>
          <w:lang w:eastAsia="zh-CN"/>
        </w:rPr>
        <w:t>厨房</w:t>
      </w:r>
      <w:r>
        <w:rPr>
          <w:rFonts w:hint="eastAsia" w:ascii="仿宋_GB2312" w:hAnsi="仿宋_GB2312" w:eastAsia="仿宋_GB2312" w:cs="仿宋_GB2312"/>
          <w:color w:val="auto"/>
          <w:sz w:val="32"/>
          <w:szCs w:val="32"/>
          <w:highlight w:val="none"/>
        </w:rPr>
        <w:t>从业人员在操作时要掌握火候，人离灶台时必须关闭煤气灶。必须每六个月对油烟管道彻底清洗一次，保证不积油污，以消除火灾隐患</w:t>
      </w:r>
      <w:r>
        <w:rPr>
          <w:rFonts w:hint="eastAsia" w:ascii="仿宋_GB2312" w:hAnsi="仿宋_GB2312" w:eastAsia="仿宋_GB2312" w:cs="仿宋_GB2312"/>
          <w:color w:val="auto"/>
          <w:sz w:val="32"/>
          <w:szCs w:val="32"/>
          <w:highlight w:val="none"/>
          <w:lang w:eastAsia="zh-CN"/>
        </w:rPr>
        <w:t>；</w:t>
      </w:r>
    </w:p>
    <w:p w14:paraId="134BF25F">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5、严禁在禁烟区吸烟，不得乱拉乱接电源，不得私自使用电热器材</w:t>
      </w:r>
      <w:r>
        <w:rPr>
          <w:rFonts w:hint="eastAsia" w:ascii="仿宋_GB2312" w:hAnsi="仿宋_GB2312" w:eastAsia="仿宋_GB2312" w:cs="仿宋_GB2312"/>
          <w:color w:val="auto"/>
          <w:sz w:val="32"/>
          <w:szCs w:val="32"/>
          <w:highlight w:val="none"/>
          <w:lang w:eastAsia="zh-CN"/>
        </w:rPr>
        <w:t>；</w:t>
      </w:r>
    </w:p>
    <w:p w14:paraId="091DD0AD">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6、严格对固体酒精等易燃物品的管理。要集中保管，要设有专门仓库储存，专人负责。使用液化气要严格按照液化气的使用规定和操作规程</w:t>
      </w:r>
      <w:r>
        <w:rPr>
          <w:rFonts w:hint="eastAsia" w:ascii="仿宋_GB2312" w:hAnsi="仿宋_GB2312" w:eastAsia="仿宋_GB2312" w:cs="仿宋_GB2312"/>
          <w:color w:val="auto"/>
          <w:sz w:val="32"/>
          <w:szCs w:val="32"/>
          <w:highlight w:val="none"/>
          <w:lang w:eastAsia="zh-CN"/>
        </w:rPr>
        <w:t>；</w:t>
      </w:r>
    </w:p>
    <w:p w14:paraId="16664ED3">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定期</w:t>
      </w:r>
      <w:r>
        <w:rPr>
          <w:rFonts w:hint="eastAsia" w:ascii="仿宋_GB2312" w:hAnsi="仿宋_GB2312" w:eastAsia="仿宋_GB2312" w:cs="仿宋_GB2312"/>
          <w:color w:val="auto"/>
          <w:sz w:val="32"/>
          <w:szCs w:val="32"/>
          <w:highlight w:val="none"/>
        </w:rPr>
        <w:t>对房屋进行安全检查，发现隐患及时整改，一时处理不了的，及时汇报单位安全管理人员。对单位安全管理人员发出的隐患整改告知单，必须认真看待并限时整改，保证万无一失</w:t>
      </w:r>
      <w:r>
        <w:rPr>
          <w:rFonts w:hint="eastAsia" w:ascii="仿宋_GB2312" w:hAnsi="仿宋_GB2312" w:eastAsia="仿宋_GB2312" w:cs="仿宋_GB2312"/>
          <w:color w:val="auto"/>
          <w:sz w:val="32"/>
          <w:szCs w:val="32"/>
          <w:highlight w:val="none"/>
          <w:lang w:eastAsia="zh-CN"/>
        </w:rPr>
        <w:t>。</w:t>
      </w:r>
    </w:p>
    <w:p w14:paraId="355195AF">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第十九条 职工消防安全教育培训制度</w:t>
      </w:r>
    </w:p>
    <w:p w14:paraId="41FCB724">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1、对职工必须按规定每六个月进行一次防火安全教育，培训内容应当包括</w:t>
      </w:r>
      <w:r>
        <w:rPr>
          <w:rFonts w:hint="eastAsia" w:ascii="仿宋_GB2312" w:hAnsi="仿宋_GB2312" w:eastAsia="仿宋_GB2312" w:cs="仿宋_GB2312"/>
          <w:color w:val="auto"/>
          <w:sz w:val="32"/>
          <w:szCs w:val="32"/>
          <w:highlight w:val="none"/>
          <w:lang w:eastAsia="zh-CN"/>
        </w:rPr>
        <w:t>：</w:t>
      </w:r>
    </w:p>
    <w:p w14:paraId="7F686BD4">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有关防火法规、防火安全制度和消防安全的操作规程</w:t>
      </w:r>
      <w:r>
        <w:rPr>
          <w:rFonts w:hint="eastAsia" w:ascii="仿宋_GB2312" w:hAnsi="仿宋_GB2312" w:eastAsia="仿宋_GB2312" w:cs="仿宋_GB2312"/>
          <w:color w:val="auto"/>
          <w:sz w:val="32"/>
          <w:szCs w:val="32"/>
          <w:highlight w:val="none"/>
          <w:lang w:eastAsia="zh-CN"/>
        </w:rPr>
        <w:t>：</w:t>
      </w:r>
    </w:p>
    <w:p w14:paraId="7E65DD03">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林场本岗位的火灾危险性和防火措施</w:t>
      </w:r>
      <w:r>
        <w:rPr>
          <w:rFonts w:hint="eastAsia" w:ascii="仿宋_GB2312" w:hAnsi="仿宋_GB2312" w:eastAsia="仿宋_GB2312" w:cs="仿宋_GB2312"/>
          <w:color w:val="auto"/>
          <w:sz w:val="32"/>
          <w:szCs w:val="32"/>
          <w:highlight w:val="none"/>
          <w:lang w:eastAsia="zh-CN"/>
        </w:rPr>
        <w:t>；</w:t>
      </w:r>
    </w:p>
    <w:p w14:paraId="2DC63C29">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有关消防设施的性能、灭火器材的使用措施</w:t>
      </w:r>
      <w:r>
        <w:rPr>
          <w:rFonts w:hint="eastAsia" w:ascii="仿宋_GB2312" w:hAnsi="仿宋_GB2312" w:eastAsia="仿宋_GB2312" w:cs="仿宋_GB2312"/>
          <w:color w:val="auto"/>
          <w:sz w:val="32"/>
          <w:szCs w:val="32"/>
          <w:highlight w:val="none"/>
          <w:lang w:eastAsia="zh-CN"/>
        </w:rPr>
        <w:t>；</w:t>
      </w:r>
    </w:p>
    <w:p w14:paraId="2D3B35C7">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火灾报警、扑救初起火灾以及自救逃生的知识和技能</w:t>
      </w:r>
      <w:r>
        <w:rPr>
          <w:rFonts w:hint="eastAsia" w:ascii="仿宋_GB2312" w:hAnsi="仿宋_GB2312" w:eastAsia="仿宋_GB2312" w:cs="仿宋_GB2312"/>
          <w:color w:val="auto"/>
          <w:sz w:val="32"/>
          <w:szCs w:val="32"/>
          <w:highlight w:val="none"/>
          <w:lang w:eastAsia="zh-CN"/>
        </w:rPr>
        <w:t>；</w:t>
      </w:r>
    </w:p>
    <w:p w14:paraId="0D1DA4B9">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组织、引导人员安全疏散的知识和技能。</w:t>
      </w:r>
    </w:p>
    <w:p w14:paraId="4744DFAE">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2、各新型集体林场根据本工种的特点需进行有针对性</w:t>
      </w:r>
      <w:r>
        <w:rPr>
          <w:rFonts w:hint="eastAsia" w:ascii="仿宋_GB2312" w:hAnsi="仿宋_GB2312" w:eastAsia="仿宋_GB2312" w:cs="仿宋_GB2312"/>
          <w:color w:val="auto"/>
          <w:sz w:val="32"/>
          <w:szCs w:val="32"/>
          <w:highlight w:val="none"/>
          <w:lang w:val="en-US" w:eastAsia="zh-CN"/>
        </w:rPr>
        <w:t>的消防安全</w:t>
      </w:r>
      <w:r>
        <w:rPr>
          <w:rFonts w:hint="eastAsia" w:ascii="仿宋_GB2312" w:hAnsi="仿宋_GB2312" w:eastAsia="仿宋_GB2312" w:cs="仿宋_GB2312"/>
          <w:color w:val="auto"/>
          <w:sz w:val="32"/>
          <w:szCs w:val="32"/>
          <w:highlight w:val="none"/>
        </w:rPr>
        <w:t>教育</w:t>
      </w:r>
      <w:r>
        <w:rPr>
          <w:rFonts w:hint="eastAsia" w:ascii="仿宋_GB2312" w:hAnsi="仿宋_GB2312" w:eastAsia="仿宋_GB2312" w:cs="仿宋_GB2312"/>
          <w:color w:val="auto"/>
          <w:sz w:val="32"/>
          <w:szCs w:val="32"/>
          <w:highlight w:val="none"/>
          <w:lang w:eastAsia="zh-CN"/>
        </w:rPr>
        <w:t>；</w:t>
      </w:r>
    </w:p>
    <w:p w14:paraId="2A578831">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3、对特殊工种如电、气焊等工人需进行专门的培训，并获得上岗证方可上岗</w:t>
      </w:r>
    </w:p>
    <w:p w14:paraId="2117828C">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pacing w:val="-6"/>
          <w:sz w:val="32"/>
          <w:szCs w:val="32"/>
          <w:highlight w:val="none"/>
        </w:rPr>
        <w:t>外来施工人员</w:t>
      </w:r>
      <w:r>
        <w:rPr>
          <w:rFonts w:hint="eastAsia" w:ascii="仿宋_GB2312" w:hAnsi="仿宋_GB2312" w:eastAsia="仿宋_GB2312" w:cs="仿宋_GB2312"/>
          <w:color w:val="auto"/>
          <w:spacing w:val="-6"/>
          <w:sz w:val="32"/>
          <w:szCs w:val="32"/>
          <w:highlight w:val="none"/>
          <w:lang w:eastAsia="zh-CN"/>
        </w:rPr>
        <w:t>须</w:t>
      </w:r>
      <w:r>
        <w:rPr>
          <w:rFonts w:hint="eastAsia" w:ascii="仿宋_GB2312" w:hAnsi="仿宋_GB2312" w:eastAsia="仿宋_GB2312" w:cs="仿宋_GB2312"/>
          <w:color w:val="auto"/>
          <w:spacing w:val="-6"/>
          <w:sz w:val="32"/>
          <w:szCs w:val="32"/>
          <w:highlight w:val="none"/>
        </w:rPr>
        <w:t>经登记并经安全教育合格后方可施工</w:t>
      </w:r>
      <w:r>
        <w:rPr>
          <w:rFonts w:hint="eastAsia" w:ascii="仿宋_GB2312" w:hAnsi="仿宋_GB2312" w:eastAsia="仿宋_GB2312" w:cs="仿宋_GB2312"/>
          <w:color w:val="auto"/>
          <w:spacing w:val="-6"/>
          <w:sz w:val="32"/>
          <w:szCs w:val="32"/>
          <w:highlight w:val="none"/>
          <w:lang w:eastAsia="zh-CN"/>
        </w:rPr>
        <w:t>；</w:t>
      </w:r>
    </w:p>
    <w:p w14:paraId="3EB286F7">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5、每年在安全生产月、119消防宣传周等专题活动时，进行专题宣传和安全教育</w:t>
      </w:r>
      <w:r>
        <w:rPr>
          <w:rFonts w:hint="eastAsia" w:ascii="仿宋_GB2312" w:hAnsi="仿宋_GB2312" w:eastAsia="仿宋_GB2312" w:cs="仿宋_GB2312"/>
          <w:color w:val="auto"/>
          <w:sz w:val="32"/>
          <w:szCs w:val="32"/>
          <w:highlight w:val="none"/>
          <w:lang w:eastAsia="zh-CN"/>
        </w:rPr>
        <w:t>；</w:t>
      </w:r>
    </w:p>
    <w:p w14:paraId="218D909C">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6、平时采用宣传栏、放录像、口号、展览等多种形式进行安全防火宣传，以提高全体职工的安全意识。</w:t>
      </w:r>
    </w:p>
    <w:p w14:paraId="4A003E45">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第二十条 防火安全检查制度</w:t>
      </w:r>
    </w:p>
    <w:p w14:paraId="4F0EB1BC">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1、新型集体林场每月进行消防安全检查，重大节日和重要任务前对各重要部位进行有针对性的重点巡查</w:t>
      </w:r>
      <w:r>
        <w:rPr>
          <w:rFonts w:hint="eastAsia" w:ascii="仿宋_GB2312" w:hAnsi="仿宋_GB2312" w:eastAsia="仿宋_GB2312" w:cs="仿宋_GB2312"/>
          <w:color w:val="auto"/>
          <w:sz w:val="32"/>
          <w:szCs w:val="32"/>
          <w:highlight w:val="none"/>
          <w:lang w:eastAsia="zh-CN"/>
        </w:rPr>
        <w:t>；</w:t>
      </w:r>
    </w:p>
    <w:p w14:paraId="11003AE7">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2、每月消防安全检查由新型集体林场组织，部门负责人参与</w:t>
      </w:r>
      <w:r>
        <w:rPr>
          <w:rFonts w:hint="eastAsia" w:ascii="仿宋_GB2312" w:hAnsi="仿宋_GB2312" w:eastAsia="仿宋_GB2312" w:cs="仿宋_GB2312"/>
          <w:color w:val="auto"/>
          <w:sz w:val="32"/>
          <w:szCs w:val="32"/>
          <w:highlight w:val="none"/>
          <w:lang w:eastAsia="zh-CN"/>
        </w:rPr>
        <w:t>；</w:t>
      </w:r>
    </w:p>
    <w:p w14:paraId="45965354">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3、检查内容重要包括</w:t>
      </w:r>
      <w:r>
        <w:rPr>
          <w:rFonts w:hint="eastAsia" w:ascii="仿宋_GB2312" w:hAnsi="仿宋_GB2312" w:eastAsia="仿宋_GB2312" w:cs="仿宋_GB2312"/>
          <w:color w:val="auto"/>
          <w:sz w:val="32"/>
          <w:szCs w:val="32"/>
          <w:highlight w:val="none"/>
          <w:lang w:eastAsia="zh-CN"/>
        </w:rPr>
        <w:t>：</w:t>
      </w:r>
    </w:p>
    <w:p w14:paraId="08BD0FEE">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对上次检查中提出的隐患整改状况以及防备措施的贯彻状况进行复查</w:t>
      </w:r>
      <w:r>
        <w:rPr>
          <w:rFonts w:hint="eastAsia" w:ascii="仿宋_GB2312" w:hAnsi="仿宋_GB2312" w:eastAsia="仿宋_GB2312" w:cs="仿宋_GB2312"/>
          <w:color w:val="auto"/>
          <w:sz w:val="32"/>
          <w:szCs w:val="32"/>
          <w:highlight w:val="none"/>
          <w:lang w:eastAsia="zh-CN"/>
        </w:rPr>
        <w:t>；</w:t>
      </w:r>
    </w:p>
    <w:p w14:paraId="6370FEBE">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安全疏散通道，疏散指示标志，应急照明和安全出口的状况</w:t>
      </w:r>
      <w:r>
        <w:rPr>
          <w:rFonts w:hint="eastAsia" w:ascii="仿宋_GB2312" w:hAnsi="仿宋_GB2312" w:eastAsia="仿宋_GB2312" w:cs="仿宋_GB2312"/>
          <w:color w:val="auto"/>
          <w:sz w:val="32"/>
          <w:szCs w:val="32"/>
          <w:highlight w:val="none"/>
          <w:lang w:eastAsia="zh-CN"/>
        </w:rPr>
        <w:t>；</w:t>
      </w:r>
    </w:p>
    <w:p w14:paraId="206C22BF">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防火通道，消防水源的状况</w:t>
      </w:r>
      <w:r>
        <w:rPr>
          <w:rFonts w:hint="eastAsia" w:ascii="仿宋_GB2312" w:hAnsi="仿宋_GB2312" w:eastAsia="仿宋_GB2312" w:cs="仿宋_GB2312"/>
          <w:color w:val="auto"/>
          <w:sz w:val="32"/>
          <w:szCs w:val="32"/>
          <w:highlight w:val="none"/>
          <w:lang w:eastAsia="zh-CN"/>
        </w:rPr>
        <w:t>；</w:t>
      </w:r>
    </w:p>
    <w:p w14:paraId="43EFBA1C">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灭火器材的配置及有效状况</w:t>
      </w:r>
      <w:r>
        <w:rPr>
          <w:rFonts w:hint="eastAsia" w:ascii="仿宋_GB2312" w:hAnsi="仿宋_GB2312" w:eastAsia="仿宋_GB2312" w:cs="仿宋_GB2312"/>
          <w:color w:val="auto"/>
          <w:sz w:val="32"/>
          <w:szCs w:val="32"/>
          <w:highlight w:val="none"/>
          <w:lang w:eastAsia="zh-CN"/>
        </w:rPr>
        <w:t>；</w:t>
      </w:r>
    </w:p>
    <w:p w14:paraId="17CD18D7">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用火用电有无违章状况</w:t>
      </w:r>
      <w:r>
        <w:rPr>
          <w:rFonts w:hint="eastAsia" w:ascii="仿宋_GB2312" w:hAnsi="仿宋_GB2312" w:eastAsia="仿宋_GB2312" w:cs="仿宋_GB2312"/>
          <w:color w:val="auto"/>
          <w:sz w:val="32"/>
          <w:szCs w:val="32"/>
          <w:highlight w:val="none"/>
          <w:lang w:eastAsia="zh-CN"/>
        </w:rPr>
        <w:t>；</w:t>
      </w:r>
    </w:p>
    <w:p w14:paraId="61CE23EA">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重点工种人员以及其他职工消防知识的掌握状况</w:t>
      </w:r>
      <w:r>
        <w:rPr>
          <w:rFonts w:hint="eastAsia" w:ascii="仿宋_GB2312" w:hAnsi="仿宋_GB2312" w:eastAsia="仿宋_GB2312" w:cs="仿宋_GB2312"/>
          <w:color w:val="auto"/>
          <w:sz w:val="32"/>
          <w:szCs w:val="32"/>
          <w:highlight w:val="none"/>
          <w:lang w:eastAsia="zh-CN"/>
        </w:rPr>
        <w:t>；</w:t>
      </w:r>
    </w:p>
    <w:p w14:paraId="45B35304">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消防安全重点部位的管理状况</w:t>
      </w:r>
      <w:r>
        <w:rPr>
          <w:rFonts w:hint="eastAsia" w:ascii="仿宋_GB2312" w:hAnsi="仿宋_GB2312" w:eastAsia="仿宋_GB2312" w:cs="仿宋_GB2312"/>
          <w:color w:val="auto"/>
          <w:sz w:val="32"/>
          <w:szCs w:val="32"/>
          <w:highlight w:val="none"/>
          <w:lang w:eastAsia="zh-CN"/>
        </w:rPr>
        <w:t>；</w:t>
      </w:r>
    </w:p>
    <w:p w14:paraId="4A346F29">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易燃易爆危险品的场所防火防爆的贯彻状况以及其他重要物资的防火安全状况</w:t>
      </w:r>
      <w:r>
        <w:rPr>
          <w:rFonts w:hint="eastAsia" w:ascii="仿宋_GB2312" w:hAnsi="仿宋_GB2312" w:eastAsia="仿宋_GB2312" w:cs="仿宋_GB2312"/>
          <w:color w:val="auto"/>
          <w:sz w:val="32"/>
          <w:szCs w:val="32"/>
          <w:highlight w:val="none"/>
          <w:lang w:eastAsia="zh-CN"/>
        </w:rPr>
        <w:t>；</w:t>
      </w:r>
    </w:p>
    <w:p w14:paraId="57B41D20">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防火安全台账记录状况</w:t>
      </w:r>
      <w:r>
        <w:rPr>
          <w:rFonts w:hint="eastAsia" w:ascii="仿宋_GB2312" w:hAnsi="仿宋_GB2312" w:eastAsia="仿宋_GB2312" w:cs="仿宋_GB2312"/>
          <w:color w:val="auto"/>
          <w:sz w:val="32"/>
          <w:szCs w:val="32"/>
          <w:highlight w:val="none"/>
          <w:lang w:eastAsia="zh-CN"/>
        </w:rPr>
        <w:t>；</w:t>
      </w:r>
    </w:p>
    <w:p w14:paraId="494BBEAF">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防火安全标志的设置状况和完好有效状况</w:t>
      </w:r>
    </w:p>
    <w:p w14:paraId="7941FE35">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4、防火检查应当填写检查记录，检查人员和被检查负责人应当在检查记录上签名</w:t>
      </w:r>
    </w:p>
    <w:p w14:paraId="45F1E59C">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5、对检查发现的问题及时填发《隐患整改告知书》，并按隐患整改制度贯彻整改</w:t>
      </w:r>
    </w:p>
    <w:p w14:paraId="7687A284">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第二十一条 用火、用电安全管理制度</w:t>
      </w:r>
    </w:p>
    <w:p w14:paraId="73925E85">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1、严禁任何人在</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w:t>
      </w:r>
      <w:r>
        <w:rPr>
          <w:rFonts w:hint="eastAsia" w:ascii="仿宋_GB2312" w:hAnsi="仿宋_GB2312" w:eastAsia="仿宋_GB2312" w:cs="仿宋_GB2312"/>
          <w:color w:val="auto"/>
          <w:sz w:val="32"/>
          <w:szCs w:val="32"/>
          <w:highlight w:val="none"/>
          <w:lang w:val="en-US" w:eastAsia="zh-CN"/>
        </w:rPr>
        <w:t>养护</w:t>
      </w:r>
      <w:r>
        <w:rPr>
          <w:rFonts w:hint="eastAsia" w:ascii="仿宋_GB2312" w:hAnsi="仿宋_GB2312" w:eastAsia="仿宋_GB2312" w:cs="仿宋_GB2312"/>
          <w:color w:val="auto"/>
          <w:sz w:val="32"/>
          <w:szCs w:val="32"/>
          <w:highlight w:val="none"/>
        </w:rPr>
        <w:t>范围内私自焚烧废物、树叶、垃圾等物品；</w:t>
      </w:r>
    </w:p>
    <w:p w14:paraId="126F1636">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2、施工中确需动用明火时，必须到有关部门办理动用明火申请审批手续并遵守如下规定方可动火施工</w:t>
      </w:r>
      <w:r>
        <w:rPr>
          <w:rFonts w:hint="eastAsia" w:ascii="仿宋_GB2312" w:hAnsi="仿宋_GB2312" w:eastAsia="仿宋_GB2312" w:cs="仿宋_GB2312"/>
          <w:color w:val="auto"/>
          <w:sz w:val="32"/>
          <w:szCs w:val="32"/>
          <w:highlight w:val="none"/>
          <w:lang w:eastAsia="zh-CN"/>
        </w:rPr>
        <w:t>：</w:t>
      </w:r>
    </w:p>
    <w:p w14:paraId="4167E8FC">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严禁在具有火灾、爆炸危险的场所使用明火</w:t>
      </w:r>
      <w:r>
        <w:rPr>
          <w:rFonts w:hint="eastAsia" w:ascii="仿宋_GB2312" w:hAnsi="仿宋_GB2312" w:eastAsia="仿宋_GB2312" w:cs="仿宋_GB2312"/>
          <w:color w:val="auto"/>
          <w:sz w:val="32"/>
          <w:szCs w:val="32"/>
          <w:highlight w:val="none"/>
          <w:lang w:eastAsia="zh-CN"/>
        </w:rPr>
        <w:t>；</w:t>
      </w:r>
    </w:p>
    <w:p w14:paraId="6DBB5AC2">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因特殊状况需要进行电、气焊等明火作业的，相关人员应当按照单位的用火管理制度办理审批手续</w:t>
      </w:r>
      <w:r>
        <w:rPr>
          <w:rFonts w:hint="eastAsia" w:ascii="仿宋_GB2312" w:hAnsi="仿宋_GB2312" w:eastAsia="仿宋_GB2312" w:cs="仿宋_GB2312"/>
          <w:color w:val="auto"/>
          <w:sz w:val="32"/>
          <w:szCs w:val="32"/>
          <w:highlight w:val="none"/>
          <w:lang w:eastAsia="zh-CN"/>
        </w:rPr>
        <w:t>；</w:t>
      </w:r>
    </w:p>
    <w:p w14:paraId="1F1A93FB">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贯彻现场监护人，在确认无火灾、爆炸危险后方可动火施工</w:t>
      </w:r>
      <w:r>
        <w:rPr>
          <w:rFonts w:hint="eastAsia" w:ascii="仿宋_GB2312" w:hAnsi="仿宋_GB2312" w:eastAsia="仿宋_GB2312" w:cs="仿宋_GB2312"/>
          <w:color w:val="auto"/>
          <w:sz w:val="32"/>
          <w:szCs w:val="32"/>
          <w:highlight w:val="none"/>
          <w:lang w:eastAsia="zh-CN"/>
        </w:rPr>
        <w:t>；</w:t>
      </w:r>
    </w:p>
    <w:p w14:paraId="75297525">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动火施工人员应当持有操作证，遵守防火安全规定，并贯彻对应的防火安全措施</w:t>
      </w:r>
      <w:r>
        <w:rPr>
          <w:rFonts w:hint="eastAsia" w:ascii="仿宋_GB2312" w:hAnsi="仿宋_GB2312" w:eastAsia="仿宋_GB2312" w:cs="仿宋_GB2312"/>
          <w:color w:val="auto"/>
          <w:sz w:val="32"/>
          <w:szCs w:val="32"/>
          <w:highlight w:val="none"/>
          <w:lang w:eastAsia="zh-CN"/>
        </w:rPr>
        <w:t>；</w:t>
      </w:r>
    </w:p>
    <w:p w14:paraId="3AA4D1F6">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对施工区和使用区进行防火分隔，清除动火区域的易燃、可燃物，配置消防器材，专人监护，保证施工及使用范围的消防安全</w:t>
      </w:r>
      <w:r>
        <w:rPr>
          <w:rFonts w:hint="eastAsia" w:ascii="仿宋_GB2312" w:hAnsi="仿宋_GB2312" w:eastAsia="仿宋_GB2312" w:cs="仿宋_GB2312"/>
          <w:color w:val="auto"/>
          <w:sz w:val="32"/>
          <w:szCs w:val="32"/>
          <w:highlight w:val="none"/>
          <w:lang w:eastAsia="zh-CN"/>
        </w:rPr>
        <w:t>；</w:t>
      </w:r>
    </w:p>
    <w:p w14:paraId="44E530C7">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3、厨房用火，必须专人值班，做好防火监护工作，按安全操作规程操作</w:t>
      </w:r>
      <w:r>
        <w:rPr>
          <w:rFonts w:hint="eastAsia" w:ascii="仿宋_GB2312" w:hAnsi="仿宋_GB2312" w:eastAsia="仿宋_GB2312" w:cs="仿宋_GB2312"/>
          <w:color w:val="auto"/>
          <w:sz w:val="32"/>
          <w:szCs w:val="32"/>
          <w:highlight w:val="none"/>
          <w:lang w:eastAsia="zh-CN"/>
        </w:rPr>
        <w:t>；</w:t>
      </w:r>
    </w:p>
    <w:p w14:paraId="4CF2A8BC">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4、如因违反规定酿成火灾事故者，将予以赔偿经济损失、罚款及行政惩罚直至依法追究法律责任。</w:t>
      </w:r>
    </w:p>
    <w:p w14:paraId="58B5717F">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第二十二条 火灾隐患整改制度</w:t>
      </w:r>
    </w:p>
    <w:p w14:paraId="52482292">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1、对存在的火灾隐患，应当及时予以消除</w:t>
      </w:r>
      <w:r>
        <w:rPr>
          <w:rFonts w:hint="eastAsia" w:ascii="仿宋_GB2312" w:hAnsi="仿宋_GB2312" w:eastAsia="仿宋_GB2312" w:cs="仿宋_GB2312"/>
          <w:color w:val="auto"/>
          <w:sz w:val="32"/>
          <w:szCs w:val="32"/>
          <w:highlight w:val="none"/>
          <w:lang w:eastAsia="zh-CN"/>
        </w:rPr>
        <w:t>：</w:t>
      </w:r>
    </w:p>
    <w:p w14:paraId="7BB22547">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2、对于检查规定当场整改的就要立即整改。下列行为应当场改正</w:t>
      </w:r>
      <w:r>
        <w:rPr>
          <w:rFonts w:hint="eastAsia" w:ascii="仿宋_GB2312" w:hAnsi="仿宋_GB2312" w:eastAsia="仿宋_GB2312" w:cs="仿宋_GB2312"/>
          <w:color w:val="auto"/>
          <w:sz w:val="32"/>
          <w:szCs w:val="32"/>
          <w:highlight w:val="none"/>
          <w:lang w:eastAsia="zh-CN"/>
        </w:rPr>
        <w:t>：</w:t>
      </w:r>
    </w:p>
    <w:p w14:paraId="1E890168">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用火、用电有无违章状况</w:t>
      </w:r>
      <w:r>
        <w:rPr>
          <w:rFonts w:hint="eastAsia" w:ascii="仿宋_GB2312" w:hAnsi="仿宋_GB2312" w:eastAsia="仿宋_GB2312" w:cs="仿宋_GB2312"/>
          <w:color w:val="auto"/>
          <w:sz w:val="32"/>
          <w:szCs w:val="32"/>
          <w:highlight w:val="none"/>
          <w:lang w:eastAsia="zh-CN"/>
        </w:rPr>
        <w:t>；</w:t>
      </w:r>
    </w:p>
    <w:p w14:paraId="4B1048A6">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安全出口、疏散通道</w:t>
      </w:r>
      <w:r>
        <w:rPr>
          <w:rFonts w:hint="eastAsia" w:ascii="仿宋_GB2312" w:hAnsi="仿宋_GB2312" w:eastAsia="仿宋_GB2312" w:cs="仿宋_GB2312"/>
          <w:color w:val="auto"/>
          <w:sz w:val="32"/>
          <w:szCs w:val="32"/>
          <w:highlight w:val="none"/>
          <w:lang w:val="en-US" w:eastAsia="zh-CN"/>
        </w:rPr>
        <w:t>是</w:t>
      </w:r>
      <w:r>
        <w:rPr>
          <w:rFonts w:hint="eastAsia" w:ascii="仿宋_GB2312" w:hAnsi="仿宋_GB2312" w:eastAsia="仿宋_GB2312" w:cs="仿宋_GB2312"/>
          <w:color w:val="auto"/>
          <w:sz w:val="32"/>
          <w:szCs w:val="32"/>
          <w:highlight w:val="none"/>
        </w:rPr>
        <w:t>否畅通，安全疏散指示标志、应急照明</w:t>
      </w:r>
      <w:r>
        <w:rPr>
          <w:rFonts w:hint="eastAsia" w:ascii="仿宋_GB2312" w:hAnsi="仿宋_GB2312" w:eastAsia="仿宋_GB2312" w:cs="仿宋_GB2312"/>
          <w:color w:val="auto"/>
          <w:sz w:val="32"/>
          <w:szCs w:val="32"/>
          <w:highlight w:val="none"/>
          <w:lang w:val="en-US" w:eastAsia="zh-CN"/>
        </w:rPr>
        <w:t>是</w:t>
      </w:r>
      <w:r>
        <w:rPr>
          <w:rFonts w:hint="eastAsia" w:ascii="仿宋_GB2312" w:hAnsi="仿宋_GB2312" w:eastAsia="仿宋_GB2312" w:cs="仿宋_GB2312"/>
          <w:color w:val="auto"/>
          <w:sz w:val="32"/>
          <w:szCs w:val="32"/>
          <w:highlight w:val="none"/>
        </w:rPr>
        <w:t>否完好</w:t>
      </w:r>
      <w:r>
        <w:rPr>
          <w:rFonts w:hint="eastAsia" w:ascii="仿宋_GB2312" w:hAnsi="仿宋_GB2312" w:eastAsia="仿宋_GB2312" w:cs="仿宋_GB2312"/>
          <w:color w:val="auto"/>
          <w:sz w:val="32"/>
          <w:szCs w:val="32"/>
          <w:highlight w:val="none"/>
          <w:lang w:eastAsia="zh-CN"/>
        </w:rPr>
        <w:t>；</w:t>
      </w:r>
    </w:p>
    <w:p w14:paraId="33CA666A">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防火设施、器材和消防安全标志</w:t>
      </w:r>
      <w:r>
        <w:rPr>
          <w:rFonts w:hint="eastAsia" w:ascii="仿宋_GB2312" w:hAnsi="仿宋_GB2312" w:eastAsia="仿宋_GB2312" w:cs="仿宋_GB2312"/>
          <w:color w:val="auto"/>
          <w:sz w:val="32"/>
          <w:szCs w:val="32"/>
          <w:highlight w:val="none"/>
          <w:lang w:val="en-US" w:eastAsia="zh-CN"/>
        </w:rPr>
        <w:t>是</w:t>
      </w:r>
      <w:r>
        <w:rPr>
          <w:rFonts w:hint="eastAsia" w:ascii="仿宋_GB2312" w:hAnsi="仿宋_GB2312" w:eastAsia="仿宋_GB2312" w:cs="仿宋_GB2312"/>
          <w:color w:val="auto"/>
          <w:sz w:val="32"/>
          <w:szCs w:val="32"/>
          <w:highlight w:val="none"/>
        </w:rPr>
        <w:t>否在位、完整</w:t>
      </w:r>
      <w:r>
        <w:rPr>
          <w:rFonts w:hint="eastAsia" w:ascii="仿宋_GB2312" w:hAnsi="仿宋_GB2312" w:eastAsia="仿宋_GB2312" w:cs="仿宋_GB2312"/>
          <w:color w:val="auto"/>
          <w:sz w:val="32"/>
          <w:szCs w:val="32"/>
          <w:highlight w:val="none"/>
          <w:lang w:eastAsia="zh-CN"/>
        </w:rPr>
        <w:t>；</w:t>
      </w:r>
    </w:p>
    <w:p w14:paraId="1188910E">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常闭式防火门</w:t>
      </w:r>
      <w:r>
        <w:rPr>
          <w:rFonts w:hint="eastAsia" w:ascii="仿宋_GB2312" w:hAnsi="仿宋_GB2312" w:eastAsia="仿宋_GB2312" w:cs="仿宋_GB2312"/>
          <w:color w:val="auto"/>
          <w:sz w:val="32"/>
          <w:szCs w:val="32"/>
          <w:highlight w:val="none"/>
          <w:lang w:val="en-US" w:eastAsia="zh-CN"/>
        </w:rPr>
        <w:t>未</w:t>
      </w:r>
      <w:r>
        <w:rPr>
          <w:rFonts w:hint="eastAsia" w:ascii="仿宋_GB2312" w:hAnsi="仿宋_GB2312" w:eastAsia="仿宋_GB2312" w:cs="仿宋_GB2312"/>
          <w:color w:val="auto"/>
          <w:sz w:val="32"/>
          <w:szCs w:val="32"/>
          <w:highlight w:val="none"/>
        </w:rPr>
        <w:t>处在关闭状态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防火卷帘下</w:t>
      </w:r>
      <w:r>
        <w:rPr>
          <w:rFonts w:hint="eastAsia" w:ascii="仿宋_GB2312" w:hAnsi="仿宋_GB2312" w:eastAsia="仿宋_GB2312" w:cs="仿宋_GB2312"/>
          <w:color w:val="auto"/>
          <w:sz w:val="32"/>
          <w:szCs w:val="32"/>
          <w:highlight w:val="none"/>
          <w:lang w:val="en-US" w:eastAsia="zh-CN"/>
        </w:rPr>
        <w:t>有</w:t>
      </w:r>
      <w:r>
        <w:rPr>
          <w:rFonts w:hint="eastAsia" w:ascii="仿宋_GB2312" w:hAnsi="仿宋_GB2312" w:eastAsia="仿宋_GB2312" w:cs="仿宋_GB2312"/>
          <w:color w:val="auto"/>
          <w:sz w:val="32"/>
          <w:szCs w:val="32"/>
          <w:highlight w:val="none"/>
        </w:rPr>
        <w:t>堆放物品影响使用</w:t>
      </w:r>
      <w:r>
        <w:rPr>
          <w:rFonts w:hint="eastAsia" w:ascii="仿宋_GB2312" w:hAnsi="仿宋_GB2312" w:eastAsia="仿宋_GB2312" w:cs="仿宋_GB2312"/>
          <w:color w:val="auto"/>
          <w:sz w:val="32"/>
          <w:szCs w:val="32"/>
          <w:highlight w:val="none"/>
          <w:lang w:eastAsia="zh-CN"/>
        </w:rPr>
        <w:t>；</w:t>
      </w:r>
    </w:p>
    <w:p w14:paraId="37C2C423">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防火安全重点部位的人员</w:t>
      </w:r>
      <w:r>
        <w:rPr>
          <w:rFonts w:hint="eastAsia" w:ascii="仿宋_GB2312" w:hAnsi="仿宋_GB2312" w:eastAsia="仿宋_GB2312" w:cs="仿宋_GB2312"/>
          <w:color w:val="auto"/>
          <w:sz w:val="32"/>
          <w:szCs w:val="32"/>
          <w:highlight w:val="none"/>
          <w:lang w:val="en-US" w:eastAsia="zh-CN"/>
        </w:rPr>
        <w:t>未在岗</w:t>
      </w:r>
      <w:r>
        <w:rPr>
          <w:rFonts w:hint="eastAsia" w:ascii="仿宋_GB2312" w:hAnsi="仿宋_GB2312" w:eastAsia="仿宋_GB2312" w:cs="仿宋_GB2312"/>
          <w:color w:val="auto"/>
          <w:sz w:val="32"/>
          <w:szCs w:val="32"/>
          <w:highlight w:val="none"/>
          <w:lang w:eastAsia="zh-CN"/>
        </w:rPr>
        <w:t>。</w:t>
      </w:r>
    </w:p>
    <w:p w14:paraId="55803999">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3、对不能当场整改的，汇报防火安全负责人或防火安全管理人，提出整改方案并由被检查部门负责人签字。被检查部门负责人应当确定整改措施，限期，并负责贯彻整改</w:t>
      </w:r>
      <w:r>
        <w:rPr>
          <w:rFonts w:hint="eastAsia" w:ascii="仿宋_GB2312" w:hAnsi="仿宋_GB2312" w:eastAsia="仿宋_GB2312" w:cs="仿宋_GB2312"/>
          <w:color w:val="auto"/>
          <w:sz w:val="32"/>
          <w:szCs w:val="32"/>
          <w:highlight w:val="none"/>
          <w:lang w:eastAsia="zh-CN"/>
        </w:rPr>
        <w:t>；</w:t>
      </w:r>
    </w:p>
    <w:p w14:paraId="574950A8">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4、隐患消除之前应当贯彻防备措施，保障消防安全</w:t>
      </w:r>
      <w:r>
        <w:rPr>
          <w:rFonts w:hint="eastAsia" w:ascii="仿宋_GB2312" w:hAnsi="仿宋_GB2312" w:eastAsia="仿宋_GB2312" w:cs="仿宋_GB2312"/>
          <w:color w:val="auto"/>
          <w:sz w:val="32"/>
          <w:szCs w:val="32"/>
          <w:highlight w:val="none"/>
          <w:lang w:eastAsia="zh-CN"/>
        </w:rPr>
        <w:t>；</w:t>
      </w:r>
    </w:p>
    <w:p w14:paraId="17D77BE5">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5、隐患整改完毕，负责整改的部门或人员应当将整改状况</w:t>
      </w:r>
      <w:r>
        <w:rPr>
          <w:rFonts w:hint="eastAsia" w:ascii="仿宋_GB2312" w:hAnsi="仿宋_GB2312" w:eastAsia="仿宋_GB2312" w:cs="仿宋_GB2312"/>
          <w:color w:val="auto"/>
          <w:sz w:val="32"/>
          <w:szCs w:val="32"/>
          <w:highlight w:val="none"/>
          <w:lang w:val="en-US" w:eastAsia="zh-CN"/>
        </w:rPr>
        <w:t>报</w:t>
      </w:r>
      <w:r>
        <w:rPr>
          <w:rFonts w:hint="eastAsia" w:ascii="仿宋_GB2312" w:hAnsi="仿宋_GB2312" w:eastAsia="仿宋_GB2312" w:cs="仿宋_GB2312"/>
          <w:color w:val="auto"/>
          <w:sz w:val="32"/>
          <w:szCs w:val="32"/>
          <w:highlight w:val="none"/>
        </w:rPr>
        <w:t>告</w:t>
      </w:r>
      <w:r>
        <w:rPr>
          <w:rFonts w:hint="eastAsia" w:ascii="仿宋_GB2312" w:hAnsi="仿宋_GB2312" w:eastAsia="仿宋_GB2312" w:cs="仿宋_GB2312"/>
          <w:color w:val="auto"/>
          <w:sz w:val="32"/>
          <w:szCs w:val="32"/>
          <w:highlight w:val="none"/>
          <w:lang w:val="en-US" w:eastAsia="zh-CN"/>
        </w:rPr>
        <w:t>综合部</w:t>
      </w:r>
      <w:r>
        <w:rPr>
          <w:rFonts w:hint="eastAsia" w:ascii="仿宋_GB2312" w:hAnsi="仿宋_GB2312" w:eastAsia="仿宋_GB2312" w:cs="仿宋_GB2312"/>
          <w:color w:val="auto"/>
          <w:sz w:val="32"/>
          <w:szCs w:val="32"/>
          <w:highlight w:val="none"/>
        </w:rPr>
        <w:t>，提出复查。由安全检查人员复查合格后并由防火安全负责人或防火安全管理人签字确认后存档</w:t>
      </w:r>
      <w:r>
        <w:rPr>
          <w:rFonts w:hint="eastAsia" w:ascii="仿宋_GB2312" w:hAnsi="仿宋_GB2312" w:eastAsia="仿宋_GB2312" w:cs="仿宋_GB2312"/>
          <w:color w:val="auto"/>
          <w:sz w:val="32"/>
          <w:szCs w:val="32"/>
          <w:highlight w:val="none"/>
          <w:lang w:eastAsia="zh-CN"/>
        </w:rPr>
        <w:t>；</w:t>
      </w:r>
    </w:p>
    <w:p w14:paraId="63CE6186">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第二十三条 仓库防火安全管理制度</w:t>
      </w:r>
    </w:p>
    <w:p w14:paraId="476A5EF9">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1、必须懂得储存物品的性能，危险性和灭火措施，做到分类储存，堆放整洁，留有通道，不得超过储存量</w:t>
      </w:r>
      <w:r>
        <w:rPr>
          <w:rFonts w:hint="eastAsia" w:ascii="仿宋_GB2312" w:hAnsi="仿宋_GB2312" w:eastAsia="仿宋_GB2312" w:cs="仿宋_GB2312"/>
          <w:color w:val="auto"/>
          <w:sz w:val="32"/>
          <w:szCs w:val="32"/>
          <w:highlight w:val="none"/>
          <w:lang w:eastAsia="zh-CN"/>
        </w:rPr>
        <w:t>；</w:t>
      </w:r>
    </w:p>
    <w:p w14:paraId="6E149444">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2、加强对火种、电源的管理，库内严禁吸烟、严禁乱拉乱接临时线路，严禁使用电热器具，严禁私自动用明火</w:t>
      </w:r>
      <w:r>
        <w:rPr>
          <w:rFonts w:hint="eastAsia" w:ascii="仿宋_GB2312" w:hAnsi="仿宋_GB2312" w:eastAsia="仿宋_GB2312" w:cs="仿宋_GB2312"/>
          <w:color w:val="auto"/>
          <w:sz w:val="32"/>
          <w:szCs w:val="32"/>
          <w:highlight w:val="none"/>
          <w:lang w:eastAsia="zh-CN"/>
        </w:rPr>
        <w:t>；</w:t>
      </w:r>
    </w:p>
    <w:p w14:paraId="743FF482">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3、库内保持干燥，通风防潮，保持整洁</w:t>
      </w:r>
      <w:r>
        <w:rPr>
          <w:rFonts w:hint="eastAsia" w:ascii="仿宋_GB2312" w:hAnsi="仿宋_GB2312" w:eastAsia="仿宋_GB2312" w:cs="仿宋_GB2312"/>
          <w:color w:val="auto"/>
          <w:sz w:val="32"/>
          <w:szCs w:val="32"/>
          <w:highlight w:val="none"/>
          <w:lang w:eastAsia="zh-CN"/>
        </w:rPr>
        <w:t>；</w:t>
      </w:r>
    </w:p>
    <w:p w14:paraId="646D0418">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4、库内物品堆垛必须保持“五距”</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即柱距、墙距、顶距、间距</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灯距，保证通道畅通</w:t>
      </w:r>
      <w:r>
        <w:rPr>
          <w:rFonts w:hint="eastAsia" w:ascii="仿宋_GB2312" w:hAnsi="仿宋_GB2312" w:eastAsia="仿宋_GB2312" w:cs="仿宋_GB2312"/>
          <w:color w:val="auto"/>
          <w:sz w:val="32"/>
          <w:szCs w:val="32"/>
          <w:highlight w:val="none"/>
          <w:lang w:eastAsia="zh-CN"/>
        </w:rPr>
        <w:t>；</w:t>
      </w:r>
    </w:p>
    <w:p w14:paraId="2429E3FE">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5、库内电气线路严禁乱拉乱接，严禁使用碘钨灯，</w:t>
      </w:r>
    </w:p>
    <w:p w14:paraId="529137E3">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第二十四条 防火器材设施维护管理制度</w:t>
      </w:r>
    </w:p>
    <w:p w14:paraId="382FA8F2">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1、按照规定对灭火器材建立档案资料，记明配置类型、数量、位置、检查维修单位、更换药剂的时间等基本状况</w:t>
      </w:r>
      <w:r>
        <w:rPr>
          <w:rFonts w:hint="eastAsia" w:ascii="仿宋_GB2312" w:hAnsi="仿宋_GB2312" w:eastAsia="仿宋_GB2312" w:cs="仿宋_GB2312"/>
          <w:color w:val="auto"/>
          <w:sz w:val="32"/>
          <w:szCs w:val="32"/>
          <w:highlight w:val="none"/>
          <w:lang w:eastAsia="zh-CN"/>
        </w:rPr>
        <w:t>；</w:t>
      </w:r>
    </w:p>
    <w:p w14:paraId="1A6138D8">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2、每年需对各新型集体林场的防火设施全面维修、检查一次</w:t>
      </w:r>
      <w:r>
        <w:rPr>
          <w:rFonts w:hint="eastAsia" w:ascii="仿宋_GB2312" w:hAnsi="仿宋_GB2312" w:eastAsia="仿宋_GB2312" w:cs="仿宋_GB2312"/>
          <w:color w:val="auto"/>
          <w:sz w:val="32"/>
          <w:szCs w:val="32"/>
          <w:highlight w:val="none"/>
          <w:lang w:eastAsia="zh-CN"/>
        </w:rPr>
        <w:t>；</w:t>
      </w:r>
    </w:p>
    <w:p w14:paraId="552AF107">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3、消防器材由新型集体林场管理员进行管理，以保证防火器材完好和充足</w:t>
      </w:r>
      <w:r>
        <w:rPr>
          <w:rFonts w:hint="eastAsia" w:ascii="仿宋_GB2312" w:hAnsi="仿宋_GB2312" w:eastAsia="仿宋_GB2312" w:cs="仿宋_GB2312"/>
          <w:color w:val="auto"/>
          <w:sz w:val="32"/>
          <w:szCs w:val="32"/>
          <w:highlight w:val="none"/>
          <w:lang w:eastAsia="zh-CN"/>
        </w:rPr>
        <w:t>；</w:t>
      </w:r>
    </w:p>
    <w:p w14:paraId="1F97B3E4">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4、各部门的消防器材由所在班组负责保养，保证消防器材的整洁、完好</w:t>
      </w:r>
      <w:r>
        <w:rPr>
          <w:rFonts w:hint="eastAsia" w:ascii="仿宋_GB2312" w:hAnsi="仿宋_GB2312" w:eastAsia="仿宋_GB2312" w:cs="仿宋_GB2312"/>
          <w:color w:val="auto"/>
          <w:sz w:val="32"/>
          <w:szCs w:val="32"/>
          <w:highlight w:val="none"/>
          <w:lang w:eastAsia="zh-CN"/>
        </w:rPr>
        <w:t>；</w:t>
      </w:r>
    </w:p>
    <w:p w14:paraId="0DA91096">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pacing w:val="-6"/>
          <w:sz w:val="32"/>
          <w:szCs w:val="32"/>
          <w:highlight w:val="none"/>
        </w:rPr>
        <w:t>管理员定期对消防器材进行检查，发现问题立即整改</w:t>
      </w:r>
      <w:r>
        <w:rPr>
          <w:rFonts w:hint="eastAsia" w:ascii="仿宋_GB2312" w:hAnsi="仿宋_GB2312" w:eastAsia="仿宋_GB2312" w:cs="仿宋_GB2312"/>
          <w:color w:val="auto"/>
          <w:spacing w:val="-6"/>
          <w:sz w:val="32"/>
          <w:szCs w:val="32"/>
          <w:highlight w:val="none"/>
          <w:lang w:eastAsia="zh-CN"/>
        </w:rPr>
        <w:t>；</w:t>
      </w:r>
    </w:p>
    <w:p w14:paraId="2CC56885">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6、各岗位职工应关怀、爱惜消防器材，发现问题及时汇报。</w:t>
      </w:r>
    </w:p>
    <w:p w14:paraId="0A171B22">
      <w:pPr>
        <w:keepNext/>
        <w:keepLines/>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color w:val="auto"/>
          <w:kern w:val="2"/>
          <w:sz w:val="32"/>
          <w:szCs w:val="32"/>
          <w:highlight w:val="none"/>
          <w:lang w:val="en-US" w:eastAsia="zh-CN" w:bidi="ar-SA"/>
        </w:rPr>
      </w:pPr>
    </w:p>
    <w:p w14:paraId="4737D00B">
      <w:pPr>
        <w:keepNext/>
        <w:keepLines/>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1"/>
        <w:rPr>
          <w:rFonts w:hint="eastAsia" w:ascii="楷体_GB2312" w:hAnsi="楷体_GB2312" w:eastAsia="楷体_GB2312" w:cs="楷体_GB2312"/>
          <w:b/>
          <w:color w:val="auto"/>
          <w:kern w:val="2"/>
          <w:sz w:val="32"/>
          <w:szCs w:val="32"/>
          <w:highlight w:val="none"/>
          <w:lang w:val="en-US" w:eastAsia="zh-CN" w:bidi="ar-SA"/>
        </w:rPr>
      </w:pPr>
      <w:bookmarkStart w:id="137" w:name="_Toc28011"/>
      <w:r>
        <w:rPr>
          <w:rFonts w:hint="eastAsia" w:ascii="楷体_GB2312" w:hAnsi="楷体_GB2312" w:eastAsia="楷体_GB2312" w:cs="楷体_GB2312"/>
          <w:b/>
          <w:color w:val="auto"/>
          <w:kern w:val="2"/>
          <w:sz w:val="32"/>
          <w:szCs w:val="32"/>
          <w:highlight w:val="none"/>
          <w:lang w:val="en-US" w:eastAsia="zh-CN" w:bidi="ar-SA"/>
        </w:rPr>
        <w:t>（二）病虫害防治制度</w:t>
      </w:r>
      <w:bookmarkEnd w:id="137"/>
      <w:r>
        <w:rPr>
          <w:rFonts w:hint="eastAsia" w:ascii="楷体_GB2312" w:hAnsi="楷体_GB2312" w:eastAsia="楷体_GB2312" w:cs="楷体_GB2312"/>
          <w:b/>
          <w:color w:val="auto"/>
          <w:kern w:val="2"/>
          <w:sz w:val="32"/>
          <w:szCs w:val="32"/>
          <w:highlight w:val="none"/>
          <w:lang w:val="en-US" w:eastAsia="zh-CN" w:bidi="ar-SA"/>
        </w:rPr>
        <w:t>模板</w:t>
      </w:r>
    </w:p>
    <w:p w14:paraId="64EC382F">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38" w:name="_Toc22459"/>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第一章 总  则</w:t>
      </w:r>
      <w:bookmarkEnd w:id="138"/>
    </w:p>
    <w:p w14:paraId="2C8996FD">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（一）目的</w:t>
      </w:r>
    </w:p>
    <w:p w14:paraId="06537F19">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为保障</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新型集体林场森林资源健康，提升林业生态系统稳定性，科学、高效、规范地开展病虫害防治工作，将病虫害损失控制在最低限度，特制定本制度。</w:t>
      </w:r>
    </w:p>
    <w:p w14:paraId="73DF614D">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（二）适用范围</w:t>
      </w:r>
    </w:p>
    <w:p w14:paraId="7E1750F3">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本制度适用于</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新型集体林场的林木、花卉、种苗及林下植被的病虫害防治。</w:t>
      </w:r>
    </w:p>
    <w:p w14:paraId="42867C3E">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（三）防治原则</w:t>
      </w:r>
    </w:p>
    <w:p w14:paraId="58DECB46">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秉持“预防为主，综合防治”的理念，以营林措施为基础，优先采用生物、物理防治手段，合理运用化学防治，注重</w:t>
      </w:r>
      <w:r>
        <w:rPr>
          <w:rFonts w:hint="eastAsia" w:ascii="仿宋_GB2312" w:hAnsi="仿宋_GB2312" w:eastAsia="仿宋_GB2312" w:cs="仿宋_GB2312"/>
          <w:color w:val="auto"/>
          <w:spacing w:val="-6"/>
          <w:sz w:val="32"/>
          <w:szCs w:val="32"/>
          <w:highlight w:val="none"/>
        </w:rPr>
        <w:t>生态环境保护，维持林地生物多样性，促进林业可持续发展。</w:t>
      </w:r>
    </w:p>
    <w:p w14:paraId="1D0F318E">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39" w:name="_Toc19820"/>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第二章 前期准备</w:t>
      </w:r>
      <w:bookmarkEnd w:id="139"/>
    </w:p>
    <w:p w14:paraId="7D8C55BA">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（一）人员组织与培训</w:t>
      </w:r>
    </w:p>
    <w:p w14:paraId="39482F49">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林场应组建专业的病虫害防治队伍，包含林业技术人员、</w:t>
      </w:r>
      <w:r>
        <w:rPr>
          <w:rFonts w:hint="eastAsia" w:ascii="仿宋_GB2312" w:hAnsi="仿宋_GB2312" w:eastAsia="仿宋_GB2312" w:cs="仿宋_GB2312"/>
          <w:color w:val="auto"/>
          <w:sz w:val="32"/>
          <w:szCs w:val="32"/>
          <w:highlight w:val="none"/>
          <w:lang w:eastAsia="zh-CN"/>
        </w:rPr>
        <w:t>巡护员</w:t>
      </w:r>
      <w:r>
        <w:rPr>
          <w:rFonts w:hint="eastAsia" w:ascii="仿宋_GB2312" w:hAnsi="仿宋_GB2312" w:eastAsia="仿宋_GB2312" w:cs="仿宋_GB2312"/>
          <w:color w:val="auto"/>
          <w:sz w:val="32"/>
          <w:szCs w:val="32"/>
          <w:highlight w:val="none"/>
        </w:rPr>
        <w:t>等。定期邀请植保专家、科研院校讲师开展培训，内容涵盖常见病虫害识别、监测技术、各类防治方法操作要点、农药安全使用知识等，提升人员专业素养。</w:t>
      </w:r>
    </w:p>
    <w:p w14:paraId="6F80F922">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新入职人员需进行不少于</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天的岗前集中培训，并在老员工带</w:t>
      </w:r>
      <w:r>
        <w:rPr>
          <w:rFonts w:hint="eastAsia" w:ascii="仿宋_GB2312" w:hAnsi="仿宋_GB2312" w:eastAsia="仿宋_GB2312" w:cs="仿宋_GB2312"/>
          <w:color w:val="auto"/>
          <w:sz w:val="32"/>
          <w:szCs w:val="32"/>
          <w:highlight w:val="none"/>
          <w:lang w:eastAsia="zh-CN"/>
        </w:rPr>
        <w:t>领下</w:t>
      </w:r>
      <w:r>
        <w:rPr>
          <w:rFonts w:hint="eastAsia" w:ascii="仿宋_GB2312" w:hAnsi="仿宋_GB2312" w:eastAsia="仿宋_GB2312" w:cs="仿宋_GB2312"/>
          <w:color w:val="auto"/>
          <w:sz w:val="32"/>
          <w:szCs w:val="32"/>
          <w:highlight w:val="none"/>
          <w:lang w:val="en-US" w:eastAsia="zh-CN"/>
        </w:rPr>
        <w:t>实操</w:t>
      </w:r>
      <w:r>
        <w:rPr>
          <w:rFonts w:hint="eastAsia" w:ascii="仿宋_GB2312" w:hAnsi="仿宋_GB2312" w:eastAsia="仿宋_GB2312" w:cs="仿宋_GB2312"/>
          <w:color w:val="auto"/>
          <w:sz w:val="32"/>
          <w:szCs w:val="32"/>
          <w:highlight w:val="none"/>
        </w:rPr>
        <w:t>3个月，经考核合格后方可独立开展工作。</w:t>
      </w:r>
    </w:p>
    <w:p w14:paraId="4BE58194">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（二）物资准备</w:t>
      </w:r>
    </w:p>
    <w:p w14:paraId="522B819F">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农药采购：依据林场病虫害发生历史及预测情况，采购高效、低毒、低残留且符合国家规定的农药。采购时检查农药“三证”（农药登记证、生产许可证、产品标准证），确保质量。</w:t>
      </w:r>
    </w:p>
    <w:p w14:paraId="6A58826A">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器械配备：配备充足的施药器械，如背负式喷雾器、担架式喷雾机、车载式打药机、弥雾机等，定期维护保养，保证施药时正常运行。同时准备诱捕器具，如黑光灯、糖醋液诱捕器、性诱剂诱捕器等，以及防护用品，如防护服、口罩、手套等。</w:t>
      </w:r>
    </w:p>
    <w:p w14:paraId="27DA13EF">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监测设备：安装昆虫诱捕灯、智能监测摄像头等设备，构建覆盖全场的监测网络，用于实时捕捉病虫害动态信息。</w:t>
      </w:r>
    </w:p>
    <w:p w14:paraId="57FA74D1">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40" w:name="_Toc26419"/>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第三章 监测预警</w:t>
      </w:r>
      <w:bookmarkEnd w:id="140"/>
    </w:p>
    <w:p w14:paraId="71973DE6">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（一）监测点设置</w:t>
      </w:r>
    </w:p>
    <w:p w14:paraId="1E2A031C">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林场的林种分布、地形地貌，按照不同林分类型，每500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1000亩设置1个固定监测点。例如，在针叶林集中区、阔叶林片区、混交林地带合理布局，确保各区域病虫害发生情况都能被精准捕捉。监测点配备数据记录手册、标本采集工具等。</w:t>
      </w:r>
    </w:p>
    <w:p w14:paraId="74E7E877">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（二）日常巡查</w:t>
      </w:r>
    </w:p>
    <w:p w14:paraId="1964B18B">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巡护员</w:t>
      </w:r>
      <w:r>
        <w:rPr>
          <w:rFonts w:hint="eastAsia" w:ascii="仿宋_GB2312" w:hAnsi="仿宋_GB2312" w:eastAsia="仿宋_GB2312" w:cs="仿宋_GB2312"/>
          <w:color w:val="auto"/>
          <w:sz w:val="32"/>
          <w:szCs w:val="32"/>
          <w:highlight w:val="none"/>
        </w:rPr>
        <w:t>每日开展</w:t>
      </w:r>
      <w:r>
        <w:rPr>
          <w:rFonts w:hint="eastAsia" w:ascii="仿宋_GB2312" w:hAnsi="仿宋_GB2312" w:eastAsia="仿宋_GB2312" w:cs="仿宋_GB2312"/>
          <w:color w:val="auto"/>
          <w:sz w:val="32"/>
          <w:szCs w:val="32"/>
          <w:highlight w:val="none"/>
          <w:lang w:val="en-US" w:eastAsia="zh-CN"/>
        </w:rPr>
        <w:t>林地</w:t>
      </w:r>
      <w:r>
        <w:rPr>
          <w:rFonts w:hint="eastAsia" w:ascii="仿宋_GB2312" w:hAnsi="仿宋_GB2312" w:eastAsia="仿宋_GB2312" w:cs="仿宋_GB2312"/>
          <w:color w:val="auto"/>
          <w:sz w:val="32"/>
          <w:szCs w:val="32"/>
          <w:highlight w:val="none"/>
        </w:rPr>
        <w:t>巡查，重点关注新</w:t>
      </w:r>
      <w:r>
        <w:rPr>
          <w:rFonts w:hint="eastAsia" w:ascii="仿宋_GB2312" w:hAnsi="仿宋_GB2312" w:eastAsia="仿宋_GB2312" w:cs="仿宋_GB2312"/>
          <w:color w:val="auto"/>
          <w:sz w:val="32"/>
          <w:szCs w:val="32"/>
          <w:highlight w:val="none"/>
          <w:lang w:val="en-US" w:eastAsia="zh-CN"/>
        </w:rPr>
        <w:t>植</w:t>
      </w:r>
      <w:r>
        <w:rPr>
          <w:rFonts w:hint="eastAsia" w:ascii="仿宋_GB2312" w:hAnsi="仿宋_GB2312" w:eastAsia="仿宋_GB2312" w:cs="仿宋_GB2312"/>
          <w:color w:val="auto"/>
          <w:sz w:val="32"/>
          <w:szCs w:val="32"/>
          <w:highlight w:val="none"/>
        </w:rPr>
        <w:t>林地、幼龄林、珍稀树种区。巡查时观察林木叶片有无斑点、卷曲、枯黄，枝干有无虫孔、瘤状物，树皮是否干裂、流胶等异常。发现疑似病虫害，及时拍照、记录位置与症状，通知技术人员。</w:t>
      </w:r>
    </w:p>
    <w:p w14:paraId="111223DE">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（三）定期普查</w:t>
      </w:r>
    </w:p>
    <w:p w14:paraId="42986F26">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技术人员</w:t>
      </w:r>
      <w:r>
        <w:rPr>
          <w:rFonts w:hint="eastAsia" w:ascii="仿宋_GB2312" w:hAnsi="仿宋_GB2312" w:eastAsia="仿宋_GB2312" w:cs="仿宋_GB2312"/>
          <w:color w:val="auto"/>
          <w:sz w:val="32"/>
          <w:szCs w:val="32"/>
          <w:highlight w:val="none"/>
          <w:lang w:val="en-US" w:eastAsia="zh-CN"/>
        </w:rPr>
        <w:t>在病虫害高发季节</w:t>
      </w:r>
      <w:r>
        <w:rPr>
          <w:rFonts w:hint="eastAsia" w:ascii="仿宋_GB2312" w:hAnsi="仿宋_GB2312" w:eastAsia="仿宋_GB2312" w:cs="仿宋_GB2312"/>
          <w:color w:val="auto"/>
          <w:sz w:val="32"/>
          <w:szCs w:val="32"/>
          <w:highlight w:val="none"/>
        </w:rPr>
        <w:t>每月组织一次全范围普查。采用随机抽样、对角线抽样等方法，选取有代表性的样地，统计害虫虫口密度、病害病情指数。对于大面积纯林，抽样比例不低于20%；混交林抽样比例适当提高至30%。详细记录普查数据，建立电子档案。</w:t>
      </w:r>
    </w:p>
    <w:p w14:paraId="1829C902">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（四）数据分析与上报</w:t>
      </w:r>
    </w:p>
    <w:p w14:paraId="563DBBCB">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分析监测数据，对比历年同期数据，结合当季气象、土壤湿度等环境因素，预测病虫害发展趋势。如果发现检疫性病虫害，及时上报上级主管部门。</w:t>
      </w:r>
    </w:p>
    <w:p w14:paraId="29D929D4">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41" w:name="_Toc23165"/>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第四章 物理防治技术</w:t>
      </w:r>
      <w:bookmarkEnd w:id="141"/>
    </w:p>
    <w:p w14:paraId="736D0B6F">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（一）树干围环</w:t>
      </w:r>
    </w:p>
    <w:p w14:paraId="0D8A977A">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防治对象：防治春尺蠖、草履蚧。</w:t>
      </w:r>
    </w:p>
    <w:p w14:paraId="6F7B0D48">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安装方法：在害虫上树前，用粘虫胶带绕树干胸径处缠绕一圈，宽度不小于20厘米。每株树围一环，重灾区可在树根基处再缠一圈。</w:t>
      </w:r>
    </w:p>
    <w:p w14:paraId="22880819">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使用时间：根据目标害虫不同选择胶面内外和使用时间。草履蚧围环时间为1月上旬前至6月底、春尺蠖围环时间为2月中旬至5月中旬。要求到期及时拆除。</w:t>
      </w:r>
    </w:p>
    <w:p w14:paraId="7CE41F7D">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技术要点：对于树皮粗糙或树缝较大的，可以将树皮刮平或填充物补平后再缠绕胶带；围环外侧面要保证平整无褶皱。其他要求按照《北京市园林绿化局关于印发林木围环操作指南的通知》要求执行。</w:t>
      </w:r>
    </w:p>
    <w:p w14:paraId="67AC4A37">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（二）美国白蛾诱捕器</w:t>
      </w:r>
    </w:p>
    <w:p w14:paraId="7BCB038B">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防治对象：美国白蛾。</w:t>
      </w:r>
    </w:p>
    <w:p w14:paraId="52FC448A">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悬挂树种：桑、榆、白蜡、槭树、国槐、法桐、臭椿、杨、柳等白蛾喜食树种。</w:t>
      </w:r>
    </w:p>
    <w:p w14:paraId="731827B6">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z w:val="32"/>
          <w:szCs w:val="32"/>
          <w:highlight w:val="none"/>
        </w:rPr>
        <w:t>悬</w:t>
      </w:r>
      <w:r>
        <w:rPr>
          <w:rFonts w:hint="eastAsia" w:ascii="仿宋_GB2312" w:hAnsi="仿宋_GB2312" w:eastAsia="仿宋_GB2312" w:cs="仿宋_GB2312"/>
          <w:color w:val="auto"/>
          <w:spacing w:val="-6"/>
          <w:sz w:val="32"/>
          <w:szCs w:val="32"/>
          <w:highlight w:val="none"/>
        </w:rPr>
        <w:t>挂时间：3月中旬～10月下旬，6月下旬更换一次诱芯。</w:t>
      </w:r>
    </w:p>
    <w:p w14:paraId="385A80DC">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悬挂方法：在林间棋盘式设置，将诱捕器悬挂于树冠；捕获的虫体数量较多时，应及时清理，并定期更换诱芯，以确保诱捕效果，诱捕器可重复使用；集虫桶中加入约1/3的清水或洗衣粉水，可提高诱捕效果。每200亩设置1套，盛发期可酌情增加或根据发生情况调整用量。</w:t>
      </w:r>
    </w:p>
    <w:p w14:paraId="41EFE393">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技术要点：诱芯使用前应在冰箱中冷藏保存，保质期18个月，一旦打开包装，应尽快使用，未用完的诱芯应密封冷藏保存，不宜长期存放；昆虫触角具有较灵敏的嗅觉系统，所以诱芯使用前后要洗手，以免污染诱芯，在诱芯储存和使用过程中避免交叉污染。</w:t>
      </w:r>
    </w:p>
    <w:p w14:paraId="036A3970">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42" w:name="_Toc27439"/>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第五章 生物防治技术</w:t>
      </w:r>
      <w:bookmarkEnd w:id="142"/>
    </w:p>
    <w:p w14:paraId="46A97339">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（一）管氏肿腿蜂</w:t>
      </w:r>
    </w:p>
    <w:p w14:paraId="574C5708">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防治对象：双条杉天牛、云杉花墨天牛、松褐天牛等天牛类蛀干害虫。</w:t>
      </w:r>
    </w:p>
    <w:p w14:paraId="6FFCED1C">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释放树种：侧柏、圆柏、油松。</w:t>
      </w:r>
    </w:p>
    <w:p w14:paraId="61B1142E">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释放方法：将装有肿腿蜂的指形管棉塞拔掉，借助树枝、翘皮或牙签等将指形管倒置于树干上，肿腿蜂就会爬出寻找寄主，成片林地等距离布点放蜂，点与点之间距离不超过10米。每亩放蜂10管，视天牛危害情况酌定。古柏及工程林因其本身价值高，放蜂量应适量加大，每株放蜂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5管。</w:t>
      </w:r>
    </w:p>
    <w:p w14:paraId="0B034108">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释放时间：5月中旬～6月中旬。</w:t>
      </w:r>
    </w:p>
    <w:p w14:paraId="57FAE952">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技术要点：雨天、大风天气禁放，释放前后7天禁止喷洒化学农药，10～20℃通风阴环境下可保存1～2天，禁止长期保存，释放时佩戴手套、口罩和防护服，防止被蜂叮咬。</w:t>
      </w:r>
    </w:p>
    <w:p w14:paraId="1B84A498">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（二）异色瓢虫卵卡</w:t>
      </w:r>
    </w:p>
    <w:p w14:paraId="45B4C0A7">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防治对象：多种蚜虫、某些蚧壳虫、木虱及鳞翅目昆虫的卵和低龄幼虫。</w:t>
      </w:r>
    </w:p>
    <w:p w14:paraId="24C08B6B">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释放树种：元宝枫、栾树、海棠、碧桃、紫叶李、油松、龙爪槐、国槐等。</w:t>
      </w:r>
    </w:p>
    <w:p w14:paraId="1767D239">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释放方法：将瓢虫卵卡悬挂在植株受害部位，避免阳光直射。释放数量10卵卡/亩。</w:t>
      </w:r>
    </w:p>
    <w:p w14:paraId="03BE92A8">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释放时间：4月下旬～6月均可以释放。</w:t>
      </w:r>
    </w:p>
    <w:p w14:paraId="1062AB51">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技术要点：雨天、大风天气禁放，释放区禁止喷洒化学农</w:t>
      </w:r>
      <w:r>
        <w:rPr>
          <w:rFonts w:hint="eastAsia" w:ascii="仿宋_GB2312" w:hAnsi="仿宋_GB2312" w:eastAsia="仿宋_GB2312" w:cs="仿宋_GB2312"/>
          <w:color w:val="auto"/>
          <w:spacing w:val="-6"/>
          <w:sz w:val="32"/>
          <w:szCs w:val="32"/>
          <w:highlight w:val="none"/>
        </w:rPr>
        <w:t>药，10～20℃通风阴环境下可保存1～2天，禁止长期保存。</w:t>
      </w:r>
    </w:p>
    <w:p w14:paraId="74A45E2E">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（三）周氏啮小蜂</w:t>
      </w:r>
    </w:p>
    <w:p w14:paraId="5637E28D">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防治对象：美国白蛾、杨扇舟蛾、舞毒蛾、国槐尺蠖、柳毒蛾、刺蛾等鳞翅目害虫。</w:t>
      </w:r>
    </w:p>
    <w:p w14:paraId="4AB77DA3">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释放树种：白蜡、法桐、杨、柳、臭椿、榆、国槐等阔叶树种。</w:t>
      </w:r>
    </w:p>
    <w:p w14:paraId="5ABBC95B">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释放方法：用大叶片包裹虫茧后用图钉或直接用图钉钉于树干胸高处，单剪蜂口的蜂茧剪口向下悬挂。放蜂数量：5个蜂茧/亩；发生量较大时，1个白蛾网幕放1～2个蜂茧。</w:t>
      </w:r>
    </w:p>
    <w:p w14:paraId="07819390">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释放时间：6月下旬～7月上旬，雨天时不要放蜂。</w:t>
      </w:r>
    </w:p>
    <w:p w14:paraId="38C926FD">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技术要点：雨天、大风天气禁放，释放前后7天禁止喷洒化学农药，10～20℃通风阴环境下可保存1～2天，禁止长期保存。</w:t>
      </w:r>
    </w:p>
    <w:p w14:paraId="1577E576">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43" w:name="_Toc13340"/>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第六章 化学防治技术</w:t>
      </w:r>
      <w:bookmarkEnd w:id="143"/>
    </w:p>
    <w:p w14:paraId="0B2ED90F">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（一）农药选择</w:t>
      </w:r>
    </w:p>
    <w:p w14:paraId="0E152594">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严格遵循国家禁限用农药名录，挑选对靶标病虫害高效、对非靶标生物低毒、在环境中残留期短的化学农药。采购时留存发票、说明书等资料。</w:t>
      </w:r>
    </w:p>
    <w:p w14:paraId="14A8D220">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（二）精准施药</w:t>
      </w:r>
    </w:p>
    <w:p w14:paraId="6C0E9F35">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施药前，技术人员依据病虫害发生程度、林分密度精确计算用药量、施药浓度。小面积或复杂地形用背负式喷雾器、担架式喷雾机，保证药剂均匀覆盖。施药时间选在无风或微风的清晨、傍晚，减少农药漂移。</w:t>
      </w:r>
    </w:p>
    <w:p w14:paraId="226F197B">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（三）安全防护与后续处理</w:t>
      </w:r>
    </w:p>
    <w:p w14:paraId="7CC24A67">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施药人员穿戴防护服、橡胶手套、防毒面具等防护用品。施药区域设置警示标识，禁止人畜随意进入，药效期过后方可解除。施药后，及时清洗施药器械，剩余农药密封储存，废弃农药包装按环保要求回收处理。</w:t>
      </w:r>
    </w:p>
    <w:p w14:paraId="70EEB03B">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44" w:name="_Toc30779"/>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第七章 不同林种病虫害防治要点</w:t>
      </w:r>
      <w:bookmarkEnd w:id="144"/>
    </w:p>
    <w:p w14:paraId="56455E4A">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（一）针叶林</w:t>
      </w:r>
    </w:p>
    <w:p w14:paraId="470A58FD">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针叶林常见病虫害有松材线虫病、小蠹虫、天牛等。针对松材线虫病，加强检疫；定期巡查，及时伐除病死木，伐桩高度控制在5厘米以下，用塑料薄膜覆盖并喷洒农药处理。</w:t>
      </w:r>
    </w:p>
    <w:p w14:paraId="13FC2D5F">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（二）阔叶林</w:t>
      </w:r>
    </w:p>
    <w:p w14:paraId="4A3D9E45">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阔叶林易受美国白蛾、杨扇舟蛾等害虫侵袭。美国白蛾防控上，利用性诱剂监测成虫发生期，在幼虫网幕期人工摘除网幕，幼虫分散后</w:t>
      </w:r>
      <w:r>
        <w:rPr>
          <w:rFonts w:hint="eastAsia" w:ascii="仿宋_GB2312" w:hAnsi="仿宋_GB2312" w:eastAsia="仿宋_GB2312" w:cs="仿宋_GB2312"/>
          <w:color w:val="auto"/>
          <w:sz w:val="32"/>
          <w:szCs w:val="32"/>
          <w:highlight w:val="none"/>
          <w:lang w:val="en-US" w:eastAsia="zh-CN"/>
        </w:rPr>
        <w:t>喷药防治</w:t>
      </w:r>
      <w:r>
        <w:rPr>
          <w:rFonts w:hint="eastAsia" w:ascii="仿宋_GB2312" w:hAnsi="仿宋_GB2312" w:eastAsia="仿宋_GB2312" w:cs="仿宋_GB2312"/>
          <w:color w:val="auto"/>
          <w:sz w:val="32"/>
          <w:szCs w:val="32"/>
          <w:highlight w:val="none"/>
        </w:rPr>
        <w:t>；杨扇舟蛾防治，可设置黑光灯诱捕成虫，幼虫期喷洒苏云金芽孢杆菌等生物药剂。</w:t>
      </w:r>
    </w:p>
    <w:p w14:paraId="39D2F3BE">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45" w:name="_Toc24411"/>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第八章 档案管理</w:t>
      </w:r>
      <w:bookmarkEnd w:id="145"/>
    </w:p>
    <w:p w14:paraId="6BB3CAD2">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（一）资料收集</w:t>
      </w:r>
    </w:p>
    <w:p w14:paraId="48D56F17">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收集整理病虫害监测记录、预警信息、防治方案、物资采购清单、施药记录、效果评估报告等资料，还包括培训记录、会议纪要等与病虫害防治相关的文件。</w:t>
      </w:r>
    </w:p>
    <w:p w14:paraId="42E6B76B">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（二）档案整理与保存</w:t>
      </w:r>
    </w:p>
    <w:p w14:paraId="0E864FA3">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按年度、月份分类归档，建立电子档案库与纸质档案库。电子档案定期备份，防止数据丢失；纸质档案存放于防潮、防火、防虫的档案室，保存期限不少于</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年，以便日后查阅、分析病虫害发生规律及防治经验总结。</w:t>
      </w:r>
    </w:p>
    <w:p w14:paraId="70074E66">
      <w:pPr>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sectPr>
          <w:footerReference r:id="rId6" w:type="default"/>
          <w:pgSz w:w="11906" w:h="16838"/>
          <w:pgMar w:top="1440" w:right="1800" w:bottom="1440" w:left="1800" w:header="851" w:footer="992" w:gutter="0"/>
          <w:pgNumType w:fmt="numberInDash"/>
          <w:cols w:space="720" w:num="1"/>
          <w:docGrid w:type="lines" w:linePitch="312" w:charSpace="0"/>
        </w:sectPr>
      </w:pPr>
    </w:p>
    <w:p w14:paraId="26F23009">
      <w:pPr>
        <w:keepNext/>
        <w:keepLines/>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outlineLvl w:val="1"/>
        <w:rPr>
          <w:rFonts w:hint="eastAsia" w:ascii="楷体_GB2312" w:hAnsi="楷体_GB2312" w:eastAsia="楷体_GB2312" w:cs="楷体_GB2312"/>
          <w:b/>
          <w:color w:val="auto"/>
          <w:kern w:val="2"/>
          <w:sz w:val="32"/>
          <w:szCs w:val="32"/>
          <w:highlight w:val="none"/>
          <w:lang w:val="en-US" w:eastAsia="zh-CN" w:bidi="ar-SA"/>
        </w:rPr>
      </w:pPr>
      <w:bookmarkStart w:id="146" w:name="_Toc19546"/>
      <w:r>
        <w:rPr>
          <w:rFonts w:hint="eastAsia" w:ascii="楷体_GB2312" w:hAnsi="楷体_GB2312" w:eastAsia="楷体_GB2312" w:cs="楷体_GB2312"/>
          <w:b/>
          <w:color w:val="auto"/>
          <w:kern w:val="2"/>
          <w:sz w:val="32"/>
          <w:szCs w:val="32"/>
          <w:highlight w:val="none"/>
          <w:lang w:val="en-US" w:eastAsia="zh-CN" w:bidi="ar-SA"/>
        </w:rPr>
        <w:t>（三）农药管理制度</w:t>
      </w:r>
      <w:bookmarkEnd w:id="146"/>
      <w:r>
        <w:rPr>
          <w:rFonts w:hint="eastAsia" w:ascii="楷体_GB2312" w:hAnsi="楷体_GB2312" w:eastAsia="楷体_GB2312" w:cs="楷体_GB2312"/>
          <w:b/>
          <w:color w:val="auto"/>
          <w:kern w:val="2"/>
          <w:sz w:val="32"/>
          <w:szCs w:val="32"/>
          <w:highlight w:val="none"/>
          <w:lang w:val="en-US" w:eastAsia="zh-CN" w:bidi="ar-SA"/>
        </w:rPr>
        <w:t>模板</w:t>
      </w:r>
    </w:p>
    <w:p w14:paraId="42EDD735">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第一章 农药产品进货查验制度</w:t>
      </w:r>
    </w:p>
    <w:p w14:paraId="06AF2FDF">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新型集体林场</w:t>
      </w:r>
      <w:r>
        <w:rPr>
          <w:rFonts w:hint="eastAsia" w:ascii="仿宋_GB2312" w:hAnsi="仿宋_GB2312" w:eastAsia="仿宋_GB2312" w:cs="仿宋_GB2312"/>
          <w:color w:val="auto"/>
          <w:sz w:val="32"/>
          <w:szCs w:val="32"/>
          <w:highlight w:val="none"/>
        </w:rPr>
        <w:t>采购农药产品时，应严格遵守如下规定：</w:t>
      </w:r>
    </w:p>
    <w:p w14:paraId="14E08196">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1、查验供货方是否有营业执照，并索要保存复印件。</w:t>
      </w:r>
    </w:p>
    <w:p w14:paraId="60F399D6">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2、要求供货方提供拟购进农药产品的“农药登记证（或农药临时登记证）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农药生产许可证（向中国出口的农药除外）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产品质量标准”的复印件；供货方为农药批发商时还应要求其提供相应资质的农药经营许可证复印件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所有复印件应与原件一致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并加盖公司</w:t>
      </w:r>
      <w:r>
        <w:rPr>
          <w:rFonts w:hint="eastAsia" w:ascii="仿宋_GB2312" w:hAnsi="仿宋_GB2312" w:eastAsia="仿宋_GB2312" w:cs="仿宋_GB2312"/>
          <w:color w:val="auto"/>
          <w:sz w:val="32"/>
          <w:szCs w:val="32"/>
          <w:highlight w:val="none"/>
          <w:lang w:eastAsia="zh-CN"/>
        </w:rPr>
        <w:t>公</w:t>
      </w:r>
      <w:r>
        <w:rPr>
          <w:rFonts w:hint="eastAsia" w:ascii="仿宋_GB2312" w:hAnsi="仿宋_GB2312" w:eastAsia="仿宋_GB2312" w:cs="仿宋_GB2312"/>
          <w:color w:val="auto"/>
          <w:sz w:val="32"/>
          <w:szCs w:val="32"/>
          <w:highlight w:val="none"/>
        </w:rPr>
        <w:t>章</w:t>
      </w:r>
      <w:r>
        <w:rPr>
          <w:rFonts w:hint="eastAsia" w:ascii="仿宋_GB2312" w:hAnsi="仿宋_GB2312" w:eastAsia="仿宋_GB2312" w:cs="仿宋_GB2312"/>
          <w:color w:val="auto"/>
          <w:sz w:val="32"/>
          <w:szCs w:val="32"/>
          <w:highlight w:val="none"/>
          <w:lang w:eastAsia="zh-CN"/>
        </w:rPr>
        <w:t>。</w:t>
      </w:r>
    </w:p>
    <w:p w14:paraId="007C8C05">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3、认真查验所购进农药产品包装是否合格、产品标签是否和</w:t>
      </w:r>
      <w:r>
        <w:rPr>
          <w:rFonts w:hint="eastAsia" w:ascii="仿宋_GB2312" w:hAnsi="仿宋_GB2312" w:eastAsia="仿宋_GB2312" w:cs="仿宋_GB2312"/>
          <w:color w:val="auto"/>
          <w:sz w:val="32"/>
          <w:szCs w:val="32"/>
          <w:highlight w:val="none"/>
          <w:lang w:eastAsia="zh-CN"/>
        </w:rPr>
        <w:t>农业农村部</w:t>
      </w:r>
      <w:r>
        <w:rPr>
          <w:rFonts w:hint="eastAsia" w:ascii="仿宋_GB2312" w:hAnsi="仿宋_GB2312" w:eastAsia="仿宋_GB2312" w:cs="仿宋_GB2312"/>
          <w:color w:val="auto"/>
          <w:sz w:val="32"/>
          <w:szCs w:val="32"/>
          <w:highlight w:val="none"/>
        </w:rPr>
        <w:t>备案的标签一致（可上中国农药信息网查询）、是否有产品质量检验合格证。</w:t>
      </w:r>
    </w:p>
    <w:p w14:paraId="6E21EE51">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4、不得购进假劣、无标签、无“三证”、国家禁用农药等不符合国家有关</w:t>
      </w:r>
      <w:r>
        <w:rPr>
          <w:rFonts w:hint="eastAsia" w:ascii="仿宋_GB2312" w:hAnsi="仿宋_GB2312" w:eastAsia="仿宋_GB2312" w:cs="仿宋_GB2312"/>
          <w:color w:val="auto"/>
          <w:sz w:val="32"/>
          <w:szCs w:val="32"/>
          <w:highlight w:val="none"/>
          <w:lang w:eastAsia="zh-CN"/>
        </w:rPr>
        <w:t>规定</w:t>
      </w:r>
      <w:r>
        <w:rPr>
          <w:rFonts w:hint="eastAsia" w:ascii="仿宋_GB2312" w:hAnsi="仿宋_GB2312" w:eastAsia="仿宋_GB2312" w:cs="仿宋_GB2312"/>
          <w:color w:val="auto"/>
          <w:sz w:val="32"/>
          <w:szCs w:val="32"/>
          <w:highlight w:val="none"/>
        </w:rPr>
        <w:t>的农药产品。</w:t>
      </w:r>
    </w:p>
    <w:p w14:paraId="0BB1EB2E">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5、如怀疑产品质量、标签等有问题而又难以确定时，可向当地农药监管部门及时反映情况。</w:t>
      </w:r>
    </w:p>
    <w:p w14:paraId="643CA143">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6、不得向无农药生产许可证的生产厂家或无农药经营许可证的经营者购进农药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经营者要对购进的农药产品负责。</w:t>
      </w:r>
    </w:p>
    <w:p w14:paraId="4140F1AE">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7、对购进的农药产品查验结果要做详细记载。 </w:t>
      </w:r>
    </w:p>
    <w:p w14:paraId="6D4DA397">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8、首选安全、高效低毒低残留的环境友好型农药，特别是生物制剂，同时应防止长期连续使用相同类别的农药，避免产生抗药性。坚决禁用国家明令禁止的农药品种。</w:t>
      </w:r>
    </w:p>
    <w:p w14:paraId="7123679B">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第二章 农药仓储管理制度</w:t>
      </w:r>
    </w:p>
    <w:p w14:paraId="3ADD1B11">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1、农药仓储场所应当与</w:t>
      </w:r>
      <w:r>
        <w:rPr>
          <w:rFonts w:hint="eastAsia" w:ascii="仿宋_GB2312" w:hAnsi="仿宋_GB2312" w:eastAsia="仿宋_GB2312" w:cs="仿宋_GB2312"/>
          <w:color w:val="auto"/>
          <w:sz w:val="32"/>
          <w:szCs w:val="32"/>
          <w:highlight w:val="none"/>
          <w:lang w:eastAsia="zh-CN"/>
        </w:rPr>
        <w:t>其他</w:t>
      </w:r>
      <w:r>
        <w:rPr>
          <w:rFonts w:hint="eastAsia" w:ascii="仿宋_GB2312" w:hAnsi="仿宋_GB2312" w:eastAsia="仿宋_GB2312" w:cs="仿宋_GB2312"/>
          <w:color w:val="auto"/>
          <w:sz w:val="32"/>
          <w:szCs w:val="32"/>
          <w:highlight w:val="none"/>
        </w:rPr>
        <w:t>商品、生活区域、水源有效隔离。</w:t>
      </w:r>
    </w:p>
    <w:p w14:paraId="4472C8B8">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2、农药库房要专人管理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严禁无关人员随意入内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仓库保管人员要配备必要的安全防护设施。</w:t>
      </w:r>
    </w:p>
    <w:p w14:paraId="682A2018">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3、仓库保管人员要有高度的责任心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对存储的农药产品要经常清点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检查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对农药包装破损的要及时上报和处理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避免农药产品失效、变质或造成</w:t>
      </w:r>
      <w:r>
        <w:rPr>
          <w:rFonts w:hint="eastAsia" w:ascii="仿宋_GB2312" w:hAnsi="仿宋_GB2312" w:eastAsia="仿宋_GB2312" w:cs="仿宋_GB2312"/>
          <w:color w:val="auto"/>
          <w:sz w:val="32"/>
          <w:szCs w:val="32"/>
          <w:highlight w:val="none"/>
          <w:lang w:eastAsia="zh-CN"/>
        </w:rPr>
        <w:t>其他</w:t>
      </w:r>
      <w:r>
        <w:rPr>
          <w:rFonts w:hint="eastAsia" w:ascii="仿宋_GB2312" w:hAnsi="仿宋_GB2312" w:eastAsia="仿宋_GB2312" w:cs="仿宋_GB2312"/>
          <w:color w:val="auto"/>
          <w:sz w:val="32"/>
          <w:szCs w:val="32"/>
          <w:highlight w:val="none"/>
        </w:rPr>
        <w:t>损失。</w:t>
      </w:r>
    </w:p>
    <w:p w14:paraId="5159E90D">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4、农药仓储库房的消防</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防盗和通风设施应保持良好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严防火灾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失盗和中毒事故发生。仓库保管人员进入长期不开门通风的库房，要做到先开门窗通风再进库。</w:t>
      </w:r>
    </w:p>
    <w:p w14:paraId="15F13013">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5、农药产品要分类、分区域放置，易于辨识，方便出入库。过期和失效农药要单独存放，并有明确</w:t>
      </w:r>
      <w:r>
        <w:rPr>
          <w:rFonts w:hint="eastAsia" w:ascii="仿宋_GB2312" w:hAnsi="仿宋_GB2312" w:eastAsia="仿宋_GB2312" w:cs="仿宋_GB2312"/>
          <w:color w:val="auto"/>
          <w:sz w:val="32"/>
          <w:szCs w:val="32"/>
          <w:highlight w:val="none"/>
          <w:lang w:eastAsia="zh-CN"/>
        </w:rPr>
        <w:t>标识</w:t>
      </w:r>
      <w:r>
        <w:rPr>
          <w:rFonts w:hint="eastAsia" w:ascii="仿宋_GB2312" w:hAnsi="仿宋_GB2312" w:eastAsia="仿宋_GB2312" w:cs="仿宋_GB2312"/>
          <w:color w:val="auto"/>
          <w:sz w:val="32"/>
          <w:szCs w:val="32"/>
          <w:highlight w:val="none"/>
        </w:rPr>
        <w:t>。</w:t>
      </w:r>
    </w:p>
    <w:p w14:paraId="0B98465A">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搬运、堆放农药要轻拿轻放，严禁倒置。搬运农药时要戴口罩、手套，穿长衣裤，避免农药直接接触皮肤。如有污染，及时清洗，发现中毒症状及时离场就医。在接触农药的工作过程中不得饮食，不得用手擦嘴、脸和眼睛，不得抽烟。</w:t>
      </w:r>
    </w:p>
    <w:p w14:paraId="3A9D8323">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7、做好</w:t>
      </w:r>
      <w:r>
        <w:rPr>
          <w:rFonts w:hint="eastAsia" w:ascii="仿宋_GB2312" w:hAnsi="仿宋_GB2312" w:eastAsia="仿宋_GB2312" w:cs="仿宋_GB2312"/>
          <w:color w:val="auto"/>
          <w:sz w:val="32"/>
          <w:szCs w:val="32"/>
          <w:highlight w:val="none"/>
          <w:lang w:val="en-US" w:eastAsia="zh-CN"/>
        </w:rPr>
        <w:t>农药</w:t>
      </w:r>
      <w:r>
        <w:rPr>
          <w:rFonts w:hint="eastAsia" w:ascii="仿宋_GB2312" w:hAnsi="仿宋_GB2312" w:eastAsia="仿宋_GB2312" w:cs="仿宋_GB2312"/>
          <w:color w:val="auto"/>
          <w:sz w:val="32"/>
          <w:szCs w:val="32"/>
          <w:highlight w:val="none"/>
        </w:rPr>
        <w:t>出入库登记记录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保证账物相符。</w:t>
      </w:r>
    </w:p>
    <w:p w14:paraId="20DBE7B4">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第三章 农药使用指导制度</w:t>
      </w:r>
    </w:p>
    <w:p w14:paraId="6334C8E9">
      <w:pPr>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5"/>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（一）正确配制</w:t>
      </w:r>
    </w:p>
    <w:p w14:paraId="009FB5C1">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1、准确称量。根据农药标签上推荐的用药量，首次使用的农药品种可选择推荐的较低剂量，采用量筒等称量工具准确称量，切忌随意加大或减少用药量。</w:t>
      </w:r>
    </w:p>
    <w:p w14:paraId="5FACAA4B">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2、科学配制。在药剂配制中，根据使用方法采用水稀释等方法对药剂进行“二次法”稀释。水稀释：用少量水将农药稀释成“母液”，再将“母液”稀释至所需要的浓度；配制现混现配的农药，要按照标签上的规定或在技术人员指导下操作。</w:t>
      </w:r>
    </w:p>
    <w:p w14:paraId="32F1E4D1">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3、合理混配。混用农药，首先要认真阅读农药标签中的注意事项，清楚产品的禁忌事项；其次要遵循农药混用原则，一是不应影响有效成分的化学稳定性；二是不能破坏药剂的物理性状；三是注意混配药剂的使用范围。遇碱性物质分解、失效的农药，不能与碱性农药或碱性物质混用；四是农药混配价格要合理。</w:t>
      </w:r>
    </w:p>
    <w:p w14:paraId="12BADD28">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4、安全提示。配制农药应远离住宅区和水源地；药剂要随配随用；开装后余下的农药应封闭在原包装中安全贮存；不能用瓶盖量取农药或用装饮用水用具配药；不能用手或胳臂伸入药液、粉剂或颗粒剂中搅拌。</w:t>
      </w:r>
    </w:p>
    <w:p w14:paraId="7C68C84B">
      <w:pPr>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5"/>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（二）科学施用</w:t>
      </w:r>
    </w:p>
    <w:p w14:paraId="54D85283">
      <w:pPr>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1、选择适宜的施药器械。适宜的施药器械，是保证施药效果的基础，不仅要选择施药器械的质量，防止出现跑、冒、滴、漏等现象发生，更重要的是要根据所防治的病虫以及所用药剂的特点进行选择。</w:t>
      </w:r>
    </w:p>
    <w:p w14:paraId="7BF4A2D7">
      <w:pPr>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2、确定防治适期。根据病虫害的发生特点和药剂特性，选择最适时期施药和具体施用次数，不同的病虫害有不同的防治适期，应根据具体情况确定，也可参考林保部门的预测预报来确定。</w:t>
      </w:r>
    </w:p>
    <w:p w14:paraId="4A2E3CD9">
      <w:pPr>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科学施药。根据病虫害发生部位、发生规律以及农药剂型，科学选择施药方法。危害叶片为主的病虫，以喷雾为主，危害林木枝干的钻蛀性害虫，以喷施或打孔注射为主。在防治病害时，要将叶片背面喷施均匀。</w:t>
      </w:r>
    </w:p>
    <w:p w14:paraId="0D6F10E9">
      <w:pPr>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4、建立用药记录台账。如实记录使用农药的时间、地点、防治对象以及农药名称（通用名称）、用量、生产企业等，记录应当保存5年以上。</w:t>
      </w:r>
    </w:p>
    <w:p w14:paraId="44D292C5">
      <w:pPr>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5"/>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（三）安全防范</w:t>
      </w:r>
    </w:p>
    <w:p w14:paraId="4B3C2500">
      <w:pPr>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1、人员要求。施药人员应身体健康，年老体弱人员、儿童及孕期、哺乳期妇女均不能施药，施药人员应具备一定的植保知识。</w:t>
      </w:r>
    </w:p>
    <w:p w14:paraId="23E54F42">
      <w:pPr>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2、安全防护。施药人员要穿戴必要的防护用品，如手套、口罩、防护服等，防止引起施药人员中毒。施药期间严禁进食、饮水、吸烟。施药后要及时更换衣服，清洗身体。</w:t>
      </w:r>
    </w:p>
    <w:p w14:paraId="3DF44D97">
      <w:pPr>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3、天气要求。雨前、3级以上大风、高温天气条件下不施药。施药时要站在上风口，不要逆风施药。</w:t>
      </w:r>
    </w:p>
    <w:p w14:paraId="334C6C56">
      <w:pPr>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4、周围安全。施药时要注意周边敏感林草、作物和敏感有益生物，防止产生药害。施药区域做好警示标记，防止发生人、畜中毒事故。</w:t>
      </w:r>
    </w:p>
    <w:p w14:paraId="65912A15">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第四章 农药事故应急处置制度</w:t>
      </w:r>
    </w:p>
    <w:p w14:paraId="3E85DCF7">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1、农药施药人员若农药溅入眼睛内或皮肤上，及时用大量清水冲洗。</w:t>
      </w:r>
    </w:p>
    <w:p w14:paraId="5C8C43F4">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2、发生施药人员中毒后，出现头痛、头晕、恶心、呕吐等中毒症状，应立即停止作业，脱掉受污染衣服，携农药标签到医院就诊或拨打120急救电话。</w:t>
      </w:r>
    </w:p>
    <w:p w14:paraId="137BFA23">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、如发生树木、花草的药害，应立即</w:t>
      </w:r>
      <w:r>
        <w:rPr>
          <w:rFonts w:hint="eastAsia" w:ascii="仿宋_GB2312" w:hAnsi="仿宋_GB2312" w:eastAsia="仿宋_GB2312" w:cs="仿宋_GB2312"/>
          <w:color w:val="auto"/>
          <w:sz w:val="32"/>
          <w:szCs w:val="32"/>
          <w:highlight w:val="none"/>
          <w:lang w:val="en-US" w:eastAsia="zh-CN"/>
        </w:rPr>
        <w:t>联系供货方或</w:t>
      </w:r>
      <w:r>
        <w:rPr>
          <w:rFonts w:hint="eastAsia" w:ascii="仿宋_GB2312" w:hAnsi="仿宋_GB2312" w:eastAsia="仿宋_GB2312" w:cs="仿宋_GB2312"/>
          <w:color w:val="auto"/>
          <w:sz w:val="32"/>
          <w:szCs w:val="32"/>
          <w:highlight w:val="none"/>
        </w:rPr>
        <w:t>当地林业技术部门寻求帮助，尽量采取补救措施减少损失；必要时可寻求相关部门组织进行药害鉴定。</w:t>
      </w:r>
    </w:p>
    <w:p w14:paraId="57338704">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、如发生因农药残留超标引起的林</w:t>
      </w:r>
      <w:r>
        <w:rPr>
          <w:rFonts w:hint="eastAsia" w:ascii="仿宋_GB2312" w:hAnsi="仿宋_GB2312" w:eastAsia="仿宋_GB2312" w:cs="仿宋_GB2312"/>
          <w:color w:val="auto"/>
          <w:sz w:val="32"/>
          <w:szCs w:val="32"/>
          <w:highlight w:val="none"/>
          <w:lang w:val="en-US" w:eastAsia="zh-CN"/>
        </w:rPr>
        <w:t>药、林花</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val="en-US" w:eastAsia="zh-CN"/>
        </w:rPr>
        <w:t>林下经济</w:t>
      </w:r>
      <w:r>
        <w:rPr>
          <w:rFonts w:hint="eastAsia" w:ascii="仿宋_GB2312" w:hAnsi="仿宋_GB2312" w:eastAsia="仿宋_GB2312" w:cs="仿宋_GB2312"/>
          <w:color w:val="auto"/>
          <w:sz w:val="32"/>
          <w:szCs w:val="32"/>
          <w:highlight w:val="none"/>
        </w:rPr>
        <w:t>产品质量安全事故，</w:t>
      </w:r>
      <w:r>
        <w:rPr>
          <w:rFonts w:hint="eastAsia" w:ascii="仿宋_GB2312" w:hAnsi="仿宋_GB2312" w:eastAsia="仿宋_GB2312" w:cs="仿宋_GB2312"/>
          <w:color w:val="auto"/>
          <w:sz w:val="32"/>
          <w:szCs w:val="32"/>
          <w:highlight w:val="none"/>
          <w:lang w:val="en-US" w:eastAsia="zh-CN"/>
        </w:rPr>
        <w:t>农药</w:t>
      </w:r>
      <w:r>
        <w:rPr>
          <w:rFonts w:hint="eastAsia" w:ascii="仿宋_GB2312" w:hAnsi="仿宋_GB2312" w:eastAsia="仿宋_GB2312" w:cs="仿宋_GB2312"/>
          <w:color w:val="auto"/>
          <w:sz w:val="32"/>
          <w:szCs w:val="32"/>
          <w:highlight w:val="none"/>
        </w:rPr>
        <w:t>经营者、使用者应积极配合</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主管部门的调查，并采取相应的处置措施。</w:t>
      </w:r>
    </w:p>
    <w:p w14:paraId="4A1D3B7F">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、如发生人畜中毒或环境污染事件，</w:t>
      </w:r>
      <w:r>
        <w:rPr>
          <w:rFonts w:hint="eastAsia" w:ascii="仿宋_GB2312" w:hAnsi="仿宋_GB2312" w:eastAsia="仿宋_GB2312" w:cs="仿宋_GB2312"/>
          <w:color w:val="auto"/>
          <w:sz w:val="32"/>
          <w:szCs w:val="32"/>
          <w:highlight w:val="none"/>
          <w:lang w:val="en-US" w:eastAsia="zh-CN"/>
        </w:rPr>
        <w:t>农药</w:t>
      </w:r>
      <w:r>
        <w:rPr>
          <w:rFonts w:hint="eastAsia" w:ascii="仿宋_GB2312" w:hAnsi="仿宋_GB2312" w:eastAsia="仿宋_GB2312" w:cs="仿宋_GB2312"/>
          <w:color w:val="auto"/>
          <w:sz w:val="32"/>
          <w:szCs w:val="32"/>
          <w:highlight w:val="none"/>
        </w:rPr>
        <w:t>经营者或使用者应当积极协助配合相关部门调查。</w:t>
      </w:r>
    </w:p>
    <w:p w14:paraId="16C57D90">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第五章 农药废弃物回收与处置制度</w:t>
      </w:r>
    </w:p>
    <w:p w14:paraId="3B0DE65C">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农药包装废弃物妥善保管，不能随意倾倒丢弃。严禁倒入沟渠、池塘及水库中。要主动将农药包装废弃物交回农药销售点或固定回收点，严禁丢弃或作</w:t>
      </w:r>
      <w:r>
        <w:rPr>
          <w:rFonts w:hint="eastAsia" w:ascii="仿宋_GB2312" w:hAnsi="仿宋_GB2312" w:eastAsia="仿宋_GB2312" w:cs="仿宋_GB2312"/>
          <w:color w:val="auto"/>
          <w:sz w:val="32"/>
          <w:szCs w:val="32"/>
          <w:highlight w:val="none"/>
          <w:lang w:eastAsia="zh-CN"/>
        </w:rPr>
        <w:t>他</w:t>
      </w:r>
      <w:r>
        <w:rPr>
          <w:rFonts w:hint="eastAsia" w:ascii="仿宋_GB2312" w:hAnsi="仿宋_GB2312" w:eastAsia="仿宋_GB2312" w:cs="仿宋_GB2312"/>
          <w:color w:val="auto"/>
          <w:sz w:val="32"/>
          <w:szCs w:val="32"/>
          <w:highlight w:val="none"/>
        </w:rPr>
        <w:t>用。</w:t>
      </w:r>
    </w:p>
    <w:p w14:paraId="0401CF74">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1、农药使用者</w:t>
      </w:r>
      <w:r>
        <w:rPr>
          <w:rFonts w:hint="eastAsia" w:ascii="仿宋_GB2312" w:hAnsi="仿宋_GB2312" w:eastAsia="仿宋_GB2312" w:cs="仿宋_GB2312"/>
          <w:color w:val="auto"/>
          <w:sz w:val="32"/>
          <w:szCs w:val="32"/>
          <w:highlight w:val="none"/>
          <w:lang w:val="en-US" w:eastAsia="zh-CN"/>
        </w:rPr>
        <w:t>负</w:t>
      </w:r>
      <w:r>
        <w:rPr>
          <w:rFonts w:hint="eastAsia" w:ascii="仿宋_GB2312" w:hAnsi="仿宋_GB2312" w:eastAsia="仿宋_GB2312" w:cs="仿宋_GB2312"/>
          <w:color w:val="auto"/>
          <w:sz w:val="32"/>
          <w:szCs w:val="32"/>
          <w:highlight w:val="none"/>
        </w:rPr>
        <w:t>责农药废弃物的</w:t>
      </w:r>
      <w:r>
        <w:rPr>
          <w:rFonts w:hint="eastAsia" w:ascii="仿宋_GB2312" w:hAnsi="仿宋_GB2312" w:eastAsia="仿宋_GB2312" w:cs="仿宋_GB2312"/>
          <w:color w:val="auto"/>
          <w:sz w:val="32"/>
          <w:szCs w:val="32"/>
          <w:highlight w:val="none"/>
          <w:lang w:val="en-US" w:eastAsia="zh-CN"/>
        </w:rPr>
        <w:t>临时</w:t>
      </w:r>
      <w:r>
        <w:rPr>
          <w:rFonts w:hint="eastAsia" w:ascii="仿宋_GB2312" w:hAnsi="仿宋_GB2312" w:eastAsia="仿宋_GB2312" w:cs="仿宋_GB2312"/>
          <w:color w:val="auto"/>
          <w:sz w:val="32"/>
          <w:szCs w:val="32"/>
          <w:highlight w:val="none"/>
        </w:rPr>
        <w:t>回收与临时储存。</w:t>
      </w:r>
    </w:p>
    <w:p w14:paraId="7B4CA5AB">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2、农药使用者应当建立农药废弃物的回收档案，记录废弃物的类型、数量、回收日期、去向等信息。</w:t>
      </w:r>
    </w:p>
    <w:p w14:paraId="1C6EFDE1">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3、农药废弃物的储存地，应当满足危险物储存标准及其规范的要求，应当具备防扬散、防渗漏、防流失</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   </w:t>
      </w:r>
    </w:p>
    <w:p w14:paraId="1F53BDB4">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4、废弃物堆放地，应在醒目位置设置有害垃圾</w:t>
      </w:r>
      <w:r>
        <w:rPr>
          <w:rFonts w:hint="eastAsia" w:ascii="仿宋_GB2312" w:hAnsi="仿宋_GB2312" w:eastAsia="仿宋_GB2312" w:cs="仿宋_GB2312"/>
          <w:color w:val="auto"/>
          <w:sz w:val="32"/>
          <w:szCs w:val="32"/>
          <w:highlight w:val="none"/>
          <w:lang w:eastAsia="zh-CN"/>
        </w:rPr>
        <w:t>标识</w:t>
      </w:r>
      <w:r>
        <w:rPr>
          <w:rFonts w:hint="eastAsia" w:ascii="仿宋_GB2312" w:hAnsi="仿宋_GB2312" w:eastAsia="仿宋_GB2312" w:cs="仿宋_GB2312"/>
          <w:color w:val="auto"/>
          <w:sz w:val="32"/>
          <w:szCs w:val="32"/>
          <w:highlight w:val="none"/>
        </w:rPr>
        <w:t>和有毒物质</w:t>
      </w:r>
      <w:r>
        <w:rPr>
          <w:rFonts w:hint="eastAsia" w:ascii="仿宋_GB2312" w:hAnsi="仿宋_GB2312" w:eastAsia="仿宋_GB2312" w:cs="仿宋_GB2312"/>
          <w:color w:val="auto"/>
          <w:sz w:val="32"/>
          <w:szCs w:val="32"/>
          <w:highlight w:val="none"/>
          <w:lang w:eastAsia="zh-CN"/>
        </w:rPr>
        <w:t>标识</w:t>
      </w:r>
      <w:r>
        <w:rPr>
          <w:rFonts w:hint="eastAsia" w:ascii="仿宋_GB2312" w:hAnsi="仿宋_GB2312" w:eastAsia="仿宋_GB2312" w:cs="仿宋_GB2312"/>
          <w:color w:val="auto"/>
          <w:sz w:val="32"/>
          <w:szCs w:val="32"/>
          <w:highlight w:val="none"/>
        </w:rPr>
        <w:t>，不得露天堆放。</w:t>
      </w:r>
    </w:p>
    <w:p w14:paraId="684839FE">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5、不得将危险特性不相容的废弃物混合储存，应远离水源和热源。</w:t>
      </w:r>
    </w:p>
    <w:p w14:paraId="4BFCB72C">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6、农药废弃物的运输工具应当满足防雨、防渗漏、防遗撒的要求。</w:t>
      </w:r>
    </w:p>
    <w:p w14:paraId="48703D63">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7、农药废弃物的处置应交由有资质的机构处理。</w:t>
      </w:r>
    </w:p>
    <w:p w14:paraId="33F5BD75">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p>
    <w:p w14:paraId="3BDFC1EE">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第六章 人员培训制度</w:t>
      </w:r>
    </w:p>
    <w:p w14:paraId="1FFCAA91">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培训目的：熟悉掌握各种农药的类别，分别掌握采购流程、仓储流程、运输流程，掌握农药使用范围、使用方法和注意事项；规范操作方法和操作流程，严格按使用方法操作，杜绝因错误操作而发生危险情况。</w:t>
      </w:r>
    </w:p>
    <w:p w14:paraId="3AF78EA4">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2、培训人员：新型集体林场的管理、采购、仓储、技术、</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生产类人员，新聘用人员</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w:t>
      </w:r>
    </w:p>
    <w:p w14:paraId="3015E88C">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3、培训时间：新聘用人员入职以后即进行培训，其他人员每季度培训一次，新制度施行后</w:t>
      </w:r>
      <w:r>
        <w:rPr>
          <w:rFonts w:hint="eastAsia" w:ascii="仿宋_GB2312" w:hAnsi="仿宋_GB2312" w:eastAsia="仿宋_GB2312" w:cs="仿宋_GB2312"/>
          <w:color w:val="auto"/>
          <w:sz w:val="32"/>
          <w:szCs w:val="32"/>
          <w:highlight w:val="none"/>
          <w:lang w:eastAsia="zh-CN"/>
        </w:rPr>
        <w:t>及时</w:t>
      </w:r>
      <w:r>
        <w:rPr>
          <w:rFonts w:hint="eastAsia" w:ascii="仿宋_GB2312" w:hAnsi="仿宋_GB2312" w:eastAsia="仿宋_GB2312" w:cs="仿宋_GB2312"/>
          <w:color w:val="auto"/>
          <w:sz w:val="32"/>
          <w:szCs w:val="32"/>
          <w:highlight w:val="none"/>
        </w:rPr>
        <w:t>进行培训。</w:t>
      </w:r>
    </w:p>
    <w:p w14:paraId="18908B0E">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4、培训内容：学习《农药管理条例》《农药限制使用管理</w:t>
      </w:r>
      <w:r>
        <w:rPr>
          <w:rFonts w:hint="eastAsia" w:ascii="仿宋_GB2312" w:hAnsi="仿宋_GB2312" w:eastAsia="仿宋_GB2312" w:cs="仿宋_GB2312"/>
          <w:color w:val="auto"/>
          <w:sz w:val="32"/>
          <w:szCs w:val="32"/>
          <w:highlight w:val="none"/>
          <w:lang w:val="en-US" w:eastAsia="zh-CN"/>
        </w:rPr>
        <w:t>规定</w:t>
      </w:r>
      <w:r>
        <w:rPr>
          <w:rFonts w:hint="eastAsia" w:ascii="仿宋_GB2312" w:hAnsi="仿宋_GB2312" w:eastAsia="仿宋_GB2312" w:cs="仿宋_GB2312"/>
          <w:color w:val="auto"/>
          <w:sz w:val="32"/>
          <w:szCs w:val="32"/>
          <w:highlight w:val="none"/>
        </w:rPr>
        <w:t>》《林用药剂安全使用准则》《北京市科学安全使用农药指导意见》，以及其他相关农药制度。</w:t>
      </w:r>
    </w:p>
    <w:p w14:paraId="07A06C1C">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5、培训方法：邀请专家、专业人士或新型集体林场专业技术人员等对员工进行专场讲座，并对员工的一些问题进行答疑、解惑。</w:t>
      </w:r>
    </w:p>
    <w:p w14:paraId="79D5BE1E">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6、培训要求：培训期间禁止请假，培训要做好记录，每次培训结束后要进行考核，不合格者要再次培训与考核，直至合格。确保每次培训落到实处，不流于形式。</w:t>
      </w:r>
    </w:p>
    <w:p w14:paraId="49905A70">
      <w:pPr>
        <w:pageBreakBefore w:val="0"/>
        <w:kinsoku/>
        <w:wordWrap/>
        <w:overflowPunct/>
        <w:topLinePunct w:val="0"/>
        <w:autoSpaceDE/>
        <w:autoSpaceDN/>
        <w:bidi w:val="0"/>
        <w:adjustRightInd/>
        <w:snapToGrid/>
        <w:spacing w:beforeAutospacing="0" w:afterAutospacing="0" w:line="560" w:lineRule="exact"/>
        <w:ind w:left="0" w:right="0" w:firstLine="760" w:firstLineChars="200"/>
        <w:textAlignment w:val="auto"/>
        <w:rPr>
          <w:rFonts w:hint="eastAsia" w:ascii="仿宋_GB2312" w:hAnsi="仿宋_GB2312" w:eastAsia="仿宋_GB2312" w:cs="仿宋_GB2312"/>
          <w:color w:val="auto"/>
          <w:sz w:val="38"/>
          <w:szCs w:val="38"/>
          <w:highlight w:val="none"/>
        </w:rPr>
        <w:sectPr>
          <w:pgSz w:w="11906" w:h="16838"/>
          <w:pgMar w:top="1440" w:right="1800" w:bottom="1440" w:left="1800" w:header="851" w:footer="992" w:gutter="0"/>
          <w:pgNumType w:fmt="numberInDash"/>
          <w:cols w:space="720" w:num="1"/>
          <w:docGrid w:type="lines" w:linePitch="312" w:charSpace="0"/>
        </w:sectPr>
      </w:pPr>
    </w:p>
    <w:p w14:paraId="39CB3AC6">
      <w:pPr>
        <w:pageBreakBefore w:val="0"/>
        <w:suppressAutoHyphens/>
        <w:kinsoku/>
        <w:wordWrap/>
        <w:overflowPunct/>
        <w:topLinePunct w:val="0"/>
        <w:autoSpaceDE/>
        <w:autoSpaceDN/>
        <w:bidi w:val="0"/>
        <w:adjustRightInd/>
        <w:snapToGrid/>
        <w:spacing w:beforeAutospacing="0" w:afterAutospacing="0" w:line="560" w:lineRule="exact"/>
        <w:ind w:left="0" w:right="0" w:firstLine="640"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农药入库记录表</w:t>
      </w:r>
    </w:p>
    <w:tbl>
      <w:tblPr>
        <w:tblStyle w:val="20"/>
        <w:tblW w:w="14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217"/>
        <w:gridCol w:w="513"/>
        <w:gridCol w:w="1279"/>
        <w:gridCol w:w="1147"/>
        <w:gridCol w:w="1670"/>
        <w:gridCol w:w="1464"/>
        <w:gridCol w:w="966"/>
        <w:gridCol w:w="1209"/>
        <w:gridCol w:w="941"/>
        <w:gridCol w:w="1093"/>
        <w:gridCol w:w="941"/>
      </w:tblGrid>
      <w:tr w14:paraId="0185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705" w:type="dxa"/>
            <w:noWrap w:val="0"/>
            <w:vAlign w:val="center"/>
          </w:tcPr>
          <w:p w14:paraId="7A6B4BEC">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农药名称</w:t>
            </w:r>
          </w:p>
          <w:p w14:paraId="2ADF9131">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（由含量</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有效成分</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剂型组成）</w:t>
            </w:r>
          </w:p>
        </w:tc>
        <w:tc>
          <w:tcPr>
            <w:tcW w:w="1217" w:type="dxa"/>
            <w:noWrap w:val="0"/>
            <w:vAlign w:val="center"/>
          </w:tcPr>
          <w:p w14:paraId="5F16D7D8">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生产厂家名称</w:t>
            </w:r>
          </w:p>
        </w:tc>
        <w:tc>
          <w:tcPr>
            <w:tcW w:w="513" w:type="dxa"/>
            <w:noWrap w:val="0"/>
            <w:vAlign w:val="center"/>
          </w:tcPr>
          <w:p w14:paraId="7D0A9CB7">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毒性</w:t>
            </w:r>
          </w:p>
        </w:tc>
        <w:tc>
          <w:tcPr>
            <w:tcW w:w="1279" w:type="dxa"/>
            <w:noWrap w:val="0"/>
            <w:vAlign w:val="center"/>
          </w:tcPr>
          <w:p w14:paraId="0A2E9170">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生产日期</w:t>
            </w:r>
          </w:p>
        </w:tc>
        <w:tc>
          <w:tcPr>
            <w:tcW w:w="1147" w:type="dxa"/>
            <w:noWrap w:val="0"/>
            <w:vAlign w:val="center"/>
          </w:tcPr>
          <w:p w14:paraId="0106FF8D">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农药登记</w:t>
            </w:r>
          </w:p>
          <w:p w14:paraId="0B62035B">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证号</w:t>
            </w:r>
          </w:p>
        </w:tc>
        <w:tc>
          <w:tcPr>
            <w:tcW w:w="1670" w:type="dxa"/>
            <w:noWrap w:val="0"/>
            <w:vAlign w:val="center"/>
          </w:tcPr>
          <w:p w14:paraId="72685DC7">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农药来源</w:t>
            </w:r>
          </w:p>
          <w:p w14:paraId="2E70EB9A">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（采购或调拨）</w:t>
            </w:r>
          </w:p>
        </w:tc>
        <w:tc>
          <w:tcPr>
            <w:tcW w:w="1464" w:type="dxa"/>
            <w:noWrap w:val="0"/>
            <w:vAlign w:val="center"/>
          </w:tcPr>
          <w:p w14:paraId="0B722863">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农药销售企业名称或调拨单位名称</w:t>
            </w:r>
          </w:p>
        </w:tc>
        <w:tc>
          <w:tcPr>
            <w:tcW w:w="966" w:type="dxa"/>
            <w:noWrap w:val="0"/>
            <w:vAlign w:val="center"/>
          </w:tcPr>
          <w:p w14:paraId="1EAEFAB3">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包装</w:t>
            </w:r>
          </w:p>
          <w:p w14:paraId="41EE807E">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规格</w:t>
            </w:r>
          </w:p>
        </w:tc>
        <w:tc>
          <w:tcPr>
            <w:tcW w:w="1209" w:type="dxa"/>
            <w:noWrap w:val="0"/>
            <w:vAlign w:val="center"/>
          </w:tcPr>
          <w:p w14:paraId="05CA5C87">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入库数量</w:t>
            </w:r>
          </w:p>
          <w:p w14:paraId="2CF69DCA">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（袋、瓶）</w:t>
            </w:r>
          </w:p>
        </w:tc>
        <w:tc>
          <w:tcPr>
            <w:tcW w:w="941" w:type="dxa"/>
            <w:noWrap w:val="0"/>
            <w:vAlign w:val="center"/>
          </w:tcPr>
          <w:p w14:paraId="1C3DFF74">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入库</w:t>
            </w:r>
          </w:p>
          <w:p w14:paraId="7BE0A78F">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时间</w:t>
            </w:r>
          </w:p>
        </w:tc>
        <w:tc>
          <w:tcPr>
            <w:tcW w:w="1093" w:type="dxa"/>
            <w:noWrap w:val="0"/>
            <w:vAlign w:val="center"/>
          </w:tcPr>
          <w:p w14:paraId="37CA5099">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农药</w:t>
            </w:r>
          </w:p>
          <w:p w14:paraId="453CFC17">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总量</w:t>
            </w:r>
          </w:p>
          <w:p w14:paraId="595EA43E">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（千克）</w:t>
            </w:r>
          </w:p>
        </w:tc>
        <w:tc>
          <w:tcPr>
            <w:tcW w:w="941" w:type="dxa"/>
            <w:noWrap w:val="0"/>
            <w:vAlign w:val="center"/>
          </w:tcPr>
          <w:p w14:paraId="33C52A0C">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记录人</w:t>
            </w:r>
          </w:p>
          <w:p w14:paraId="379014F2">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签字</w:t>
            </w:r>
          </w:p>
        </w:tc>
      </w:tr>
      <w:tr w14:paraId="57BF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705" w:type="dxa"/>
            <w:noWrap w:val="0"/>
            <w:vAlign w:val="center"/>
          </w:tcPr>
          <w:p w14:paraId="34C66D80">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例：1%苦参碱可溶液剂</w:t>
            </w:r>
          </w:p>
        </w:tc>
        <w:tc>
          <w:tcPr>
            <w:tcW w:w="1217" w:type="dxa"/>
            <w:noWrap w:val="0"/>
            <w:vAlign w:val="center"/>
          </w:tcPr>
          <w:p w14:paraId="4F76945D">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北京***有限公司</w:t>
            </w:r>
          </w:p>
        </w:tc>
        <w:tc>
          <w:tcPr>
            <w:tcW w:w="513" w:type="dxa"/>
            <w:noWrap w:val="0"/>
            <w:vAlign w:val="center"/>
          </w:tcPr>
          <w:p w14:paraId="15416209">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低毒</w:t>
            </w:r>
          </w:p>
        </w:tc>
        <w:tc>
          <w:tcPr>
            <w:tcW w:w="1279" w:type="dxa"/>
            <w:noWrap w:val="0"/>
            <w:vAlign w:val="center"/>
          </w:tcPr>
          <w:p w14:paraId="277A5FBE">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202</w:t>
            </w: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rPr>
              <w:t>年1月12日</w:t>
            </w:r>
          </w:p>
        </w:tc>
        <w:tc>
          <w:tcPr>
            <w:tcW w:w="1147" w:type="dxa"/>
            <w:noWrap w:val="0"/>
            <w:vAlign w:val="center"/>
          </w:tcPr>
          <w:p w14:paraId="0AB04A2D">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PD201021*0</w:t>
            </w:r>
          </w:p>
        </w:tc>
        <w:tc>
          <w:tcPr>
            <w:tcW w:w="1670" w:type="dxa"/>
            <w:noWrap w:val="0"/>
            <w:vAlign w:val="center"/>
          </w:tcPr>
          <w:p w14:paraId="6ED7C2B3">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采购</w:t>
            </w:r>
          </w:p>
        </w:tc>
        <w:tc>
          <w:tcPr>
            <w:tcW w:w="1464" w:type="dxa"/>
            <w:noWrap w:val="0"/>
            <w:vAlign w:val="center"/>
          </w:tcPr>
          <w:p w14:paraId="18782022">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北京***农药销售有限公司</w:t>
            </w:r>
          </w:p>
        </w:tc>
        <w:tc>
          <w:tcPr>
            <w:tcW w:w="966" w:type="dxa"/>
            <w:noWrap w:val="0"/>
            <w:vAlign w:val="center"/>
          </w:tcPr>
          <w:p w14:paraId="57A20EEF">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500毫升/瓶</w:t>
            </w:r>
          </w:p>
        </w:tc>
        <w:tc>
          <w:tcPr>
            <w:tcW w:w="1209" w:type="dxa"/>
            <w:noWrap w:val="0"/>
            <w:vAlign w:val="center"/>
          </w:tcPr>
          <w:p w14:paraId="78CC4A14">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20瓶</w:t>
            </w:r>
          </w:p>
        </w:tc>
        <w:tc>
          <w:tcPr>
            <w:tcW w:w="941" w:type="dxa"/>
            <w:noWrap w:val="0"/>
            <w:vAlign w:val="center"/>
          </w:tcPr>
          <w:p w14:paraId="0C1323C5">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202</w:t>
            </w: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rPr>
              <w:t>年6月1日</w:t>
            </w:r>
          </w:p>
        </w:tc>
        <w:tc>
          <w:tcPr>
            <w:tcW w:w="1093" w:type="dxa"/>
            <w:noWrap w:val="0"/>
            <w:vAlign w:val="center"/>
          </w:tcPr>
          <w:p w14:paraId="105F9DC2">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10千克</w:t>
            </w:r>
          </w:p>
        </w:tc>
        <w:tc>
          <w:tcPr>
            <w:tcW w:w="941" w:type="dxa"/>
            <w:noWrap w:val="0"/>
            <w:vAlign w:val="center"/>
          </w:tcPr>
          <w:p w14:paraId="13D07233">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w:t>
            </w:r>
          </w:p>
        </w:tc>
      </w:tr>
      <w:tr w14:paraId="2ECE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705" w:type="dxa"/>
            <w:noWrap w:val="0"/>
            <w:vAlign w:val="center"/>
          </w:tcPr>
          <w:p w14:paraId="05911C3A">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例：15%三唑酮可湿性粉剂</w:t>
            </w:r>
          </w:p>
        </w:tc>
        <w:tc>
          <w:tcPr>
            <w:tcW w:w="1217" w:type="dxa"/>
            <w:noWrap w:val="0"/>
            <w:vAlign w:val="center"/>
          </w:tcPr>
          <w:p w14:paraId="491E17E6">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北京***农药有限公司</w:t>
            </w:r>
          </w:p>
        </w:tc>
        <w:tc>
          <w:tcPr>
            <w:tcW w:w="513" w:type="dxa"/>
            <w:noWrap w:val="0"/>
            <w:vAlign w:val="center"/>
          </w:tcPr>
          <w:p w14:paraId="21A66B61">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低毒</w:t>
            </w:r>
          </w:p>
        </w:tc>
        <w:tc>
          <w:tcPr>
            <w:tcW w:w="1279" w:type="dxa"/>
            <w:noWrap w:val="0"/>
            <w:vAlign w:val="center"/>
          </w:tcPr>
          <w:p w14:paraId="5A49F0D7">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202</w:t>
            </w: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rPr>
              <w:t>年1月12日</w:t>
            </w:r>
          </w:p>
        </w:tc>
        <w:tc>
          <w:tcPr>
            <w:tcW w:w="1147" w:type="dxa"/>
            <w:noWrap w:val="0"/>
            <w:vAlign w:val="center"/>
          </w:tcPr>
          <w:p w14:paraId="18013F1A">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PD202021*0</w:t>
            </w:r>
          </w:p>
        </w:tc>
        <w:tc>
          <w:tcPr>
            <w:tcW w:w="1670" w:type="dxa"/>
            <w:noWrap w:val="0"/>
            <w:vAlign w:val="center"/>
          </w:tcPr>
          <w:p w14:paraId="1273C82C">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调拨</w:t>
            </w:r>
          </w:p>
        </w:tc>
        <w:tc>
          <w:tcPr>
            <w:tcW w:w="1464" w:type="dxa"/>
            <w:noWrap w:val="0"/>
            <w:vAlign w:val="center"/>
          </w:tcPr>
          <w:p w14:paraId="596EB6A4">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北京***区园林绿化局***科</w:t>
            </w:r>
          </w:p>
        </w:tc>
        <w:tc>
          <w:tcPr>
            <w:tcW w:w="966" w:type="dxa"/>
            <w:noWrap w:val="0"/>
            <w:vAlign w:val="center"/>
          </w:tcPr>
          <w:p w14:paraId="653A9091">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5克/袋</w:t>
            </w:r>
          </w:p>
        </w:tc>
        <w:tc>
          <w:tcPr>
            <w:tcW w:w="1209" w:type="dxa"/>
            <w:noWrap w:val="0"/>
            <w:vAlign w:val="center"/>
          </w:tcPr>
          <w:p w14:paraId="53478EFD">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2000袋</w:t>
            </w:r>
          </w:p>
        </w:tc>
        <w:tc>
          <w:tcPr>
            <w:tcW w:w="941" w:type="dxa"/>
            <w:noWrap w:val="0"/>
            <w:vAlign w:val="center"/>
          </w:tcPr>
          <w:p w14:paraId="0378DF83">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202</w:t>
            </w: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rPr>
              <w:t>年6月1日</w:t>
            </w:r>
          </w:p>
        </w:tc>
        <w:tc>
          <w:tcPr>
            <w:tcW w:w="1093" w:type="dxa"/>
            <w:noWrap w:val="0"/>
            <w:vAlign w:val="center"/>
          </w:tcPr>
          <w:p w14:paraId="08454BF4">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10千克</w:t>
            </w:r>
          </w:p>
        </w:tc>
        <w:tc>
          <w:tcPr>
            <w:tcW w:w="941" w:type="dxa"/>
            <w:noWrap w:val="0"/>
            <w:vAlign w:val="center"/>
          </w:tcPr>
          <w:p w14:paraId="434ADB81">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w:t>
            </w:r>
          </w:p>
        </w:tc>
      </w:tr>
      <w:tr w14:paraId="18DA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705" w:type="dxa"/>
            <w:noWrap w:val="0"/>
            <w:vAlign w:val="center"/>
          </w:tcPr>
          <w:p w14:paraId="1F99DEEA">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217" w:type="dxa"/>
            <w:noWrap w:val="0"/>
            <w:vAlign w:val="center"/>
          </w:tcPr>
          <w:p w14:paraId="2565C521">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513" w:type="dxa"/>
            <w:noWrap w:val="0"/>
            <w:vAlign w:val="center"/>
          </w:tcPr>
          <w:p w14:paraId="28EEE1B7">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279" w:type="dxa"/>
            <w:noWrap w:val="0"/>
            <w:vAlign w:val="center"/>
          </w:tcPr>
          <w:p w14:paraId="29D6D26A">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147" w:type="dxa"/>
            <w:noWrap w:val="0"/>
            <w:vAlign w:val="center"/>
          </w:tcPr>
          <w:p w14:paraId="51675EE8">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670" w:type="dxa"/>
            <w:noWrap w:val="0"/>
            <w:vAlign w:val="center"/>
          </w:tcPr>
          <w:p w14:paraId="057CC4BD">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464" w:type="dxa"/>
            <w:noWrap w:val="0"/>
            <w:vAlign w:val="center"/>
          </w:tcPr>
          <w:p w14:paraId="3800FDCA">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966" w:type="dxa"/>
            <w:noWrap w:val="0"/>
            <w:vAlign w:val="center"/>
          </w:tcPr>
          <w:p w14:paraId="55D78A13">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209" w:type="dxa"/>
            <w:noWrap w:val="0"/>
            <w:vAlign w:val="center"/>
          </w:tcPr>
          <w:p w14:paraId="56CEC0A9">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941" w:type="dxa"/>
            <w:noWrap w:val="0"/>
            <w:vAlign w:val="center"/>
          </w:tcPr>
          <w:p w14:paraId="10AFBD43">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093" w:type="dxa"/>
            <w:noWrap w:val="0"/>
            <w:vAlign w:val="center"/>
          </w:tcPr>
          <w:p w14:paraId="41F367DF">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941" w:type="dxa"/>
            <w:noWrap w:val="0"/>
            <w:vAlign w:val="center"/>
          </w:tcPr>
          <w:p w14:paraId="36B5F10E">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r>
      <w:tr w14:paraId="596F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705" w:type="dxa"/>
            <w:noWrap w:val="0"/>
            <w:vAlign w:val="center"/>
          </w:tcPr>
          <w:p w14:paraId="1EAA3348">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217" w:type="dxa"/>
            <w:noWrap w:val="0"/>
            <w:vAlign w:val="center"/>
          </w:tcPr>
          <w:p w14:paraId="14B7339C">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513" w:type="dxa"/>
            <w:noWrap w:val="0"/>
            <w:vAlign w:val="center"/>
          </w:tcPr>
          <w:p w14:paraId="60A0A2A3">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279" w:type="dxa"/>
            <w:noWrap w:val="0"/>
            <w:vAlign w:val="center"/>
          </w:tcPr>
          <w:p w14:paraId="3A800C2F">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147" w:type="dxa"/>
            <w:noWrap w:val="0"/>
            <w:vAlign w:val="center"/>
          </w:tcPr>
          <w:p w14:paraId="5F9C92A2">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670" w:type="dxa"/>
            <w:noWrap w:val="0"/>
            <w:vAlign w:val="center"/>
          </w:tcPr>
          <w:p w14:paraId="3DE14231">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464" w:type="dxa"/>
            <w:noWrap w:val="0"/>
            <w:vAlign w:val="center"/>
          </w:tcPr>
          <w:p w14:paraId="5439E219">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966" w:type="dxa"/>
            <w:noWrap w:val="0"/>
            <w:vAlign w:val="center"/>
          </w:tcPr>
          <w:p w14:paraId="55DE446B">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209" w:type="dxa"/>
            <w:noWrap w:val="0"/>
            <w:vAlign w:val="center"/>
          </w:tcPr>
          <w:p w14:paraId="24D3A0BA">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941" w:type="dxa"/>
            <w:noWrap w:val="0"/>
            <w:vAlign w:val="center"/>
          </w:tcPr>
          <w:p w14:paraId="4765C563">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093" w:type="dxa"/>
            <w:noWrap w:val="0"/>
            <w:vAlign w:val="center"/>
          </w:tcPr>
          <w:p w14:paraId="6C4E1906">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941" w:type="dxa"/>
            <w:noWrap w:val="0"/>
            <w:vAlign w:val="center"/>
          </w:tcPr>
          <w:p w14:paraId="6EBA1F7C">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r>
      <w:tr w14:paraId="53B3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705" w:type="dxa"/>
            <w:noWrap w:val="0"/>
            <w:vAlign w:val="center"/>
          </w:tcPr>
          <w:p w14:paraId="3A41C866">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217" w:type="dxa"/>
            <w:noWrap w:val="0"/>
            <w:vAlign w:val="center"/>
          </w:tcPr>
          <w:p w14:paraId="7E6A49E9">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513" w:type="dxa"/>
            <w:noWrap w:val="0"/>
            <w:vAlign w:val="center"/>
          </w:tcPr>
          <w:p w14:paraId="0DB6AEDA">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279" w:type="dxa"/>
            <w:noWrap w:val="0"/>
            <w:vAlign w:val="center"/>
          </w:tcPr>
          <w:p w14:paraId="4440E761">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147" w:type="dxa"/>
            <w:noWrap w:val="0"/>
            <w:vAlign w:val="center"/>
          </w:tcPr>
          <w:p w14:paraId="597DC54C">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670" w:type="dxa"/>
            <w:noWrap w:val="0"/>
            <w:vAlign w:val="center"/>
          </w:tcPr>
          <w:p w14:paraId="05EEEA76">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464" w:type="dxa"/>
            <w:noWrap w:val="0"/>
            <w:vAlign w:val="center"/>
          </w:tcPr>
          <w:p w14:paraId="2FAB1741">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966" w:type="dxa"/>
            <w:noWrap w:val="0"/>
            <w:vAlign w:val="center"/>
          </w:tcPr>
          <w:p w14:paraId="62E743DB">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209" w:type="dxa"/>
            <w:noWrap w:val="0"/>
            <w:vAlign w:val="center"/>
          </w:tcPr>
          <w:p w14:paraId="21B50A6E">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941" w:type="dxa"/>
            <w:noWrap w:val="0"/>
            <w:vAlign w:val="center"/>
          </w:tcPr>
          <w:p w14:paraId="388B428F">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093" w:type="dxa"/>
            <w:noWrap w:val="0"/>
            <w:vAlign w:val="center"/>
          </w:tcPr>
          <w:p w14:paraId="609AB798">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941" w:type="dxa"/>
            <w:noWrap w:val="0"/>
            <w:vAlign w:val="center"/>
          </w:tcPr>
          <w:p w14:paraId="138BE7C5">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r>
    </w:tbl>
    <w:p w14:paraId="4E65079B">
      <w:pPr>
        <w:pageBreakBefore w:val="0"/>
        <w:suppressAutoHyphens/>
        <w:kinsoku/>
        <w:wordWrap/>
        <w:overflowPunct/>
        <w:topLinePunct w:val="0"/>
        <w:autoSpaceDE/>
        <w:autoSpaceDN/>
        <w:bidi w:val="0"/>
        <w:adjustRightInd/>
        <w:snapToGrid/>
        <w:spacing w:beforeAutospacing="0" w:afterAutospacing="0" w:line="560" w:lineRule="exact"/>
        <w:ind w:left="0" w:right="0" w:firstLine="640"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r>
        <w:rPr>
          <w:rFonts w:hint="eastAsia" w:ascii="仿宋_GB2312" w:hAnsi="仿宋_GB2312" w:eastAsia="仿宋_GB2312" w:cs="仿宋_GB2312"/>
          <w:color w:val="auto"/>
          <w:sz w:val="32"/>
          <w:szCs w:val="32"/>
          <w:highlight w:val="none"/>
        </w:rPr>
        <w:t>农药使用记录表</w:t>
      </w:r>
    </w:p>
    <w:tbl>
      <w:tblPr>
        <w:tblStyle w:val="2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2554"/>
        <w:gridCol w:w="1422"/>
        <w:gridCol w:w="1530"/>
        <w:gridCol w:w="1785"/>
        <w:gridCol w:w="1635"/>
        <w:gridCol w:w="1575"/>
        <w:gridCol w:w="2184"/>
      </w:tblGrid>
      <w:tr w14:paraId="0415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489" w:type="dxa"/>
            <w:noWrap w:val="0"/>
            <w:vAlign w:val="center"/>
          </w:tcPr>
          <w:p w14:paraId="2CE6A11B">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使用日期</w:t>
            </w:r>
          </w:p>
          <w:p w14:paraId="0AE1A0C0">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（*年*月*日）</w:t>
            </w:r>
          </w:p>
        </w:tc>
        <w:tc>
          <w:tcPr>
            <w:tcW w:w="2554" w:type="dxa"/>
            <w:noWrap w:val="0"/>
            <w:vAlign w:val="center"/>
          </w:tcPr>
          <w:p w14:paraId="5549E4B2">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农药名称（由含量</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有效成分</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剂型组成）</w:t>
            </w:r>
          </w:p>
        </w:tc>
        <w:tc>
          <w:tcPr>
            <w:tcW w:w="1422" w:type="dxa"/>
            <w:noWrap w:val="0"/>
            <w:vAlign w:val="center"/>
          </w:tcPr>
          <w:p w14:paraId="3FEC4054">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作业地块</w:t>
            </w:r>
          </w:p>
        </w:tc>
        <w:tc>
          <w:tcPr>
            <w:tcW w:w="1530" w:type="dxa"/>
            <w:noWrap w:val="0"/>
            <w:vAlign w:val="center"/>
          </w:tcPr>
          <w:p w14:paraId="44F07FE9">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主要植物</w:t>
            </w:r>
          </w:p>
        </w:tc>
        <w:tc>
          <w:tcPr>
            <w:tcW w:w="1785" w:type="dxa"/>
            <w:noWrap w:val="0"/>
            <w:vAlign w:val="center"/>
          </w:tcPr>
          <w:p w14:paraId="61A23836">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防治对象</w:t>
            </w:r>
          </w:p>
        </w:tc>
        <w:tc>
          <w:tcPr>
            <w:tcW w:w="1635" w:type="dxa"/>
            <w:noWrap w:val="0"/>
            <w:vAlign w:val="center"/>
          </w:tcPr>
          <w:p w14:paraId="52E9AAA8">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作业面积（亩）</w:t>
            </w:r>
          </w:p>
        </w:tc>
        <w:tc>
          <w:tcPr>
            <w:tcW w:w="1575" w:type="dxa"/>
            <w:noWrap w:val="0"/>
            <w:vAlign w:val="center"/>
          </w:tcPr>
          <w:p w14:paraId="3F81A5FB">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农药用量</w:t>
            </w:r>
          </w:p>
          <w:p w14:paraId="06409E9B">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（千克）</w:t>
            </w:r>
          </w:p>
        </w:tc>
        <w:tc>
          <w:tcPr>
            <w:tcW w:w="2184" w:type="dxa"/>
            <w:noWrap w:val="0"/>
            <w:vAlign w:val="center"/>
          </w:tcPr>
          <w:p w14:paraId="43AA5A80">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使用人签字</w:t>
            </w:r>
          </w:p>
        </w:tc>
      </w:tr>
      <w:tr w14:paraId="3C82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489" w:type="dxa"/>
            <w:noWrap w:val="0"/>
            <w:vAlign w:val="center"/>
          </w:tcPr>
          <w:p w14:paraId="513592F2">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例：202</w:t>
            </w: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rPr>
              <w:t>年6月5日</w:t>
            </w:r>
          </w:p>
        </w:tc>
        <w:tc>
          <w:tcPr>
            <w:tcW w:w="2554" w:type="dxa"/>
            <w:noWrap w:val="0"/>
            <w:vAlign w:val="center"/>
          </w:tcPr>
          <w:p w14:paraId="327D3A53">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1%苦参碱可溶液剂</w:t>
            </w:r>
          </w:p>
        </w:tc>
        <w:tc>
          <w:tcPr>
            <w:tcW w:w="1422" w:type="dxa"/>
            <w:noWrap w:val="0"/>
            <w:vAlign w:val="center"/>
          </w:tcPr>
          <w:p w14:paraId="366893CA">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***公园**标段</w:t>
            </w:r>
          </w:p>
        </w:tc>
        <w:tc>
          <w:tcPr>
            <w:tcW w:w="1530" w:type="dxa"/>
            <w:noWrap w:val="0"/>
            <w:vAlign w:val="center"/>
          </w:tcPr>
          <w:p w14:paraId="1FBA7206">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海棠、月季</w:t>
            </w:r>
          </w:p>
        </w:tc>
        <w:tc>
          <w:tcPr>
            <w:tcW w:w="1785" w:type="dxa"/>
            <w:noWrap w:val="0"/>
            <w:vAlign w:val="center"/>
          </w:tcPr>
          <w:p w14:paraId="130751CE">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美国白蛾</w:t>
            </w:r>
          </w:p>
        </w:tc>
        <w:tc>
          <w:tcPr>
            <w:tcW w:w="1635" w:type="dxa"/>
            <w:noWrap w:val="0"/>
            <w:vAlign w:val="center"/>
          </w:tcPr>
          <w:p w14:paraId="300C20E6">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5亩</w:t>
            </w:r>
          </w:p>
        </w:tc>
        <w:tc>
          <w:tcPr>
            <w:tcW w:w="1575" w:type="dxa"/>
            <w:noWrap w:val="0"/>
            <w:vAlign w:val="center"/>
          </w:tcPr>
          <w:p w14:paraId="0DCB73BD">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5千克</w:t>
            </w:r>
          </w:p>
        </w:tc>
        <w:tc>
          <w:tcPr>
            <w:tcW w:w="2184" w:type="dxa"/>
            <w:noWrap w:val="0"/>
            <w:vAlign w:val="center"/>
          </w:tcPr>
          <w:p w14:paraId="39B50888">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w:t>
            </w:r>
          </w:p>
        </w:tc>
      </w:tr>
      <w:tr w14:paraId="756D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489" w:type="dxa"/>
            <w:noWrap w:val="0"/>
            <w:vAlign w:val="center"/>
          </w:tcPr>
          <w:p w14:paraId="6B22DA39">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例：202</w:t>
            </w: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rPr>
              <w:t>年6月5日</w:t>
            </w:r>
          </w:p>
        </w:tc>
        <w:tc>
          <w:tcPr>
            <w:tcW w:w="2554" w:type="dxa"/>
            <w:noWrap w:val="0"/>
            <w:vAlign w:val="center"/>
          </w:tcPr>
          <w:p w14:paraId="0A57BE15">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15%三唑酮可湿性粉剂</w:t>
            </w:r>
          </w:p>
        </w:tc>
        <w:tc>
          <w:tcPr>
            <w:tcW w:w="1422" w:type="dxa"/>
            <w:noWrap w:val="0"/>
            <w:vAlign w:val="center"/>
          </w:tcPr>
          <w:p w14:paraId="1F63ECA1">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***公园**标段</w:t>
            </w:r>
          </w:p>
        </w:tc>
        <w:tc>
          <w:tcPr>
            <w:tcW w:w="1530" w:type="dxa"/>
            <w:noWrap w:val="0"/>
            <w:vAlign w:val="center"/>
          </w:tcPr>
          <w:p w14:paraId="7D529514">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海棠、月季</w:t>
            </w:r>
          </w:p>
        </w:tc>
        <w:tc>
          <w:tcPr>
            <w:tcW w:w="1785" w:type="dxa"/>
            <w:noWrap w:val="0"/>
            <w:vAlign w:val="center"/>
          </w:tcPr>
          <w:p w14:paraId="74DFC2A4">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白粉病</w:t>
            </w:r>
          </w:p>
        </w:tc>
        <w:tc>
          <w:tcPr>
            <w:tcW w:w="1635" w:type="dxa"/>
            <w:noWrap w:val="0"/>
            <w:vAlign w:val="center"/>
          </w:tcPr>
          <w:p w14:paraId="01B3C3A1">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5亩</w:t>
            </w:r>
          </w:p>
        </w:tc>
        <w:tc>
          <w:tcPr>
            <w:tcW w:w="1575" w:type="dxa"/>
            <w:noWrap w:val="0"/>
            <w:vAlign w:val="center"/>
          </w:tcPr>
          <w:p w14:paraId="3C24630C">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5千克</w:t>
            </w:r>
          </w:p>
        </w:tc>
        <w:tc>
          <w:tcPr>
            <w:tcW w:w="2184" w:type="dxa"/>
            <w:noWrap w:val="0"/>
            <w:vAlign w:val="center"/>
          </w:tcPr>
          <w:p w14:paraId="2ACB82BB">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w:t>
            </w:r>
          </w:p>
        </w:tc>
      </w:tr>
      <w:tr w14:paraId="1BA1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489" w:type="dxa"/>
            <w:noWrap w:val="0"/>
            <w:vAlign w:val="center"/>
          </w:tcPr>
          <w:p w14:paraId="25162CA3">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554" w:type="dxa"/>
            <w:noWrap w:val="0"/>
            <w:vAlign w:val="center"/>
          </w:tcPr>
          <w:p w14:paraId="62849A82">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422" w:type="dxa"/>
            <w:noWrap w:val="0"/>
            <w:vAlign w:val="center"/>
          </w:tcPr>
          <w:p w14:paraId="52D1FA41">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530" w:type="dxa"/>
            <w:noWrap w:val="0"/>
            <w:vAlign w:val="center"/>
          </w:tcPr>
          <w:p w14:paraId="7CC2262D">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785" w:type="dxa"/>
            <w:noWrap w:val="0"/>
            <w:vAlign w:val="center"/>
          </w:tcPr>
          <w:p w14:paraId="07549BAE">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635" w:type="dxa"/>
            <w:noWrap w:val="0"/>
            <w:vAlign w:val="center"/>
          </w:tcPr>
          <w:p w14:paraId="00B39B2C">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575" w:type="dxa"/>
            <w:noWrap w:val="0"/>
            <w:vAlign w:val="center"/>
          </w:tcPr>
          <w:p w14:paraId="3A268F16">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184" w:type="dxa"/>
            <w:noWrap w:val="0"/>
            <w:vAlign w:val="center"/>
          </w:tcPr>
          <w:p w14:paraId="36FF38D4">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r>
      <w:tr w14:paraId="22F1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489" w:type="dxa"/>
            <w:noWrap w:val="0"/>
            <w:vAlign w:val="center"/>
          </w:tcPr>
          <w:p w14:paraId="579CB4B8">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554" w:type="dxa"/>
            <w:noWrap w:val="0"/>
            <w:vAlign w:val="center"/>
          </w:tcPr>
          <w:p w14:paraId="53B55761">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422" w:type="dxa"/>
            <w:noWrap w:val="0"/>
            <w:vAlign w:val="center"/>
          </w:tcPr>
          <w:p w14:paraId="1235E50B">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530" w:type="dxa"/>
            <w:noWrap w:val="0"/>
            <w:vAlign w:val="center"/>
          </w:tcPr>
          <w:p w14:paraId="5816C94A">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785" w:type="dxa"/>
            <w:noWrap w:val="0"/>
            <w:vAlign w:val="center"/>
          </w:tcPr>
          <w:p w14:paraId="6B8B1370">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635" w:type="dxa"/>
            <w:noWrap w:val="0"/>
            <w:vAlign w:val="center"/>
          </w:tcPr>
          <w:p w14:paraId="79FD94CD">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575" w:type="dxa"/>
            <w:noWrap w:val="0"/>
            <w:vAlign w:val="center"/>
          </w:tcPr>
          <w:p w14:paraId="22B4F317">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184" w:type="dxa"/>
            <w:noWrap w:val="0"/>
            <w:vAlign w:val="center"/>
          </w:tcPr>
          <w:p w14:paraId="6BB03454">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r>
      <w:tr w14:paraId="25D2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489" w:type="dxa"/>
            <w:noWrap w:val="0"/>
            <w:vAlign w:val="center"/>
          </w:tcPr>
          <w:p w14:paraId="04A12715">
            <w:pPr>
              <w:pageBreakBefore w:val="0"/>
              <w:tabs>
                <w:tab w:val="left" w:pos="2520"/>
              </w:tabs>
              <w:suppressAutoHyphens/>
              <w:kinsoku/>
              <w:wordWrap/>
              <w:overflowPunct/>
              <w:topLinePunct w:val="0"/>
              <w:autoSpaceDE/>
              <w:autoSpaceDN/>
              <w:bidi w:val="0"/>
              <w:adjustRightInd/>
              <w:snapToGrid/>
              <w:spacing w:beforeAutospacing="0" w:afterAutospacing="0" w:line="560" w:lineRule="exact"/>
              <w:ind w:left="0" w:right="0" w:firstLine="643" w:firstLineChars="200"/>
              <w:textAlignment w:val="auto"/>
              <w:rPr>
                <w:rFonts w:hint="eastAsia" w:ascii="仿宋_GB2312" w:hAnsi="仿宋_GB2312" w:eastAsia="仿宋_GB2312" w:cs="仿宋_GB2312"/>
                <w:b/>
                <w:bCs/>
                <w:color w:val="auto"/>
                <w:sz w:val="32"/>
                <w:szCs w:val="32"/>
                <w:highlight w:val="none"/>
              </w:rPr>
            </w:pPr>
          </w:p>
        </w:tc>
        <w:tc>
          <w:tcPr>
            <w:tcW w:w="2554" w:type="dxa"/>
            <w:noWrap w:val="0"/>
            <w:vAlign w:val="center"/>
          </w:tcPr>
          <w:p w14:paraId="4AD64FA5">
            <w:pPr>
              <w:pageBreakBefore w:val="0"/>
              <w:tabs>
                <w:tab w:val="left" w:pos="2520"/>
              </w:tabs>
              <w:suppressAutoHyphens/>
              <w:kinsoku/>
              <w:wordWrap/>
              <w:overflowPunct/>
              <w:topLinePunct w:val="0"/>
              <w:autoSpaceDE/>
              <w:autoSpaceDN/>
              <w:bidi w:val="0"/>
              <w:adjustRightInd/>
              <w:snapToGrid/>
              <w:spacing w:beforeAutospacing="0" w:afterAutospacing="0" w:line="560" w:lineRule="exact"/>
              <w:ind w:left="0" w:right="0" w:firstLine="643" w:firstLineChars="200"/>
              <w:textAlignment w:val="auto"/>
              <w:rPr>
                <w:rFonts w:hint="eastAsia" w:ascii="仿宋_GB2312" w:hAnsi="仿宋_GB2312" w:eastAsia="仿宋_GB2312" w:cs="仿宋_GB2312"/>
                <w:b/>
                <w:bCs/>
                <w:color w:val="auto"/>
                <w:sz w:val="32"/>
                <w:szCs w:val="32"/>
                <w:highlight w:val="none"/>
              </w:rPr>
            </w:pPr>
          </w:p>
        </w:tc>
        <w:tc>
          <w:tcPr>
            <w:tcW w:w="1422" w:type="dxa"/>
            <w:noWrap w:val="0"/>
            <w:vAlign w:val="center"/>
          </w:tcPr>
          <w:p w14:paraId="45E1C996">
            <w:pPr>
              <w:pageBreakBefore w:val="0"/>
              <w:tabs>
                <w:tab w:val="left" w:pos="2520"/>
              </w:tabs>
              <w:suppressAutoHyphens/>
              <w:kinsoku/>
              <w:wordWrap/>
              <w:overflowPunct/>
              <w:topLinePunct w:val="0"/>
              <w:autoSpaceDE/>
              <w:autoSpaceDN/>
              <w:bidi w:val="0"/>
              <w:adjustRightInd/>
              <w:snapToGrid/>
              <w:spacing w:beforeAutospacing="0" w:afterAutospacing="0" w:line="560" w:lineRule="exact"/>
              <w:ind w:left="0" w:right="0" w:firstLine="643" w:firstLineChars="200"/>
              <w:textAlignment w:val="auto"/>
              <w:rPr>
                <w:rFonts w:hint="eastAsia" w:ascii="仿宋_GB2312" w:hAnsi="仿宋_GB2312" w:eastAsia="仿宋_GB2312" w:cs="仿宋_GB2312"/>
                <w:b/>
                <w:bCs/>
                <w:color w:val="auto"/>
                <w:sz w:val="32"/>
                <w:szCs w:val="32"/>
                <w:highlight w:val="none"/>
              </w:rPr>
            </w:pPr>
          </w:p>
        </w:tc>
        <w:tc>
          <w:tcPr>
            <w:tcW w:w="1530" w:type="dxa"/>
            <w:noWrap w:val="0"/>
            <w:vAlign w:val="top"/>
          </w:tcPr>
          <w:p w14:paraId="03207BD7">
            <w:pPr>
              <w:pageBreakBefore w:val="0"/>
              <w:tabs>
                <w:tab w:val="left" w:pos="2520"/>
              </w:tabs>
              <w:suppressAutoHyphens/>
              <w:kinsoku/>
              <w:wordWrap/>
              <w:overflowPunct/>
              <w:topLinePunct w:val="0"/>
              <w:autoSpaceDE/>
              <w:autoSpaceDN/>
              <w:bidi w:val="0"/>
              <w:adjustRightInd/>
              <w:snapToGrid/>
              <w:spacing w:beforeAutospacing="0" w:afterAutospacing="0" w:line="560" w:lineRule="exact"/>
              <w:ind w:left="0" w:right="0" w:firstLine="643" w:firstLineChars="200"/>
              <w:textAlignment w:val="auto"/>
              <w:rPr>
                <w:rFonts w:hint="eastAsia" w:ascii="仿宋_GB2312" w:hAnsi="仿宋_GB2312" w:eastAsia="仿宋_GB2312" w:cs="仿宋_GB2312"/>
                <w:b/>
                <w:bCs/>
                <w:color w:val="auto"/>
                <w:sz w:val="32"/>
                <w:szCs w:val="32"/>
                <w:highlight w:val="none"/>
              </w:rPr>
            </w:pPr>
          </w:p>
        </w:tc>
        <w:tc>
          <w:tcPr>
            <w:tcW w:w="1785" w:type="dxa"/>
            <w:noWrap w:val="0"/>
            <w:vAlign w:val="top"/>
          </w:tcPr>
          <w:p w14:paraId="49B53763">
            <w:pPr>
              <w:pageBreakBefore w:val="0"/>
              <w:tabs>
                <w:tab w:val="left" w:pos="2520"/>
              </w:tabs>
              <w:suppressAutoHyphens/>
              <w:kinsoku/>
              <w:wordWrap/>
              <w:overflowPunct/>
              <w:topLinePunct w:val="0"/>
              <w:autoSpaceDE/>
              <w:autoSpaceDN/>
              <w:bidi w:val="0"/>
              <w:adjustRightInd/>
              <w:snapToGrid/>
              <w:spacing w:beforeAutospacing="0" w:afterAutospacing="0" w:line="560" w:lineRule="exact"/>
              <w:ind w:left="0" w:right="0" w:firstLine="643" w:firstLineChars="200"/>
              <w:textAlignment w:val="auto"/>
              <w:rPr>
                <w:rFonts w:hint="eastAsia" w:ascii="仿宋_GB2312" w:hAnsi="仿宋_GB2312" w:eastAsia="仿宋_GB2312" w:cs="仿宋_GB2312"/>
                <w:b/>
                <w:bCs/>
                <w:color w:val="auto"/>
                <w:sz w:val="32"/>
                <w:szCs w:val="32"/>
                <w:highlight w:val="none"/>
              </w:rPr>
            </w:pPr>
          </w:p>
        </w:tc>
        <w:tc>
          <w:tcPr>
            <w:tcW w:w="1635" w:type="dxa"/>
            <w:noWrap w:val="0"/>
            <w:vAlign w:val="top"/>
          </w:tcPr>
          <w:p w14:paraId="451247DE">
            <w:pPr>
              <w:pageBreakBefore w:val="0"/>
              <w:tabs>
                <w:tab w:val="left" w:pos="2520"/>
              </w:tabs>
              <w:suppressAutoHyphens/>
              <w:kinsoku/>
              <w:wordWrap/>
              <w:overflowPunct/>
              <w:topLinePunct w:val="0"/>
              <w:autoSpaceDE/>
              <w:autoSpaceDN/>
              <w:bidi w:val="0"/>
              <w:adjustRightInd/>
              <w:snapToGrid/>
              <w:spacing w:beforeAutospacing="0" w:afterAutospacing="0" w:line="560" w:lineRule="exact"/>
              <w:ind w:left="0" w:right="0" w:firstLine="643" w:firstLineChars="200"/>
              <w:textAlignment w:val="auto"/>
              <w:rPr>
                <w:rFonts w:hint="eastAsia" w:ascii="仿宋_GB2312" w:hAnsi="仿宋_GB2312" w:eastAsia="仿宋_GB2312" w:cs="仿宋_GB2312"/>
                <w:b/>
                <w:bCs/>
                <w:color w:val="auto"/>
                <w:sz w:val="32"/>
                <w:szCs w:val="32"/>
                <w:highlight w:val="none"/>
              </w:rPr>
            </w:pPr>
          </w:p>
        </w:tc>
        <w:tc>
          <w:tcPr>
            <w:tcW w:w="1575" w:type="dxa"/>
            <w:noWrap w:val="0"/>
            <w:vAlign w:val="top"/>
          </w:tcPr>
          <w:p w14:paraId="0DE2DCD6">
            <w:pPr>
              <w:pageBreakBefore w:val="0"/>
              <w:tabs>
                <w:tab w:val="left" w:pos="2520"/>
              </w:tabs>
              <w:suppressAutoHyphens/>
              <w:kinsoku/>
              <w:wordWrap/>
              <w:overflowPunct/>
              <w:topLinePunct w:val="0"/>
              <w:autoSpaceDE/>
              <w:autoSpaceDN/>
              <w:bidi w:val="0"/>
              <w:adjustRightInd/>
              <w:snapToGrid/>
              <w:spacing w:beforeAutospacing="0" w:afterAutospacing="0" w:line="560" w:lineRule="exact"/>
              <w:ind w:left="0" w:right="0" w:firstLine="643" w:firstLineChars="200"/>
              <w:textAlignment w:val="auto"/>
              <w:rPr>
                <w:rFonts w:hint="eastAsia" w:ascii="仿宋_GB2312" w:hAnsi="仿宋_GB2312" w:eastAsia="仿宋_GB2312" w:cs="仿宋_GB2312"/>
                <w:b/>
                <w:bCs/>
                <w:color w:val="auto"/>
                <w:sz w:val="32"/>
                <w:szCs w:val="32"/>
                <w:highlight w:val="none"/>
              </w:rPr>
            </w:pPr>
          </w:p>
        </w:tc>
        <w:tc>
          <w:tcPr>
            <w:tcW w:w="2184" w:type="dxa"/>
            <w:noWrap w:val="0"/>
            <w:vAlign w:val="top"/>
          </w:tcPr>
          <w:p w14:paraId="30134C7B">
            <w:pPr>
              <w:pageBreakBefore w:val="0"/>
              <w:tabs>
                <w:tab w:val="left" w:pos="2520"/>
              </w:tabs>
              <w:suppressAutoHyphens/>
              <w:kinsoku/>
              <w:wordWrap/>
              <w:overflowPunct/>
              <w:topLinePunct w:val="0"/>
              <w:autoSpaceDE/>
              <w:autoSpaceDN/>
              <w:bidi w:val="0"/>
              <w:adjustRightInd/>
              <w:snapToGrid/>
              <w:spacing w:beforeAutospacing="0" w:afterAutospacing="0" w:line="560" w:lineRule="exact"/>
              <w:ind w:left="0" w:right="0" w:firstLine="643" w:firstLineChars="200"/>
              <w:textAlignment w:val="auto"/>
              <w:rPr>
                <w:rFonts w:hint="eastAsia" w:ascii="仿宋_GB2312" w:hAnsi="仿宋_GB2312" w:eastAsia="仿宋_GB2312" w:cs="仿宋_GB2312"/>
                <w:b/>
                <w:bCs/>
                <w:color w:val="auto"/>
                <w:sz w:val="32"/>
                <w:szCs w:val="32"/>
                <w:highlight w:val="none"/>
              </w:rPr>
            </w:pPr>
          </w:p>
        </w:tc>
      </w:tr>
    </w:tbl>
    <w:p w14:paraId="75CAB60D">
      <w:pPr>
        <w:pageBreakBefore w:val="0"/>
        <w:tabs>
          <w:tab w:val="left" w:pos="2520"/>
        </w:tabs>
        <w:suppressAutoHyphens/>
        <w:kinsoku/>
        <w:wordWrap/>
        <w:overflowPunct/>
        <w:topLinePunct w:val="0"/>
        <w:autoSpaceDE/>
        <w:autoSpaceDN/>
        <w:bidi w:val="0"/>
        <w:adjustRightInd/>
        <w:snapToGrid/>
        <w:spacing w:beforeAutospacing="0" w:afterAutospacing="0" w:line="560" w:lineRule="exact"/>
        <w:ind w:left="0" w:right="0" w:firstLine="643" w:firstLineChars="200"/>
        <w:textAlignment w:val="auto"/>
        <w:rPr>
          <w:rFonts w:hint="eastAsia" w:ascii="仿宋_GB2312" w:hAnsi="仿宋_GB2312" w:eastAsia="仿宋_GB2312" w:cs="仿宋_GB2312"/>
          <w:b/>
          <w:bCs/>
          <w:color w:val="auto"/>
          <w:sz w:val="32"/>
          <w:szCs w:val="32"/>
          <w:highlight w:val="none"/>
        </w:rPr>
        <w:sectPr>
          <w:pgSz w:w="16838" w:h="11906" w:orient="landscape"/>
          <w:pgMar w:top="1803" w:right="1440" w:bottom="1803" w:left="1440" w:header="720" w:footer="720" w:gutter="0"/>
          <w:pgNumType w:fmt="numberInDash"/>
          <w:cols w:space="720" w:num="1"/>
          <w:docGrid w:type="lines" w:linePitch="319" w:charSpace="0"/>
        </w:sectPr>
      </w:pPr>
    </w:p>
    <w:p w14:paraId="3FCB564E">
      <w:pPr>
        <w:pageBreakBefore w:val="0"/>
        <w:suppressAutoHyphens/>
        <w:kinsoku/>
        <w:wordWrap/>
        <w:overflowPunct/>
        <w:topLinePunct w:val="0"/>
        <w:autoSpaceDE/>
        <w:autoSpaceDN/>
        <w:bidi w:val="0"/>
        <w:adjustRightInd/>
        <w:snapToGrid/>
        <w:spacing w:beforeAutospacing="0" w:afterAutospacing="0" w:line="560" w:lineRule="exact"/>
        <w:ind w:left="0" w:right="0" w:firstLine="640"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农药包装废弃物处理记录表</w:t>
      </w:r>
    </w:p>
    <w:tbl>
      <w:tblPr>
        <w:tblStyle w:val="20"/>
        <w:tblW w:w="13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830"/>
        <w:gridCol w:w="1575"/>
        <w:gridCol w:w="1935"/>
        <w:gridCol w:w="2130"/>
        <w:gridCol w:w="2175"/>
        <w:gridCol w:w="2001"/>
      </w:tblGrid>
      <w:tr w14:paraId="2524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80" w:type="dxa"/>
            <w:noWrap w:val="0"/>
            <w:vAlign w:val="center"/>
          </w:tcPr>
          <w:p w14:paraId="096CB1FB">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农药名称</w:t>
            </w:r>
          </w:p>
        </w:tc>
        <w:tc>
          <w:tcPr>
            <w:tcW w:w="1830" w:type="dxa"/>
            <w:noWrap w:val="0"/>
            <w:vAlign w:val="center"/>
          </w:tcPr>
          <w:p w14:paraId="5A0A30C2">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生产厂家名称</w:t>
            </w:r>
          </w:p>
        </w:tc>
        <w:tc>
          <w:tcPr>
            <w:tcW w:w="1575" w:type="dxa"/>
            <w:noWrap w:val="0"/>
            <w:vAlign w:val="center"/>
          </w:tcPr>
          <w:p w14:paraId="51BE85CA">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包装规格</w:t>
            </w:r>
          </w:p>
        </w:tc>
        <w:tc>
          <w:tcPr>
            <w:tcW w:w="1935" w:type="dxa"/>
            <w:noWrap w:val="0"/>
            <w:vAlign w:val="center"/>
          </w:tcPr>
          <w:p w14:paraId="03F1E92D">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包装废弃物</w:t>
            </w:r>
          </w:p>
          <w:p w14:paraId="7DCCE84B">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数量（袋、瓶）</w:t>
            </w:r>
          </w:p>
        </w:tc>
        <w:tc>
          <w:tcPr>
            <w:tcW w:w="2130" w:type="dxa"/>
            <w:noWrap w:val="0"/>
            <w:vAlign w:val="center"/>
          </w:tcPr>
          <w:p w14:paraId="69074115">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回收单位名称</w:t>
            </w:r>
          </w:p>
        </w:tc>
        <w:tc>
          <w:tcPr>
            <w:tcW w:w="2175" w:type="dxa"/>
            <w:noWrap w:val="0"/>
            <w:vAlign w:val="center"/>
          </w:tcPr>
          <w:p w14:paraId="086255DF">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回收日期</w:t>
            </w:r>
          </w:p>
          <w:p w14:paraId="3C16EE28">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（*年*月*日）</w:t>
            </w:r>
          </w:p>
        </w:tc>
        <w:tc>
          <w:tcPr>
            <w:tcW w:w="2001" w:type="dxa"/>
            <w:noWrap w:val="0"/>
            <w:vAlign w:val="center"/>
          </w:tcPr>
          <w:p w14:paraId="151FCC26">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记录人签字</w:t>
            </w:r>
          </w:p>
        </w:tc>
      </w:tr>
      <w:tr w14:paraId="38DF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80" w:type="dxa"/>
            <w:noWrap w:val="0"/>
            <w:vAlign w:val="center"/>
          </w:tcPr>
          <w:p w14:paraId="5964C6A0">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1%苦参碱可溶液剂</w:t>
            </w:r>
          </w:p>
        </w:tc>
        <w:tc>
          <w:tcPr>
            <w:tcW w:w="1830" w:type="dxa"/>
            <w:noWrap w:val="0"/>
            <w:vAlign w:val="center"/>
          </w:tcPr>
          <w:p w14:paraId="14FA6AA3">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北京***有限公司</w:t>
            </w:r>
          </w:p>
        </w:tc>
        <w:tc>
          <w:tcPr>
            <w:tcW w:w="1575" w:type="dxa"/>
            <w:noWrap w:val="0"/>
            <w:vAlign w:val="center"/>
          </w:tcPr>
          <w:p w14:paraId="60299EBB">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500毫升/瓶</w:t>
            </w:r>
          </w:p>
        </w:tc>
        <w:tc>
          <w:tcPr>
            <w:tcW w:w="1935" w:type="dxa"/>
            <w:noWrap w:val="0"/>
            <w:vAlign w:val="center"/>
          </w:tcPr>
          <w:p w14:paraId="4CFD34AD">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10瓶</w:t>
            </w:r>
          </w:p>
        </w:tc>
        <w:tc>
          <w:tcPr>
            <w:tcW w:w="2130" w:type="dxa"/>
            <w:noWrap w:val="0"/>
            <w:vAlign w:val="center"/>
          </w:tcPr>
          <w:p w14:paraId="6E35C34A">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北京***农药销售有限公司</w:t>
            </w:r>
          </w:p>
        </w:tc>
        <w:tc>
          <w:tcPr>
            <w:tcW w:w="2175" w:type="dxa"/>
            <w:noWrap w:val="0"/>
            <w:vAlign w:val="center"/>
          </w:tcPr>
          <w:p w14:paraId="426A06B6">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202</w:t>
            </w: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rPr>
              <w:t>年6月10日</w:t>
            </w:r>
          </w:p>
        </w:tc>
        <w:tc>
          <w:tcPr>
            <w:tcW w:w="2001" w:type="dxa"/>
            <w:noWrap w:val="0"/>
            <w:vAlign w:val="center"/>
          </w:tcPr>
          <w:p w14:paraId="18359B75">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w:t>
            </w:r>
          </w:p>
        </w:tc>
      </w:tr>
      <w:tr w14:paraId="57C6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80" w:type="dxa"/>
            <w:noWrap w:val="0"/>
            <w:vAlign w:val="center"/>
          </w:tcPr>
          <w:p w14:paraId="5520BF3C">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15%三唑酮可湿性粉剂</w:t>
            </w:r>
          </w:p>
        </w:tc>
        <w:tc>
          <w:tcPr>
            <w:tcW w:w="1830" w:type="dxa"/>
            <w:noWrap w:val="0"/>
            <w:vAlign w:val="center"/>
          </w:tcPr>
          <w:p w14:paraId="5E0BC4C7">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北京***农药有限公司</w:t>
            </w:r>
          </w:p>
        </w:tc>
        <w:tc>
          <w:tcPr>
            <w:tcW w:w="1575" w:type="dxa"/>
            <w:noWrap w:val="0"/>
            <w:vAlign w:val="center"/>
          </w:tcPr>
          <w:p w14:paraId="7BD9FAF7">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5克/袋</w:t>
            </w:r>
          </w:p>
        </w:tc>
        <w:tc>
          <w:tcPr>
            <w:tcW w:w="1935" w:type="dxa"/>
            <w:noWrap w:val="0"/>
            <w:vAlign w:val="center"/>
          </w:tcPr>
          <w:p w14:paraId="4F7FA75B">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1000袋</w:t>
            </w:r>
          </w:p>
        </w:tc>
        <w:tc>
          <w:tcPr>
            <w:tcW w:w="2130" w:type="dxa"/>
            <w:noWrap w:val="0"/>
            <w:vAlign w:val="center"/>
          </w:tcPr>
          <w:p w14:paraId="5E9A5FC2">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北京***农药销售有限公司</w:t>
            </w:r>
          </w:p>
        </w:tc>
        <w:tc>
          <w:tcPr>
            <w:tcW w:w="2175" w:type="dxa"/>
            <w:noWrap w:val="0"/>
            <w:vAlign w:val="center"/>
          </w:tcPr>
          <w:p w14:paraId="368F8C8D">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202</w:t>
            </w: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rPr>
              <w:t>年6月10日</w:t>
            </w:r>
          </w:p>
        </w:tc>
        <w:tc>
          <w:tcPr>
            <w:tcW w:w="2001" w:type="dxa"/>
            <w:noWrap w:val="0"/>
            <w:vAlign w:val="center"/>
          </w:tcPr>
          <w:p w14:paraId="057DFF06">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w:t>
            </w:r>
          </w:p>
        </w:tc>
      </w:tr>
      <w:tr w14:paraId="29B7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80" w:type="dxa"/>
            <w:noWrap w:val="0"/>
            <w:vAlign w:val="center"/>
          </w:tcPr>
          <w:p w14:paraId="01DD15D0">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830" w:type="dxa"/>
            <w:noWrap w:val="0"/>
            <w:vAlign w:val="center"/>
          </w:tcPr>
          <w:p w14:paraId="735DF71D">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575" w:type="dxa"/>
            <w:noWrap w:val="0"/>
            <w:vAlign w:val="center"/>
          </w:tcPr>
          <w:p w14:paraId="549D56D5">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935" w:type="dxa"/>
            <w:noWrap w:val="0"/>
            <w:vAlign w:val="center"/>
          </w:tcPr>
          <w:p w14:paraId="6E2DCF4E">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130" w:type="dxa"/>
            <w:noWrap w:val="0"/>
            <w:vAlign w:val="center"/>
          </w:tcPr>
          <w:p w14:paraId="43B46B8A">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175" w:type="dxa"/>
            <w:noWrap w:val="0"/>
            <w:vAlign w:val="center"/>
          </w:tcPr>
          <w:p w14:paraId="037E71AF">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001" w:type="dxa"/>
            <w:noWrap w:val="0"/>
            <w:vAlign w:val="center"/>
          </w:tcPr>
          <w:p w14:paraId="65E96383">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r>
      <w:tr w14:paraId="6526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80" w:type="dxa"/>
            <w:noWrap w:val="0"/>
            <w:vAlign w:val="center"/>
          </w:tcPr>
          <w:p w14:paraId="0D4F0015">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830" w:type="dxa"/>
            <w:noWrap w:val="0"/>
            <w:vAlign w:val="center"/>
          </w:tcPr>
          <w:p w14:paraId="1E579015">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575" w:type="dxa"/>
            <w:noWrap w:val="0"/>
            <w:vAlign w:val="center"/>
          </w:tcPr>
          <w:p w14:paraId="04E5341B">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935" w:type="dxa"/>
            <w:noWrap w:val="0"/>
            <w:vAlign w:val="center"/>
          </w:tcPr>
          <w:p w14:paraId="05040984">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130" w:type="dxa"/>
            <w:noWrap w:val="0"/>
            <w:vAlign w:val="center"/>
          </w:tcPr>
          <w:p w14:paraId="3E6E2A48">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175" w:type="dxa"/>
            <w:noWrap w:val="0"/>
            <w:vAlign w:val="center"/>
          </w:tcPr>
          <w:p w14:paraId="179F6434">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001" w:type="dxa"/>
            <w:noWrap w:val="0"/>
            <w:vAlign w:val="center"/>
          </w:tcPr>
          <w:p w14:paraId="3B184D85">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r>
      <w:tr w14:paraId="0AA3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80" w:type="dxa"/>
            <w:noWrap w:val="0"/>
            <w:vAlign w:val="center"/>
          </w:tcPr>
          <w:p w14:paraId="1B51AC28">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830" w:type="dxa"/>
            <w:noWrap w:val="0"/>
            <w:vAlign w:val="center"/>
          </w:tcPr>
          <w:p w14:paraId="7AF39123">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575" w:type="dxa"/>
            <w:noWrap w:val="0"/>
            <w:vAlign w:val="center"/>
          </w:tcPr>
          <w:p w14:paraId="7335E6CC">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935" w:type="dxa"/>
            <w:noWrap w:val="0"/>
            <w:vAlign w:val="center"/>
          </w:tcPr>
          <w:p w14:paraId="7A9586D5">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130" w:type="dxa"/>
            <w:noWrap w:val="0"/>
            <w:vAlign w:val="center"/>
          </w:tcPr>
          <w:p w14:paraId="7409486C">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175" w:type="dxa"/>
            <w:noWrap w:val="0"/>
            <w:vAlign w:val="center"/>
          </w:tcPr>
          <w:p w14:paraId="709BE7B2">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001" w:type="dxa"/>
            <w:noWrap w:val="0"/>
            <w:vAlign w:val="center"/>
          </w:tcPr>
          <w:p w14:paraId="05553435">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r>
      <w:tr w14:paraId="464B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80" w:type="dxa"/>
            <w:noWrap w:val="0"/>
            <w:vAlign w:val="center"/>
          </w:tcPr>
          <w:p w14:paraId="0856BB79">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830" w:type="dxa"/>
            <w:noWrap w:val="0"/>
            <w:vAlign w:val="center"/>
          </w:tcPr>
          <w:p w14:paraId="5F9DB125">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575" w:type="dxa"/>
            <w:noWrap w:val="0"/>
            <w:vAlign w:val="center"/>
          </w:tcPr>
          <w:p w14:paraId="4E4CF61C">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935" w:type="dxa"/>
            <w:noWrap w:val="0"/>
            <w:vAlign w:val="center"/>
          </w:tcPr>
          <w:p w14:paraId="2DC2765B">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130" w:type="dxa"/>
            <w:noWrap w:val="0"/>
            <w:vAlign w:val="center"/>
          </w:tcPr>
          <w:p w14:paraId="1C6C6D3C">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175" w:type="dxa"/>
            <w:noWrap w:val="0"/>
            <w:vAlign w:val="center"/>
          </w:tcPr>
          <w:p w14:paraId="685910C9">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001" w:type="dxa"/>
            <w:noWrap w:val="0"/>
            <w:vAlign w:val="center"/>
          </w:tcPr>
          <w:p w14:paraId="313B25EA">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r>
      <w:tr w14:paraId="74B9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80" w:type="dxa"/>
            <w:noWrap w:val="0"/>
            <w:vAlign w:val="center"/>
          </w:tcPr>
          <w:p w14:paraId="6297E304">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830" w:type="dxa"/>
            <w:noWrap w:val="0"/>
            <w:vAlign w:val="center"/>
          </w:tcPr>
          <w:p w14:paraId="3CFD43ED">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575" w:type="dxa"/>
            <w:noWrap w:val="0"/>
            <w:vAlign w:val="center"/>
          </w:tcPr>
          <w:p w14:paraId="3608CCDF">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1935" w:type="dxa"/>
            <w:noWrap w:val="0"/>
            <w:vAlign w:val="center"/>
          </w:tcPr>
          <w:p w14:paraId="5173C7C5">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130" w:type="dxa"/>
            <w:noWrap w:val="0"/>
            <w:vAlign w:val="center"/>
          </w:tcPr>
          <w:p w14:paraId="6DF05A49">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175" w:type="dxa"/>
            <w:noWrap w:val="0"/>
            <w:vAlign w:val="center"/>
          </w:tcPr>
          <w:p w14:paraId="7309FC30">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c>
          <w:tcPr>
            <w:tcW w:w="2001" w:type="dxa"/>
            <w:noWrap w:val="0"/>
            <w:vAlign w:val="center"/>
          </w:tcPr>
          <w:p w14:paraId="71B1B958">
            <w:pPr>
              <w:keepNext w:val="0"/>
              <w:keepLines w:val="0"/>
              <w:pageBreakBefore w:val="0"/>
              <w:widowControl w:val="0"/>
              <w:tabs>
                <w:tab w:val="left" w:pos="2520"/>
              </w:tabs>
              <w:suppressAutoHyphens/>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val="0"/>
                <w:bCs w:val="0"/>
                <w:color w:val="auto"/>
                <w:sz w:val="24"/>
                <w:szCs w:val="24"/>
                <w:highlight w:val="none"/>
              </w:rPr>
            </w:pPr>
          </w:p>
        </w:tc>
      </w:tr>
    </w:tbl>
    <w:p w14:paraId="4D11F827">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sectPr>
          <w:pgSz w:w="16838" w:h="11906" w:orient="landscape"/>
          <w:pgMar w:top="1803" w:right="1440" w:bottom="1803" w:left="1440" w:header="720" w:footer="720" w:gutter="0"/>
          <w:pgNumType w:fmt="numberInDash"/>
          <w:cols w:space="720" w:num="1"/>
          <w:docGrid w:type="lines" w:linePitch="319" w:charSpace="0"/>
        </w:sectPr>
      </w:pPr>
    </w:p>
    <w:p w14:paraId="307237E9">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left="0" w:right="0" w:firstLine="0" w:firstLineChars="0"/>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填表说明</w:t>
      </w:r>
    </w:p>
    <w:p w14:paraId="5E93E0CB">
      <w:pPr>
        <w:pageBreakBefore w:val="0"/>
        <w:widowControl w:val="0"/>
        <w:numPr>
          <w:ilvl w:val="0"/>
          <w:numId w:val="3"/>
        </w:numP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5"/>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《北京市园林绿化系统农药使用记录（式样）》</w:t>
      </w:r>
    </w:p>
    <w:p w14:paraId="326AC93B">
      <w:pPr>
        <w:pageBreakBefore w:val="0"/>
        <w:suppressAutoHyphens/>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使用单位名称：填写农药的具体使用单位名称，如**</w:t>
      </w:r>
      <w:r>
        <w:rPr>
          <w:rFonts w:hint="eastAsia" w:ascii="仿宋_GB2312" w:hAnsi="仿宋_GB2312" w:eastAsia="仿宋_GB2312" w:cs="仿宋_GB2312"/>
          <w:color w:val="auto"/>
          <w:sz w:val="32"/>
          <w:szCs w:val="32"/>
          <w:highlight w:val="none"/>
          <w:lang w:val="en-US" w:eastAsia="zh-CN"/>
        </w:rPr>
        <w:t>集体林场</w:t>
      </w:r>
      <w:r>
        <w:rPr>
          <w:rFonts w:hint="eastAsia" w:ascii="仿宋_GB2312" w:hAnsi="仿宋_GB2312" w:eastAsia="仿宋_GB2312" w:cs="仿宋_GB2312"/>
          <w:color w:val="auto"/>
          <w:sz w:val="32"/>
          <w:szCs w:val="32"/>
          <w:highlight w:val="none"/>
        </w:rPr>
        <w:t>。</w:t>
      </w:r>
    </w:p>
    <w:p w14:paraId="0EE33877">
      <w:pPr>
        <w:pageBreakBefore w:val="0"/>
        <w:suppressAutoHyphens/>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管理区域：根据经营管护特点填写。</w:t>
      </w:r>
    </w:p>
    <w:p w14:paraId="58ACF031">
      <w:pPr>
        <w:pageBreakBefore w:val="0"/>
        <w:suppressAutoHyphens/>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管理面积：一般填写**亩。</w:t>
      </w:r>
    </w:p>
    <w:p w14:paraId="53A7C0B5">
      <w:pPr>
        <w:pageBreakBefore w:val="0"/>
        <w:suppressAutoHyphens/>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农药负责人姓名：填写使用单位负责农药管理的责任人。</w:t>
      </w:r>
    </w:p>
    <w:p w14:paraId="33416C9B">
      <w:pPr>
        <w:pageBreakBefore w:val="0"/>
        <w:suppressAutoHyphens/>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
        </w:rPr>
        <w:t>记录起止日期：填写记录的起止日期</w:t>
      </w:r>
      <w:r>
        <w:rPr>
          <w:rFonts w:hint="eastAsia" w:ascii="仿宋_GB2312" w:hAnsi="仿宋_GB2312" w:eastAsia="仿宋_GB2312" w:cs="仿宋_GB2312"/>
          <w:color w:val="auto"/>
          <w:sz w:val="32"/>
          <w:szCs w:val="32"/>
          <w:highlight w:val="none"/>
        </w:rPr>
        <w:t>。</w:t>
      </w:r>
    </w:p>
    <w:p w14:paraId="4588B42F">
      <w:pPr>
        <w:pageBreakBefore w:val="0"/>
        <w:widowControl w:val="0"/>
        <w:numPr>
          <w:ilvl w:val="0"/>
          <w:numId w:val="3"/>
        </w:numP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5"/>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《农药入库记录表》</w:t>
      </w:r>
    </w:p>
    <w:p w14:paraId="415A4D9B">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农药名称、生产厂家名称、毒性、生产日期、农药登记证号：按照农药瓶（袋）上的标签填写。农药名称包括含量、有效成分、剂型三部分组成，须填写全。建议可以由农药销售企业协助填写信息。</w:t>
      </w:r>
    </w:p>
    <w:p w14:paraId="1EF928F4">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农药来源：如为农药使用单位采购的，填写采购；如为其他部门（如区园林绿化局等）调拨的，填写调拨。</w:t>
      </w:r>
    </w:p>
    <w:p w14:paraId="0C93C6EB">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农药销售企业名称或调拨单位名称：根据实际来源填写，名称要准确，便于农药溯源。</w:t>
      </w:r>
    </w:p>
    <w:p w14:paraId="7E735E3C">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包装规格：按照包装物类型（农药多为瓶装或袋装）和标签标注的含量填写，如500毫升/瓶、100毫升/瓶、50毫升/瓶、100克/袋、50克/袋、5克/袋等。</w:t>
      </w:r>
    </w:p>
    <w:p w14:paraId="13F984A7">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入库数量：填写入库农药的瓶数或袋数，若采购整箱入库，要填写到具体瓶数或袋数。</w:t>
      </w:r>
    </w:p>
    <w:p w14:paraId="75F2441C">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spacing w:val="-11"/>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入</w:t>
      </w:r>
      <w:r>
        <w:rPr>
          <w:rFonts w:hint="eastAsia" w:ascii="仿宋_GB2312" w:hAnsi="仿宋_GB2312" w:eastAsia="仿宋_GB2312" w:cs="仿宋_GB2312"/>
          <w:color w:val="auto"/>
          <w:spacing w:val="-11"/>
          <w:kern w:val="2"/>
          <w:sz w:val="32"/>
          <w:szCs w:val="32"/>
          <w:highlight w:val="none"/>
          <w:lang w:val="en-US" w:eastAsia="zh-CN" w:bidi="ar-SA"/>
        </w:rPr>
        <w:t>库时间：填写农药入库的具体日期，如2024年6月1日。</w:t>
      </w:r>
    </w:p>
    <w:p w14:paraId="5050F828">
      <w:pPr>
        <w:pageBreakBefore w:val="0"/>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农药总量：通过包装规格乘以入库数量核算出农药用量。如规格为500</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毫升/瓶、入库20瓶，则入库的农药总量为500毫升/瓶×20瓶=10000毫升。农药标签标注的净含量单位通常为克、千克、毫升、升。核算中，按照1000克=1千克、1000毫升≈1千克、1升≈1千克，将单位统一换算为千克。因此，以上范例中10000毫升可填写10千克。</w:t>
      </w:r>
    </w:p>
    <w:p w14:paraId="10337CB7">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记录人：由农药使用单位有关负责同志署名。</w:t>
      </w:r>
    </w:p>
    <w:p w14:paraId="719BFF46">
      <w:pPr>
        <w:pageBreakBefore w:val="0"/>
        <w:widowControl w:val="0"/>
        <w:numPr>
          <w:ilvl w:val="0"/>
          <w:numId w:val="3"/>
        </w:numP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5"/>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《农药使用记录表》</w:t>
      </w:r>
    </w:p>
    <w:p w14:paraId="6CF2A93F">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使用日期：填写防治的具体日期，</w:t>
      </w:r>
      <w:r>
        <w:rPr>
          <w:rFonts w:hint="eastAsia" w:ascii="仿宋_GB2312" w:hAnsi="仿宋_GB2312" w:eastAsia="仿宋_GB2312" w:cs="仿宋_GB2312"/>
          <w:color w:val="auto"/>
          <w:kern w:val="2"/>
          <w:sz w:val="32"/>
          <w:szCs w:val="32"/>
          <w:highlight w:val="none"/>
          <w:lang w:val="en" w:eastAsia="zh-CN" w:bidi="ar-SA"/>
        </w:rPr>
        <w:t>如</w:t>
      </w:r>
      <w:r>
        <w:rPr>
          <w:rFonts w:hint="eastAsia" w:ascii="仿宋_GB2312" w:hAnsi="仿宋_GB2312" w:eastAsia="仿宋_GB2312" w:cs="仿宋_GB2312"/>
          <w:color w:val="auto"/>
          <w:kern w:val="2"/>
          <w:sz w:val="32"/>
          <w:szCs w:val="32"/>
          <w:highlight w:val="none"/>
          <w:lang w:val="en-US" w:eastAsia="zh-CN" w:bidi="ar-SA"/>
        </w:rPr>
        <w:t>2024年6月5日。</w:t>
      </w:r>
    </w:p>
    <w:p w14:paraId="6048B5F3">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农药名称：包括含量、有效成分、剂型三部分组成，须填写全，同《农药入库登记表》一致。</w:t>
      </w:r>
    </w:p>
    <w:p w14:paraId="435B03CD">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作业地块：根据农药使用单位养护区域划分填写。</w:t>
      </w:r>
    </w:p>
    <w:p w14:paraId="737C0A64">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主要植物：根据实际情况填写，超过3种的，只描述3种主要植物，可填写如杨树、油松、侧柏等。</w:t>
      </w:r>
    </w:p>
    <w:p w14:paraId="65CC9E4D">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防治对象：根据实际情况填写，超过3种防治对象的，只描述3种主要防治对象，格式同上。</w:t>
      </w:r>
    </w:p>
    <w:p w14:paraId="54D83FBE">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作业面积：根据实际情况填写。绿地、公园按照667平方米≈1亩将面积换算为亩。古树、大树按照规格将株数折算为面积。</w:t>
      </w:r>
    </w:p>
    <w:p w14:paraId="732BAC84">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农药用量：此处农药用量是指未加水混配时的农药商品量，填写**千克。克、毫升、升换算为千克的方式同《农药入库登记表》说明。</w:t>
      </w:r>
    </w:p>
    <w:p w14:paraId="35259845">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使用人签字：由农药使用人署名，一般为1人或2人。</w:t>
      </w:r>
    </w:p>
    <w:p w14:paraId="3E80EC35">
      <w:pPr>
        <w:pageBreakBefore w:val="0"/>
        <w:widowControl w:val="0"/>
        <w:numPr>
          <w:ilvl w:val="0"/>
          <w:numId w:val="3"/>
        </w:numP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5"/>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《农药包装废弃物处理记录表》</w:t>
      </w:r>
    </w:p>
    <w:p w14:paraId="75EA63C9">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农药名称：填写要求同《农药入库登记表》。</w:t>
      </w:r>
    </w:p>
    <w:p w14:paraId="36175E72">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生产厂家名称：填写要求同《农药入库登记表》。</w:t>
      </w:r>
    </w:p>
    <w:p w14:paraId="41A1F887">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包装规格：填写要求同《农药入库登记表》。</w:t>
      </w:r>
    </w:p>
    <w:p w14:paraId="660EF767">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废弃包装物数量：填写农药包装废弃物的数量，如10瓶或1000袋。</w:t>
      </w:r>
    </w:p>
    <w:p w14:paraId="0751C7AB">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回收单位名称：填写回收农药包装废物的单位名称，如农药销售企业等。回收渠道应当有相关合同约定或证明材料，建议在采购合同中规定由销售方进行回收处理。</w:t>
      </w:r>
    </w:p>
    <w:p w14:paraId="22E1F6F0">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 w:eastAsia="zh-CN" w:bidi="ar-SA"/>
        </w:rPr>
        <w:t>回收日期：</w:t>
      </w:r>
      <w:r>
        <w:rPr>
          <w:rFonts w:hint="eastAsia" w:ascii="仿宋_GB2312" w:hAnsi="仿宋_GB2312" w:eastAsia="仿宋_GB2312" w:cs="仿宋_GB2312"/>
          <w:color w:val="auto"/>
          <w:kern w:val="2"/>
          <w:sz w:val="32"/>
          <w:szCs w:val="32"/>
          <w:highlight w:val="none"/>
          <w:lang w:val="en-US" w:eastAsia="zh-CN" w:bidi="ar-SA"/>
        </w:rPr>
        <w:t>填写防治的具体日期，如2024年6月10日。</w:t>
      </w:r>
    </w:p>
    <w:p w14:paraId="234D9CFC">
      <w:pPr>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记录人签字：由农药使用单位有关负责同志署名。</w:t>
      </w:r>
    </w:p>
    <w:p w14:paraId="7E6920FA">
      <w:pPr>
        <w:pageBreakBefore w:val="0"/>
        <w:kinsoku/>
        <w:wordWrap/>
        <w:overflowPunct/>
        <w:topLinePunct w:val="0"/>
        <w:autoSpaceDE/>
        <w:autoSpaceDN/>
        <w:bidi w:val="0"/>
        <w:adjustRightInd/>
        <w:snapToGrid/>
        <w:spacing w:beforeAutospacing="0" w:afterAutospacing="0" w:line="560" w:lineRule="exact"/>
        <w:ind w:left="0" w:right="0" w:firstLine="760" w:firstLineChars="200"/>
        <w:textAlignment w:val="auto"/>
        <w:rPr>
          <w:rFonts w:hint="eastAsia" w:ascii="仿宋_GB2312" w:hAnsi="仿宋_GB2312" w:eastAsia="仿宋_GB2312" w:cs="仿宋_GB2312"/>
          <w:color w:val="auto"/>
          <w:sz w:val="38"/>
          <w:szCs w:val="38"/>
          <w:highlight w:val="none"/>
        </w:rPr>
        <w:sectPr>
          <w:footerReference r:id="rId7" w:type="default"/>
          <w:pgSz w:w="11906" w:h="16838"/>
          <w:pgMar w:top="1440" w:right="1803" w:bottom="1440" w:left="1803" w:header="720" w:footer="720" w:gutter="0"/>
          <w:pgNumType w:fmt="numberInDash"/>
          <w:cols w:space="720" w:num="1"/>
          <w:docGrid w:type="lines" w:linePitch="319" w:charSpace="0"/>
        </w:sectPr>
      </w:pPr>
    </w:p>
    <w:p w14:paraId="46B5EE94">
      <w:pPr>
        <w:pageBreakBefore w:val="0"/>
        <w:kinsoku/>
        <w:wordWrap/>
        <w:overflowPunct/>
        <w:topLinePunct w:val="0"/>
        <w:autoSpaceDE/>
        <w:autoSpaceDN/>
        <w:bidi w:val="0"/>
        <w:adjustRightInd/>
        <w:snapToGrid/>
        <w:spacing w:beforeAutospacing="0" w:afterAutospacing="0" w:line="560" w:lineRule="exact"/>
        <w:ind w:left="0" w:right="0" w:firstLine="643"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通州区园林绿化系统农药统计报表</w:t>
      </w:r>
    </w:p>
    <w:p w14:paraId="2161E22F">
      <w:pPr>
        <w:pageBreakBefore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填表单位（部门）：</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（盖章）   审核人（填表单位或科室负责人签字）：</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
        </w:rPr>
        <w:t xml:space="preserve"> </w:t>
      </w:r>
      <w:r>
        <w:rPr>
          <w:rFonts w:hint="eastAsia" w:ascii="仿宋_GB2312" w:hAnsi="仿宋_GB2312" w:eastAsia="仿宋_GB2312" w:cs="仿宋_GB2312"/>
          <w:color w:val="auto"/>
          <w:sz w:val="32"/>
          <w:szCs w:val="32"/>
          <w:highlight w:val="none"/>
          <w:lang w:val="en"/>
        </w:rPr>
        <w:t xml:space="preserve"> </w:t>
      </w:r>
      <w:r>
        <w:rPr>
          <w:rFonts w:hint="eastAsia" w:ascii="仿宋_GB2312" w:hAnsi="仿宋_GB2312" w:eastAsia="仿宋_GB2312" w:cs="仿宋_GB2312"/>
          <w:color w:val="auto"/>
          <w:sz w:val="32"/>
          <w:szCs w:val="32"/>
          <w:highlight w:val="none"/>
        </w:rPr>
        <w:t xml:space="preserve"> </w:t>
      </w:r>
    </w:p>
    <w:p w14:paraId="24DF99A0">
      <w:pPr>
        <w:pageBreakBefore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b/>
          <w:bCs/>
          <w:color w:val="auto"/>
          <w:sz w:val="32"/>
          <w:szCs w:val="32"/>
          <w:highlight w:val="none"/>
          <w:lang w:val="en"/>
        </w:rPr>
      </w:pPr>
      <w:r>
        <w:rPr>
          <w:rFonts w:hint="eastAsia" w:ascii="仿宋_GB2312" w:hAnsi="仿宋_GB2312" w:eastAsia="仿宋_GB2312" w:cs="仿宋_GB2312"/>
          <w:color w:val="auto"/>
          <w:sz w:val="32"/>
          <w:szCs w:val="32"/>
          <w:highlight w:val="none"/>
        </w:rPr>
        <w:t>填表人（统计人签字）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联系方式：</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lang w:val="en"/>
        </w:rPr>
        <w:t xml:space="preserve">填报时间：                 </w:t>
      </w:r>
    </w:p>
    <w:tbl>
      <w:tblPr>
        <w:tblStyle w:val="20"/>
        <w:tblpPr w:leftFromText="180" w:rightFromText="180" w:vertAnchor="text" w:horzAnchor="page" w:tblpXSpec="center" w:tblpY="294"/>
        <w:tblOverlap w:val="never"/>
        <w:tblW w:w="14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1445"/>
        <w:gridCol w:w="1728"/>
        <w:gridCol w:w="2049"/>
        <w:gridCol w:w="4913"/>
      </w:tblGrid>
      <w:tr w14:paraId="0E8E1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23" w:type="dxa"/>
            <w:noWrap w:val="0"/>
            <w:vAlign w:val="center"/>
          </w:tcPr>
          <w:p w14:paraId="40FCBF8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lang w:val="en"/>
              </w:rPr>
            </w:pPr>
            <w:r>
              <w:rPr>
                <w:rFonts w:hint="eastAsia" w:ascii="仿宋_GB2312" w:hAnsi="仿宋_GB2312" w:eastAsia="仿宋_GB2312" w:cs="仿宋_GB2312"/>
                <w:b/>
                <w:bCs/>
                <w:color w:val="auto"/>
                <w:sz w:val="24"/>
                <w:szCs w:val="24"/>
                <w:highlight w:val="none"/>
                <w:lang w:val="en"/>
              </w:rPr>
              <w:t>资源类型</w:t>
            </w:r>
          </w:p>
        </w:tc>
        <w:tc>
          <w:tcPr>
            <w:tcW w:w="1445" w:type="dxa"/>
            <w:noWrap w:val="0"/>
            <w:vAlign w:val="center"/>
          </w:tcPr>
          <w:p w14:paraId="2CBCA4A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lang w:val="en"/>
              </w:rPr>
            </w:pPr>
            <w:r>
              <w:rPr>
                <w:rFonts w:hint="eastAsia" w:ascii="仿宋_GB2312" w:hAnsi="仿宋_GB2312" w:eastAsia="仿宋_GB2312" w:cs="仿宋_GB2312"/>
                <w:b/>
                <w:bCs/>
                <w:color w:val="auto"/>
                <w:sz w:val="24"/>
                <w:szCs w:val="24"/>
                <w:highlight w:val="none"/>
                <w:lang w:val="en"/>
              </w:rPr>
              <w:t>资源面积</w:t>
            </w:r>
          </w:p>
          <w:p w14:paraId="40213C8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lang w:val="en"/>
              </w:rPr>
            </w:pPr>
            <w:r>
              <w:rPr>
                <w:rFonts w:hint="eastAsia" w:ascii="仿宋_GB2312" w:hAnsi="仿宋_GB2312" w:eastAsia="仿宋_GB2312" w:cs="仿宋_GB2312"/>
                <w:b/>
                <w:bCs/>
                <w:color w:val="auto"/>
                <w:sz w:val="24"/>
                <w:szCs w:val="24"/>
                <w:highlight w:val="none"/>
                <w:lang w:val="en"/>
              </w:rPr>
              <w:t>（万亩）</w:t>
            </w:r>
          </w:p>
        </w:tc>
        <w:tc>
          <w:tcPr>
            <w:tcW w:w="1728" w:type="dxa"/>
            <w:noWrap w:val="0"/>
            <w:vAlign w:val="center"/>
          </w:tcPr>
          <w:p w14:paraId="7F1A456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lang w:val="en"/>
              </w:rPr>
            </w:pPr>
            <w:r>
              <w:rPr>
                <w:rFonts w:hint="eastAsia" w:ascii="仿宋_GB2312" w:hAnsi="仿宋_GB2312" w:eastAsia="仿宋_GB2312" w:cs="仿宋_GB2312"/>
                <w:b/>
                <w:bCs/>
                <w:color w:val="auto"/>
                <w:sz w:val="24"/>
                <w:szCs w:val="24"/>
                <w:highlight w:val="none"/>
                <w:lang w:val="en"/>
              </w:rPr>
              <w:t>化学农药商品量（吨）</w:t>
            </w:r>
          </w:p>
        </w:tc>
        <w:tc>
          <w:tcPr>
            <w:tcW w:w="2049" w:type="dxa"/>
            <w:noWrap w:val="0"/>
            <w:vAlign w:val="center"/>
          </w:tcPr>
          <w:p w14:paraId="5302F32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lang w:val="en"/>
              </w:rPr>
            </w:pPr>
            <w:r>
              <w:rPr>
                <w:rFonts w:hint="eastAsia" w:ascii="仿宋_GB2312" w:hAnsi="仿宋_GB2312" w:eastAsia="仿宋_GB2312" w:cs="仿宋_GB2312"/>
                <w:b/>
                <w:bCs/>
                <w:color w:val="auto"/>
                <w:sz w:val="24"/>
                <w:szCs w:val="24"/>
                <w:highlight w:val="none"/>
                <w:lang w:val="en"/>
              </w:rPr>
              <w:t>无公害农药商品量（吨）</w:t>
            </w:r>
          </w:p>
        </w:tc>
        <w:tc>
          <w:tcPr>
            <w:tcW w:w="4913" w:type="dxa"/>
            <w:noWrap w:val="0"/>
            <w:vAlign w:val="center"/>
          </w:tcPr>
          <w:p w14:paraId="5CF45C3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z w:val="24"/>
                <w:szCs w:val="24"/>
                <w:highlight w:val="none"/>
                <w:lang w:val="en"/>
              </w:rPr>
            </w:pPr>
            <w:r>
              <w:rPr>
                <w:rFonts w:hint="eastAsia" w:ascii="仿宋_GB2312" w:hAnsi="仿宋_GB2312" w:eastAsia="仿宋_GB2312" w:cs="仿宋_GB2312"/>
                <w:b/>
                <w:bCs/>
                <w:color w:val="auto"/>
                <w:sz w:val="24"/>
                <w:szCs w:val="24"/>
                <w:highlight w:val="none"/>
                <w:lang w:val="en"/>
              </w:rPr>
              <w:t>用量排名前5种农药的有效成分名称</w:t>
            </w:r>
          </w:p>
        </w:tc>
      </w:tr>
      <w:tr w14:paraId="460E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23" w:type="dxa"/>
            <w:noWrap w:val="0"/>
            <w:vAlign w:val="center"/>
          </w:tcPr>
          <w:p w14:paraId="59FB58C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平原生态林、五河十路</w:t>
            </w:r>
          </w:p>
        </w:tc>
        <w:tc>
          <w:tcPr>
            <w:tcW w:w="1445" w:type="dxa"/>
            <w:noWrap w:val="0"/>
            <w:vAlign w:val="center"/>
          </w:tcPr>
          <w:p w14:paraId="17E297E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1728" w:type="dxa"/>
            <w:noWrap w:val="0"/>
            <w:vAlign w:val="center"/>
          </w:tcPr>
          <w:p w14:paraId="1BA26EF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2049" w:type="dxa"/>
            <w:noWrap w:val="0"/>
            <w:vAlign w:val="center"/>
          </w:tcPr>
          <w:p w14:paraId="02B8A5D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4913" w:type="dxa"/>
            <w:noWrap w:val="0"/>
            <w:vAlign w:val="center"/>
          </w:tcPr>
          <w:p w14:paraId="086B692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r>
      <w:tr w14:paraId="66EB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23" w:type="dxa"/>
            <w:noWrap w:val="0"/>
            <w:vAlign w:val="center"/>
          </w:tcPr>
          <w:p w14:paraId="32ABF74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林下经济</w:t>
            </w:r>
          </w:p>
        </w:tc>
        <w:tc>
          <w:tcPr>
            <w:tcW w:w="1445" w:type="dxa"/>
            <w:noWrap w:val="0"/>
            <w:vAlign w:val="center"/>
          </w:tcPr>
          <w:p w14:paraId="5B7B050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1728" w:type="dxa"/>
            <w:noWrap w:val="0"/>
            <w:vAlign w:val="center"/>
          </w:tcPr>
          <w:p w14:paraId="0ED92F1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2049" w:type="dxa"/>
            <w:noWrap w:val="0"/>
            <w:vAlign w:val="center"/>
          </w:tcPr>
          <w:p w14:paraId="3324576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4913" w:type="dxa"/>
            <w:noWrap w:val="0"/>
            <w:vAlign w:val="center"/>
          </w:tcPr>
          <w:p w14:paraId="05125E7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r>
      <w:tr w14:paraId="2CDA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23" w:type="dxa"/>
            <w:noWrap w:val="0"/>
            <w:vAlign w:val="center"/>
          </w:tcPr>
          <w:p w14:paraId="28E6C5F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1445" w:type="dxa"/>
            <w:noWrap w:val="0"/>
            <w:vAlign w:val="center"/>
          </w:tcPr>
          <w:p w14:paraId="62707A0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1728" w:type="dxa"/>
            <w:noWrap w:val="0"/>
            <w:vAlign w:val="center"/>
          </w:tcPr>
          <w:p w14:paraId="666B90A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2049" w:type="dxa"/>
            <w:noWrap w:val="0"/>
            <w:vAlign w:val="center"/>
          </w:tcPr>
          <w:p w14:paraId="6865A69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4913" w:type="dxa"/>
            <w:noWrap w:val="0"/>
            <w:vAlign w:val="center"/>
          </w:tcPr>
          <w:p w14:paraId="35FE9A2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r>
      <w:tr w14:paraId="7ED6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23" w:type="dxa"/>
            <w:noWrap w:val="0"/>
            <w:vAlign w:val="center"/>
          </w:tcPr>
          <w:p w14:paraId="57F7708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1445" w:type="dxa"/>
            <w:noWrap w:val="0"/>
            <w:vAlign w:val="center"/>
          </w:tcPr>
          <w:p w14:paraId="4AB0B60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1728" w:type="dxa"/>
            <w:noWrap w:val="0"/>
            <w:vAlign w:val="center"/>
          </w:tcPr>
          <w:p w14:paraId="2234629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2049" w:type="dxa"/>
            <w:noWrap w:val="0"/>
            <w:vAlign w:val="center"/>
          </w:tcPr>
          <w:p w14:paraId="23180C7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c>
          <w:tcPr>
            <w:tcW w:w="4913" w:type="dxa"/>
            <w:noWrap w:val="0"/>
            <w:vAlign w:val="center"/>
          </w:tcPr>
          <w:p w14:paraId="76029B1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z w:val="24"/>
                <w:szCs w:val="24"/>
                <w:highlight w:val="none"/>
              </w:rPr>
            </w:pPr>
          </w:p>
        </w:tc>
      </w:tr>
    </w:tbl>
    <w:p w14:paraId="4BEE291F">
      <w:pPr>
        <w:pageBreakBefore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rPr>
        <w:sectPr>
          <w:footerReference r:id="rId8" w:type="default"/>
          <w:pgSz w:w="16838" w:h="11906" w:orient="landscape"/>
          <w:pgMar w:top="1800" w:right="1440" w:bottom="1800" w:left="1440" w:header="720" w:footer="720" w:gutter="0"/>
          <w:pgNumType w:fmt="numberInDash"/>
          <w:cols w:space="720" w:num="1"/>
          <w:docGrid w:type="lines" w:linePitch="312" w:charSpace="0"/>
        </w:sectPr>
      </w:pPr>
    </w:p>
    <w:p w14:paraId="306C100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highlight w:val="none"/>
        </w:rPr>
      </w:pPr>
      <w:bookmarkStart w:id="147" w:name="_Toc4228"/>
      <w:bookmarkStart w:id="148" w:name="_Toc3091"/>
      <w:bookmarkStart w:id="149" w:name="_Toc7972"/>
      <w:r>
        <w:rPr>
          <w:rFonts w:hint="eastAsia" w:ascii="仿宋_GB2312" w:hAnsi="仿宋_GB2312" w:eastAsia="仿宋_GB2312" w:cs="仿宋_GB2312"/>
          <w:b/>
          <w:bCs/>
          <w:color w:val="auto"/>
          <w:sz w:val="32"/>
          <w:szCs w:val="32"/>
          <w:highlight w:val="none"/>
        </w:rPr>
        <w:t>填报说明</w:t>
      </w:r>
      <w:bookmarkEnd w:id="147"/>
      <w:bookmarkEnd w:id="148"/>
      <w:bookmarkEnd w:id="149"/>
    </w:p>
    <w:p w14:paraId="02D32361">
      <w:pPr>
        <w:pageBreakBefore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1.化学农药和无公害农药的分类依据《北京市园林绿化系统农药分类指南》。</w:t>
      </w:r>
    </w:p>
    <w:p w14:paraId="05242A1F">
      <w:pPr>
        <w:pageBreakBefore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2.商品量是指农药包装上的规格标识量。</w:t>
      </w:r>
    </w:p>
    <w:p w14:paraId="412C34BA">
      <w:pPr>
        <w:pageBreakBefore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3.“用量排名前5种农药的有效成分名称”按照用量从大到小依次排列；有效成分要参照《北京市园林绿化系统农药分类指南》使用农药规范名称。</w:t>
      </w:r>
    </w:p>
    <w:p w14:paraId="5E6C4059">
      <w:pPr>
        <w:pageBreakBefore w:val="0"/>
        <w:wordWrap/>
        <w:overflowPunct/>
        <w:topLinePunct w:val="0"/>
        <w:bidi w:val="0"/>
        <w:rPr>
          <w:rFonts w:hint="eastAsia" w:ascii="仿宋_GB2312" w:hAnsi="仿宋_GB2312" w:eastAsia="仿宋_GB2312" w:cs="仿宋_GB2312"/>
          <w:color w:val="auto"/>
          <w:sz w:val="32"/>
          <w:szCs w:val="32"/>
          <w:highlight w:val="none"/>
        </w:rPr>
      </w:pPr>
    </w:p>
    <w:p w14:paraId="624187E3">
      <w:pPr>
        <w:pageBreakBefore w:val="0"/>
        <w:kinsoku/>
        <w:wordWrap/>
        <w:overflowPunct/>
        <w:topLinePunct w:val="0"/>
        <w:autoSpaceDE/>
        <w:autoSpaceDN/>
        <w:bidi w:val="0"/>
        <w:adjustRightInd/>
        <w:snapToGrid/>
        <w:spacing w:beforeAutospacing="0" w:afterAutospacing="0" w:line="560" w:lineRule="exact"/>
        <w:ind w:left="0" w:right="0" w:firstLine="640"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北京市园林绿化系统农药分类指南</w:t>
      </w:r>
    </w:p>
    <w:tbl>
      <w:tblPr>
        <w:tblStyle w:val="27"/>
        <w:tblW w:w="10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06"/>
        <w:gridCol w:w="1307"/>
        <w:gridCol w:w="1813"/>
        <w:gridCol w:w="4201"/>
        <w:gridCol w:w="1539"/>
      </w:tblGrid>
      <w:tr w14:paraId="7C63B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8" w:hRule="atLeast"/>
          <w:tblHeader/>
          <w:jc w:val="center"/>
        </w:trPr>
        <w:tc>
          <w:tcPr>
            <w:tcW w:w="1206" w:type="dxa"/>
            <w:noWrap w:val="0"/>
            <w:vAlign w:val="center"/>
          </w:tcPr>
          <w:p w14:paraId="6CC977C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pacing w:val="-8"/>
                <w:kern w:val="2"/>
                <w:sz w:val="24"/>
                <w:szCs w:val="24"/>
                <w:highlight w:val="none"/>
                <w:lang w:val="en-US" w:eastAsia="en-US" w:bidi="ar-SA"/>
              </w:rPr>
            </w:pPr>
            <w:r>
              <w:rPr>
                <w:rFonts w:hint="eastAsia" w:ascii="仿宋_GB2312" w:hAnsi="仿宋_GB2312" w:eastAsia="仿宋_GB2312" w:cs="仿宋_GB2312"/>
                <w:b/>
                <w:bCs/>
                <w:color w:val="auto"/>
                <w:spacing w:val="-8"/>
                <w:kern w:val="2"/>
                <w:sz w:val="24"/>
                <w:szCs w:val="24"/>
                <w:highlight w:val="none"/>
                <w:lang w:val="en-US" w:eastAsia="en-US" w:bidi="ar-SA"/>
              </w:rPr>
              <w:t>1 级分类</w:t>
            </w:r>
          </w:p>
        </w:tc>
        <w:tc>
          <w:tcPr>
            <w:tcW w:w="1307" w:type="dxa"/>
            <w:noWrap w:val="0"/>
            <w:vAlign w:val="center"/>
          </w:tcPr>
          <w:p w14:paraId="7FE1FBF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pacing w:val="-8"/>
                <w:kern w:val="2"/>
                <w:sz w:val="24"/>
                <w:szCs w:val="24"/>
                <w:highlight w:val="none"/>
                <w:lang w:val="en-US" w:eastAsia="en-US" w:bidi="ar-SA"/>
              </w:rPr>
            </w:pPr>
            <w:r>
              <w:rPr>
                <w:rFonts w:hint="eastAsia" w:ascii="仿宋_GB2312" w:hAnsi="仿宋_GB2312" w:eastAsia="仿宋_GB2312" w:cs="仿宋_GB2312"/>
                <w:b/>
                <w:bCs/>
                <w:color w:val="auto"/>
                <w:spacing w:val="-8"/>
                <w:kern w:val="2"/>
                <w:sz w:val="24"/>
                <w:szCs w:val="24"/>
                <w:highlight w:val="none"/>
                <w:lang w:val="en-US" w:eastAsia="en-US" w:bidi="ar-SA"/>
              </w:rPr>
              <w:t>2 级分类</w:t>
            </w:r>
          </w:p>
        </w:tc>
        <w:tc>
          <w:tcPr>
            <w:tcW w:w="1813" w:type="dxa"/>
            <w:noWrap w:val="0"/>
            <w:vAlign w:val="center"/>
          </w:tcPr>
          <w:p w14:paraId="5F654E3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pacing w:val="-8"/>
                <w:kern w:val="2"/>
                <w:sz w:val="24"/>
                <w:szCs w:val="24"/>
                <w:highlight w:val="none"/>
                <w:lang w:val="en-US" w:eastAsia="en-US" w:bidi="ar-SA"/>
              </w:rPr>
            </w:pPr>
            <w:r>
              <w:rPr>
                <w:rFonts w:hint="eastAsia" w:ascii="仿宋_GB2312" w:hAnsi="仿宋_GB2312" w:eastAsia="仿宋_GB2312" w:cs="仿宋_GB2312"/>
                <w:b/>
                <w:bCs/>
                <w:color w:val="auto"/>
                <w:spacing w:val="-8"/>
                <w:kern w:val="2"/>
                <w:sz w:val="24"/>
                <w:szCs w:val="24"/>
                <w:highlight w:val="none"/>
                <w:lang w:val="en-US" w:eastAsia="en-US" w:bidi="ar-SA"/>
              </w:rPr>
              <w:t>3 级分类</w:t>
            </w:r>
          </w:p>
        </w:tc>
        <w:tc>
          <w:tcPr>
            <w:tcW w:w="4201" w:type="dxa"/>
            <w:noWrap w:val="0"/>
            <w:vAlign w:val="center"/>
          </w:tcPr>
          <w:p w14:paraId="6513A86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pacing w:val="-8"/>
                <w:kern w:val="2"/>
                <w:sz w:val="24"/>
                <w:szCs w:val="24"/>
                <w:highlight w:val="none"/>
                <w:lang w:val="en-US" w:eastAsia="en-US" w:bidi="ar-SA"/>
              </w:rPr>
            </w:pPr>
            <w:r>
              <w:rPr>
                <w:rFonts w:hint="eastAsia" w:ascii="仿宋_GB2312" w:hAnsi="仿宋_GB2312" w:eastAsia="仿宋_GB2312" w:cs="仿宋_GB2312"/>
                <w:b/>
                <w:bCs/>
                <w:color w:val="auto"/>
                <w:spacing w:val="-8"/>
                <w:kern w:val="2"/>
                <w:sz w:val="24"/>
                <w:szCs w:val="24"/>
                <w:highlight w:val="none"/>
                <w:lang w:val="en-US" w:eastAsia="en-US" w:bidi="ar-SA"/>
              </w:rPr>
              <w:t>4 级分类（有效成分名称）</w:t>
            </w:r>
          </w:p>
        </w:tc>
        <w:tc>
          <w:tcPr>
            <w:tcW w:w="1539" w:type="dxa"/>
            <w:noWrap w:val="0"/>
            <w:vAlign w:val="center"/>
          </w:tcPr>
          <w:p w14:paraId="2B5DBCE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b/>
                <w:bCs/>
                <w:color w:val="auto"/>
                <w:spacing w:val="-8"/>
                <w:kern w:val="2"/>
                <w:sz w:val="24"/>
                <w:szCs w:val="24"/>
                <w:highlight w:val="none"/>
                <w:lang w:val="en-US" w:eastAsia="en-US" w:bidi="ar-SA"/>
              </w:rPr>
            </w:pPr>
            <w:r>
              <w:rPr>
                <w:rFonts w:hint="eastAsia" w:ascii="仿宋_GB2312" w:hAnsi="仿宋_GB2312" w:eastAsia="仿宋_GB2312" w:cs="仿宋_GB2312"/>
                <w:b/>
                <w:bCs/>
                <w:color w:val="auto"/>
                <w:spacing w:val="-8"/>
                <w:kern w:val="2"/>
                <w:sz w:val="24"/>
                <w:szCs w:val="24"/>
                <w:highlight w:val="none"/>
                <w:lang w:val="en-US" w:eastAsia="en-US" w:bidi="ar-SA"/>
              </w:rPr>
              <w:t>类   型</w:t>
            </w:r>
          </w:p>
        </w:tc>
      </w:tr>
      <w:tr w14:paraId="2F3A0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jc w:val="center"/>
        </w:trPr>
        <w:tc>
          <w:tcPr>
            <w:tcW w:w="1206" w:type="dxa"/>
            <w:noWrap w:val="0"/>
            <w:vAlign w:val="center"/>
          </w:tcPr>
          <w:p w14:paraId="7EE6D21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杀虫杀螨剂</w:t>
            </w:r>
          </w:p>
        </w:tc>
        <w:tc>
          <w:tcPr>
            <w:tcW w:w="1307" w:type="dxa"/>
            <w:noWrap w:val="0"/>
            <w:vAlign w:val="center"/>
          </w:tcPr>
          <w:p w14:paraId="18424AD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无机杀虫剂</w:t>
            </w:r>
          </w:p>
        </w:tc>
        <w:tc>
          <w:tcPr>
            <w:tcW w:w="1813" w:type="dxa"/>
            <w:noWrap w:val="0"/>
            <w:vAlign w:val="center"/>
          </w:tcPr>
          <w:p w14:paraId="1AD65E5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p w14:paraId="0393323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w:t>
            </w:r>
          </w:p>
        </w:tc>
        <w:tc>
          <w:tcPr>
            <w:tcW w:w="4201" w:type="dxa"/>
            <w:noWrap w:val="0"/>
            <w:vAlign w:val="center"/>
          </w:tcPr>
          <w:p w14:paraId="02EDE2B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硫酸铜、石硫合剂、矿物油等</w:t>
            </w:r>
          </w:p>
        </w:tc>
        <w:tc>
          <w:tcPr>
            <w:tcW w:w="1539" w:type="dxa"/>
            <w:noWrap w:val="0"/>
            <w:vAlign w:val="center"/>
          </w:tcPr>
          <w:p w14:paraId="6F7973C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14:paraId="093CF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jc w:val="center"/>
        </w:trPr>
        <w:tc>
          <w:tcPr>
            <w:tcW w:w="1206" w:type="dxa"/>
            <w:noWrap w:val="0"/>
            <w:vAlign w:val="center"/>
          </w:tcPr>
          <w:p w14:paraId="43D7C90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29A97A5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有机杀虫剂</w:t>
            </w:r>
          </w:p>
        </w:tc>
        <w:tc>
          <w:tcPr>
            <w:tcW w:w="1813" w:type="dxa"/>
            <w:noWrap w:val="0"/>
            <w:vAlign w:val="center"/>
          </w:tcPr>
          <w:p w14:paraId="73352AA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新烟碱类</w:t>
            </w:r>
          </w:p>
        </w:tc>
        <w:tc>
          <w:tcPr>
            <w:tcW w:w="4201" w:type="dxa"/>
            <w:noWrap w:val="0"/>
            <w:vAlign w:val="center"/>
          </w:tcPr>
          <w:p w14:paraId="583D956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噻虫胺、吡虫啉、噻虫啉、啶虫脒、噻虫嗪、烯啶虫 胺、呋虫胺等</w:t>
            </w:r>
          </w:p>
        </w:tc>
        <w:tc>
          <w:tcPr>
            <w:tcW w:w="1539" w:type="dxa"/>
            <w:noWrap w:val="0"/>
            <w:vAlign w:val="center"/>
          </w:tcPr>
          <w:p w14:paraId="2E77677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14:paraId="28C60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14:paraId="0A2A7D6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0B37C31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14:paraId="78D27C2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氨基甲酸酯类</w:t>
            </w:r>
          </w:p>
        </w:tc>
        <w:tc>
          <w:tcPr>
            <w:tcW w:w="4201" w:type="dxa"/>
            <w:noWrap w:val="0"/>
            <w:vAlign w:val="center"/>
          </w:tcPr>
          <w:p w14:paraId="444A2B4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茚虫威等</w:t>
            </w:r>
          </w:p>
        </w:tc>
        <w:tc>
          <w:tcPr>
            <w:tcW w:w="1539" w:type="dxa"/>
            <w:noWrap w:val="0"/>
            <w:vAlign w:val="center"/>
          </w:tcPr>
          <w:p w14:paraId="23E7B04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14:paraId="37F03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jc w:val="center"/>
        </w:trPr>
        <w:tc>
          <w:tcPr>
            <w:tcW w:w="1206" w:type="dxa"/>
            <w:noWrap w:val="0"/>
            <w:vAlign w:val="center"/>
          </w:tcPr>
          <w:p w14:paraId="207B888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2F832E5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14:paraId="2DCB375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拟除虫菊酯类</w:t>
            </w:r>
          </w:p>
        </w:tc>
        <w:tc>
          <w:tcPr>
            <w:tcW w:w="4201" w:type="dxa"/>
            <w:noWrap w:val="0"/>
            <w:vAlign w:val="center"/>
          </w:tcPr>
          <w:p w14:paraId="242ED44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氟氯氰菊酯、高效氟氯氰菊酯、氯氰菊酯、溴氰菊酯、 甲氰菊酯、联苯菊酯等</w:t>
            </w:r>
          </w:p>
        </w:tc>
        <w:tc>
          <w:tcPr>
            <w:tcW w:w="1539" w:type="dxa"/>
            <w:noWrap w:val="0"/>
            <w:vAlign w:val="center"/>
          </w:tcPr>
          <w:p w14:paraId="7D50164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14:paraId="74DE5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14:paraId="634CD93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535817C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14:paraId="1635B5B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沙蚕毒素类</w:t>
            </w:r>
          </w:p>
        </w:tc>
        <w:tc>
          <w:tcPr>
            <w:tcW w:w="4201" w:type="dxa"/>
            <w:noWrap w:val="0"/>
            <w:vAlign w:val="center"/>
          </w:tcPr>
          <w:p w14:paraId="5C820E9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杀虫单、杀螟丹等</w:t>
            </w:r>
          </w:p>
        </w:tc>
        <w:tc>
          <w:tcPr>
            <w:tcW w:w="1539" w:type="dxa"/>
            <w:noWrap w:val="0"/>
            <w:vAlign w:val="center"/>
          </w:tcPr>
          <w:p w14:paraId="421AEB9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14:paraId="722E3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14:paraId="5B6208E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3E769DE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14:paraId="073483C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有机磷类</w:t>
            </w:r>
          </w:p>
        </w:tc>
        <w:tc>
          <w:tcPr>
            <w:tcW w:w="4201" w:type="dxa"/>
            <w:noWrap w:val="0"/>
            <w:vAlign w:val="center"/>
          </w:tcPr>
          <w:p w14:paraId="58931BA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乙酰甲胺磷、敌敌畏、马拉硫磷、辛硫磷等</w:t>
            </w:r>
          </w:p>
        </w:tc>
        <w:tc>
          <w:tcPr>
            <w:tcW w:w="1539" w:type="dxa"/>
            <w:noWrap w:val="0"/>
            <w:vAlign w:val="center"/>
          </w:tcPr>
          <w:p w14:paraId="4AF3F7A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14:paraId="6A107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jc w:val="center"/>
        </w:trPr>
        <w:tc>
          <w:tcPr>
            <w:tcW w:w="1206" w:type="dxa"/>
            <w:noWrap w:val="0"/>
            <w:vAlign w:val="center"/>
          </w:tcPr>
          <w:p w14:paraId="18016CF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029723A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14:paraId="25E7FE7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其他类</w:t>
            </w:r>
          </w:p>
        </w:tc>
        <w:tc>
          <w:tcPr>
            <w:tcW w:w="4201" w:type="dxa"/>
            <w:noWrap w:val="0"/>
            <w:vAlign w:val="center"/>
          </w:tcPr>
          <w:p w14:paraId="4850C32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氟啶虫胺腈、吡蚜酮、三唑锡、</w:t>
            </w:r>
            <w:r>
              <w:rPr>
                <w:rFonts w:hint="eastAsia" w:ascii="仿宋_GB2312" w:hAnsi="仿宋_GB2312" w:eastAsia="仿宋_GB2312" w:cs="仿宋_GB2312"/>
                <w:color w:val="auto"/>
                <w:spacing w:val="-3"/>
                <w:kern w:val="2"/>
                <w:sz w:val="24"/>
                <w:szCs w:val="24"/>
                <w:highlight w:val="none"/>
                <w:lang w:val="en-US" w:eastAsia="zh-CN" w:bidi="ar-SA"/>
              </w:rPr>
              <w:t>虫螨腈</w:t>
            </w:r>
            <w:r>
              <w:rPr>
                <w:rFonts w:hint="eastAsia" w:ascii="仿宋_GB2312" w:hAnsi="仿宋_GB2312" w:eastAsia="仿宋_GB2312" w:cs="仿宋_GB2312"/>
                <w:color w:val="auto"/>
                <w:spacing w:val="-3"/>
                <w:kern w:val="2"/>
                <w:sz w:val="24"/>
                <w:szCs w:val="24"/>
                <w:highlight w:val="none"/>
                <w:lang w:val="en-US" w:eastAsia="en-US" w:bidi="ar-SA"/>
              </w:rPr>
              <w:t>、 乙螨唑、螺 虫乙酯、氯虫苯甲酰胺、哒螨灵等</w:t>
            </w:r>
          </w:p>
        </w:tc>
        <w:tc>
          <w:tcPr>
            <w:tcW w:w="1539" w:type="dxa"/>
            <w:noWrap w:val="0"/>
            <w:vAlign w:val="center"/>
          </w:tcPr>
          <w:p w14:paraId="143E05D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14:paraId="45AA0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2" w:hRule="atLeast"/>
          <w:jc w:val="center"/>
        </w:trPr>
        <w:tc>
          <w:tcPr>
            <w:tcW w:w="1206" w:type="dxa"/>
            <w:noWrap w:val="0"/>
            <w:vAlign w:val="center"/>
          </w:tcPr>
          <w:p w14:paraId="33B5F39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0C772FA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生物源杀虫剂</w:t>
            </w:r>
          </w:p>
        </w:tc>
        <w:tc>
          <w:tcPr>
            <w:tcW w:w="1813" w:type="dxa"/>
            <w:noWrap w:val="0"/>
            <w:vAlign w:val="center"/>
          </w:tcPr>
          <w:p w14:paraId="6799D33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抗生素类制剂</w:t>
            </w:r>
          </w:p>
        </w:tc>
        <w:tc>
          <w:tcPr>
            <w:tcW w:w="4201" w:type="dxa"/>
            <w:noWrap w:val="0"/>
            <w:vAlign w:val="center"/>
          </w:tcPr>
          <w:p w14:paraId="1D36E2E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阿维菌素、 甲氨基阿维菌素苯甲酸盐（简称甲维盐）、 伊维菌素、多杀菌素、 乙基多杀菌素等</w:t>
            </w:r>
          </w:p>
        </w:tc>
        <w:tc>
          <w:tcPr>
            <w:tcW w:w="1539" w:type="dxa"/>
            <w:noWrap w:val="0"/>
            <w:vAlign w:val="center"/>
          </w:tcPr>
          <w:p w14:paraId="69E37B3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14:paraId="1E30E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jc w:val="center"/>
        </w:trPr>
        <w:tc>
          <w:tcPr>
            <w:tcW w:w="1206" w:type="dxa"/>
            <w:noWrap w:val="0"/>
            <w:vAlign w:val="center"/>
          </w:tcPr>
          <w:p w14:paraId="3F69D9E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735E018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14:paraId="53DE269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昆虫生长调节剂类</w:t>
            </w:r>
          </w:p>
        </w:tc>
        <w:tc>
          <w:tcPr>
            <w:tcW w:w="4201" w:type="dxa"/>
            <w:noWrap w:val="0"/>
            <w:vAlign w:val="center"/>
          </w:tcPr>
          <w:p w14:paraId="1706D56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苯甲酰脲类（杀铃脲、灭幼脲、除虫脲、虱螨脲等）、 虫酰肼、噻嗪酮等</w:t>
            </w:r>
          </w:p>
        </w:tc>
        <w:tc>
          <w:tcPr>
            <w:tcW w:w="1539" w:type="dxa"/>
            <w:noWrap w:val="0"/>
            <w:vAlign w:val="center"/>
          </w:tcPr>
          <w:p w14:paraId="7A6F8B7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14:paraId="0FFB2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jc w:val="center"/>
        </w:trPr>
        <w:tc>
          <w:tcPr>
            <w:tcW w:w="1206" w:type="dxa"/>
            <w:noWrap w:val="0"/>
            <w:vAlign w:val="center"/>
          </w:tcPr>
          <w:p w14:paraId="5578A58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19D0E1B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14:paraId="320488F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植物提取类</w:t>
            </w:r>
          </w:p>
        </w:tc>
        <w:tc>
          <w:tcPr>
            <w:tcW w:w="4201" w:type="dxa"/>
            <w:noWrap w:val="0"/>
            <w:vAlign w:val="center"/>
          </w:tcPr>
          <w:p w14:paraId="40869D2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苦参碱、烟碱、印楝素、桉油精、蛇床子素、除虫菊 素、柠檬烯、茶皂素等</w:t>
            </w:r>
          </w:p>
        </w:tc>
        <w:tc>
          <w:tcPr>
            <w:tcW w:w="1539" w:type="dxa"/>
            <w:noWrap w:val="0"/>
            <w:vAlign w:val="center"/>
          </w:tcPr>
          <w:p w14:paraId="6B1FE4F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14:paraId="6879F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14:paraId="153886A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1A44554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14:paraId="4DE2F66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其他类</w:t>
            </w:r>
          </w:p>
        </w:tc>
        <w:tc>
          <w:tcPr>
            <w:tcW w:w="4201" w:type="dxa"/>
            <w:noWrap w:val="0"/>
            <w:vAlign w:val="center"/>
          </w:tcPr>
          <w:p w14:paraId="21C14B4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539" w:type="dxa"/>
            <w:noWrap w:val="0"/>
            <w:vAlign w:val="center"/>
          </w:tcPr>
          <w:p w14:paraId="424D018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14:paraId="77B3E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14:paraId="50EA6E1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7A099A0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微生物制剂</w:t>
            </w:r>
          </w:p>
        </w:tc>
        <w:tc>
          <w:tcPr>
            <w:tcW w:w="1813" w:type="dxa"/>
            <w:noWrap w:val="0"/>
            <w:vAlign w:val="center"/>
          </w:tcPr>
          <w:p w14:paraId="23686CC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真菌类</w:t>
            </w:r>
          </w:p>
        </w:tc>
        <w:tc>
          <w:tcPr>
            <w:tcW w:w="4201" w:type="dxa"/>
            <w:noWrap w:val="0"/>
            <w:vAlign w:val="center"/>
          </w:tcPr>
          <w:p w14:paraId="5BC0D63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白僵菌、绿僵菌等</w:t>
            </w:r>
          </w:p>
        </w:tc>
        <w:tc>
          <w:tcPr>
            <w:tcW w:w="1539" w:type="dxa"/>
            <w:noWrap w:val="0"/>
            <w:vAlign w:val="center"/>
          </w:tcPr>
          <w:p w14:paraId="0C38BAF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14:paraId="77471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14:paraId="4CF2738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74591F9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14:paraId="50C1824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病毒类</w:t>
            </w:r>
          </w:p>
        </w:tc>
        <w:tc>
          <w:tcPr>
            <w:tcW w:w="4201" w:type="dxa"/>
            <w:noWrap w:val="0"/>
            <w:vAlign w:val="center"/>
          </w:tcPr>
          <w:p w14:paraId="705405F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多角体病毒、颗粒体病毒等</w:t>
            </w:r>
          </w:p>
        </w:tc>
        <w:tc>
          <w:tcPr>
            <w:tcW w:w="1539" w:type="dxa"/>
            <w:noWrap w:val="0"/>
            <w:vAlign w:val="center"/>
          </w:tcPr>
          <w:p w14:paraId="16E119B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14:paraId="3A2B4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14:paraId="5E8EDC1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565F4C9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14:paraId="7A2DD21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细菌类</w:t>
            </w:r>
          </w:p>
        </w:tc>
        <w:tc>
          <w:tcPr>
            <w:tcW w:w="4201" w:type="dxa"/>
            <w:noWrap w:val="0"/>
            <w:vAlign w:val="center"/>
          </w:tcPr>
          <w:p w14:paraId="4BB2779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苏云金杆菌等</w:t>
            </w:r>
          </w:p>
        </w:tc>
        <w:tc>
          <w:tcPr>
            <w:tcW w:w="1539" w:type="dxa"/>
            <w:noWrap w:val="0"/>
            <w:vAlign w:val="center"/>
          </w:tcPr>
          <w:p w14:paraId="4590754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14:paraId="4220F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14:paraId="24B8119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0F5E721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14:paraId="0B89BC4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其他类</w:t>
            </w:r>
          </w:p>
        </w:tc>
        <w:tc>
          <w:tcPr>
            <w:tcW w:w="4201" w:type="dxa"/>
            <w:noWrap w:val="0"/>
            <w:vAlign w:val="center"/>
          </w:tcPr>
          <w:p w14:paraId="157ED33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539" w:type="dxa"/>
            <w:noWrap w:val="0"/>
            <w:vAlign w:val="center"/>
          </w:tcPr>
          <w:p w14:paraId="1D45A38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14:paraId="7D2B7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14:paraId="16B32E6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杀菌剂</w:t>
            </w:r>
          </w:p>
        </w:tc>
        <w:tc>
          <w:tcPr>
            <w:tcW w:w="1307" w:type="dxa"/>
            <w:noWrap w:val="0"/>
            <w:vAlign w:val="center"/>
          </w:tcPr>
          <w:p w14:paraId="6378441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无机杀菌剂</w:t>
            </w:r>
          </w:p>
        </w:tc>
        <w:tc>
          <w:tcPr>
            <w:tcW w:w="1813" w:type="dxa"/>
            <w:noWrap w:val="0"/>
            <w:vAlign w:val="center"/>
          </w:tcPr>
          <w:p w14:paraId="7923F36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w:t>
            </w:r>
          </w:p>
        </w:tc>
        <w:tc>
          <w:tcPr>
            <w:tcW w:w="4201" w:type="dxa"/>
            <w:noWrap w:val="0"/>
            <w:vAlign w:val="center"/>
          </w:tcPr>
          <w:p w14:paraId="0D242D0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波尔多液、氢氧化铜、硫酸铜、石硫合剂等</w:t>
            </w:r>
          </w:p>
        </w:tc>
        <w:tc>
          <w:tcPr>
            <w:tcW w:w="1539" w:type="dxa"/>
            <w:noWrap w:val="0"/>
            <w:vAlign w:val="center"/>
          </w:tcPr>
          <w:p w14:paraId="0D20A00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14:paraId="6CF94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14:paraId="74CF18A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011CB07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有机杀菌剂</w:t>
            </w:r>
          </w:p>
        </w:tc>
        <w:tc>
          <w:tcPr>
            <w:tcW w:w="1813" w:type="dxa"/>
            <w:noWrap w:val="0"/>
            <w:vAlign w:val="center"/>
          </w:tcPr>
          <w:p w14:paraId="707D1C6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有机硫类</w:t>
            </w:r>
          </w:p>
        </w:tc>
        <w:tc>
          <w:tcPr>
            <w:tcW w:w="4201" w:type="dxa"/>
            <w:noWrap w:val="0"/>
            <w:vAlign w:val="center"/>
          </w:tcPr>
          <w:p w14:paraId="7A17754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福美双、代森锰锌、 乙蒜素等</w:t>
            </w:r>
          </w:p>
        </w:tc>
        <w:tc>
          <w:tcPr>
            <w:tcW w:w="1539" w:type="dxa"/>
            <w:noWrap w:val="0"/>
            <w:vAlign w:val="center"/>
          </w:tcPr>
          <w:p w14:paraId="517E42F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14:paraId="3E74D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jc w:val="center"/>
        </w:trPr>
        <w:tc>
          <w:tcPr>
            <w:tcW w:w="1206" w:type="dxa"/>
            <w:noWrap w:val="0"/>
            <w:vAlign w:val="center"/>
          </w:tcPr>
          <w:p w14:paraId="4D3B10C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7A1B56E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14:paraId="228CC2A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三唑类</w:t>
            </w:r>
          </w:p>
        </w:tc>
        <w:tc>
          <w:tcPr>
            <w:tcW w:w="4201" w:type="dxa"/>
            <w:noWrap w:val="0"/>
            <w:vAlign w:val="center"/>
          </w:tcPr>
          <w:p w14:paraId="16FAFDD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三唑酮、戊唑醇、 己唑醇、苯醚甲环唑、腈菌唑、丙 环唑等</w:t>
            </w:r>
          </w:p>
        </w:tc>
        <w:tc>
          <w:tcPr>
            <w:tcW w:w="1539" w:type="dxa"/>
            <w:noWrap w:val="0"/>
            <w:vAlign w:val="center"/>
          </w:tcPr>
          <w:p w14:paraId="15900C0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14:paraId="7DF3A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14:paraId="7B308F9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339534D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14:paraId="073B97D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苯并咪唑类</w:t>
            </w:r>
          </w:p>
        </w:tc>
        <w:tc>
          <w:tcPr>
            <w:tcW w:w="4201" w:type="dxa"/>
            <w:noWrap w:val="0"/>
            <w:vAlign w:val="center"/>
          </w:tcPr>
          <w:p w14:paraId="4AC29A2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多菌灵、 甲基硫菌灵等</w:t>
            </w:r>
          </w:p>
        </w:tc>
        <w:tc>
          <w:tcPr>
            <w:tcW w:w="1539" w:type="dxa"/>
            <w:noWrap w:val="0"/>
            <w:vAlign w:val="center"/>
          </w:tcPr>
          <w:p w14:paraId="59ADFF6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14:paraId="22876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14:paraId="43596D8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3FEA1DB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14:paraId="57B1D49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咪唑类</w:t>
            </w:r>
          </w:p>
        </w:tc>
        <w:tc>
          <w:tcPr>
            <w:tcW w:w="4201" w:type="dxa"/>
            <w:noWrap w:val="0"/>
            <w:vAlign w:val="center"/>
          </w:tcPr>
          <w:p w14:paraId="4399998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抑霉唑等</w:t>
            </w:r>
          </w:p>
        </w:tc>
        <w:tc>
          <w:tcPr>
            <w:tcW w:w="1539" w:type="dxa"/>
            <w:noWrap w:val="0"/>
            <w:vAlign w:val="center"/>
          </w:tcPr>
          <w:p w14:paraId="477FEE3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14:paraId="60F31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14:paraId="2273767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080D995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14:paraId="3ADBDD0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酰胺类</w:t>
            </w:r>
          </w:p>
        </w:tc>
        <w:tc>
          <w:tcPr>
            <w:tcW w:w="4201" w:type="dxa"/>
            <w:noWrap w:val="0"/>
            <w:vAlign w:val="center"/>
          </w:tcPr>
          <w:p w14:paraId="303BDAC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精甲霜灵、 甲霜灵等</w:t>
            </w:r>
          </w:p>
        </w:tc>
        <w:tc>
          <w:tcPr>
            <w:tcW w:w="1539" w:type="dxa"/>
            <w:noWrap w:val="0"/>
            <w:vAlign w:val="center"/>
          </w:tcPr>
          <w:p w14:paraId="0C368F7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14:paraId="6FD03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14:paraId="2C6AF95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73794F8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14:paraId="00123EC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甲氧基丙烯酸酯类</w:t>
            </w:r>
          </w:p>
        </w:tc>
        <w:tc>
          <w:tcPr>
            <w:tcW w:w="4201" w:type="dxa"/>
            <w:noWrap w:val="0"/>
            <w:vAlign w:val="center"/>
          </w:tcPr>
          <w:p w14:paraId="5B1B816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吡唑醚菌酯、嘧菌酯、醚菌酯等</w:t>
            </w:r>
          </w:p>
        </w:tc>
        <w:tc>
          <w:tcPr>
            <w:tcW w:w="1539" w:type="dxa"/>
            <w:noWrap w:val="0"/>
            <w:vAlign w:val="center"/>
          </w:tcPr>
          <w:p w14:paraId="7FC8A96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14:paraId="03EF5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14:paraId="5B93561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7CB1E9A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14:paraId="722A3E5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氨基甲酸聚酯类</w:t>
            </w:r>
          </w:p>
        </w:tc>
        <w:tc>
          <w:tcPr>
            <w:tcW w:w="4201" w:type="dxa"/>
            <w:noWrap w:val="0"/>
            <w:vAlign w:val="center"/>
          </w:tcPr>
          <w:p w14:paraId="085AE96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乙霉威、霜霉威盐酸盐等</w:t>
            </w:r>
          </w:p>
        </w:tc>
        <w:tc>
          <w:tcPr>
            <w:tcW w:w="1539" w:type="dxa"/>
            <w:noWrap w:val="0"/>
            <w:vAlign w:val="center"/>
          </w:tcPr>
          <w:p w14:paraId="326C465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14:paraId="13056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14:paraId="70C9167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13071EE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14:paraId="3B0141A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二甲酰亚胺类</w:t>
            </w:r>
          </w:p>
        </w:tc>
        <w:tc>
          <w:tcPr>
            <w:tcW w:w="4201" w:type="dxa"/>
            <w:noWrap w:val="0"/>
            <w:vAlign w:val="center"/>
          </w:tcPr>
          <w:p w14:paraId="55D7053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菌核净、异菌脲、克菌丹等</w:t>
            </w:r>
          </w:p>
        </w:tc>
        <w:tc>
          <w:tcPr>
            <w:tcW w:w="1539" w:type="dxa"/>
            <w:noWrap w:val="0"/>
            <w:vAlign w:val="center"/>
          </w:tcPr>
          <w:p w14:paraId="76C2F22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14:paraId="31172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jc w:val="center"/>
        </w:trPr>
        <w:tc>
          <w:tcPr>
            <w:tcW w:w="1206" w:type="dxa"/>
            <w:noWrap w:val="0"/>
            <w:vAlign w:val="center"/>
          </w:tcPr>
          <w:p w14:paraId="2C0979D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0C025EA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14:paraId="41A1A89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取代苯类</w:t>
            </w:r>
          </w:p>
        </w:tc>
        <w:tc>
          <w:tcPr>
            <w:tcW w:w="4201" w:type="dxa"/>
            <w:noWrap w:val="0"/>
            <w:vAlign w:val="center"/>
          </w:tcPr>
          <w:p w14:paraId="1AFC70D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百菌清、 甲基托布津等</w:t>
            </w:r>
          </w:p>
        </w:tc>
        <w:tc>
          <w:tcPr>
            <w:tcW w:w="1539" w:type="dxa"/>
            <w:noWrap w:val="0"/>
            <w:vAlign w:val="center"/>
          </w:tcPr>
          <w:p w14:paraId="7721E60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14:paraId="09EEF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14:paraId="5DD5A19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35F82EB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14:paraId="7B57D96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吗啉类</w:t>
            </w:r>
          </w:p>
        </w:tc>
        <w:tc>
          <w:tcPr>
            <w:tcW w:w="4201" w:type="dxa"/>
            <w:noWrap w:val="0"/>
            <w:vAlign w:val="center"/>
          </w:tcPr>
          <w:p w14:paraId="37DB21A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烯酰吗啉等</w:t>
            </w:r>
          </w:p>
        </w:tc>
        <w:tc>
          <w:tcPr>
            <w:tcW w:w="1539" w:type="dxa"/>
            <w:noWrap w:val="0"/>
            <w:vAlign w:val="center"/>
          </w:tcPr>
          <w:p w14:paraId="76B37E5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14:paraId="5F96E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jc w:val="center"/>
        </w:trPr>
        <w:tc>
          <w:tcPr>
            <w:tcW w:w="1206" w:type="dxa"/>
            <w:noWrap w:val="0"/>
            <w:vAlign w:val="center"/>
          </w:tcPr>
          <w:p w14:paraId="0D6C605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660D046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14:paraId="1BF5377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其他类</w:t>
            </w:r>
          </w:p>
        </w:tc>
        <w:tc>
          <w:tcPr>
            <w:tcW w:w="4201" w:type="dxa"/>
            <w:noWrap w:val="0"/>
            <w:vAlign w:val="center"/>
          </w:tcPr>
          <w:p w14:paraId="61C4F76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辛菌胺醋酸盐、氟噻唑吡乙酮等</w:t>
            </w:r>
          </w:p>
        </w:tc>
        <w:tc>
          <w:tcPr>
            <w:tcW w:w="1539" w:type="dxa"/>
            <w:noWrap w:val="0"/>
            <w:vAlign w:val="center"/>
          </w:tcPr>
          <w:p w14:paraId="4F2772F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14:paraId="1ED34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jc w:val="center"/>
        </w:trPr>
        <w:tc>
          <w:tcPr>
            <w:tcW w:w="1206" w:type="dxa"/>
            <w:noWrap w:val="0"/>
            <w:vAlign w:val="center"/>
          </w:tcPr>
          <w:p w14:paraId="1787141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14AFB94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生物化学 杀菌剂</w:t>
            </w:r>
          </w:p>
        </w:tc>
        <w:tc>
          <w:tcPr>
            <w:tcW w:w="1813" w:type="dxa"/>
            <w:noWrap w:val="0"/>
            <w:vAlign w:val="center"/>
          </w:tcPr>
          <w:p w14:paraId="4DEAC76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植物提取类</w:t>
            </w:r>
          </w:p>
        </w:tc>
        <w:tc>
          <w:tcPr>
            <w:tcW w:w="4201" w:type="dxa"/>
            <w:noWrap w:val="0"/>
            <w:vAlign w:val="center"/>
          </w:tcPr>
          <w:p w14:paraId="706566A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儿茶素、苦参碱、丁子香酚、大黄素甲醚、柠檬烯、 小檗碱、蛇床子素等</w:t>
            </w:r>
          </w:p>
        </w:tc>
        <w:tc>
          <w:tcPr>
            <w:tcW w:w="1539" w:type="dxa"/>
            <w:noWrap w:val="0"/>
            <w:vAlign w:val="center"/>
          </w:tcPr>
          <w:p w14:paraId="62BEF9B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14:paraId="379FB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jc w:val="center"/>
        </w:trPr>
        <w:tc>
          <w:tcPr>
            <w:tcW w:w="1206" w:type="dxa"/>
            <w:noWrap w:val="0"/>
            <w:vAlign w:val="center"/>
          </w:tcPr>
          <w:p w14:paraId="7E135A0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71E2A46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14:paraId="223CBF0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抗生素类</w:t>
            </w:r>
          </w:p>
        </w:tc>
        <w:tc>
          <w:tcPr>
            <w:tcW w:w="4201" w:type="dxa"/>
            <w:noWrap w:val="0"/>
            <w:vAlign w:val="center"/>
          </w:tcPr>
          <w:p w14:paraId="5213734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四霉素、井冈霉素、多抗霉素、武夷霉素、春雷霉素、 宁南霉素、 中生菌素、嘧啶核苷等</w:t>
            </w:r>
          </w:p>
        </w:tc>
        <w:tc>
          <w:tcPr>
            <w:tcW w:w="1539" w:type="dxa"/>
            <w:noWrap w:val="0"/>
            <w:vAlign w:val="center"/>
          </w:tcPr>
          <w:p w14:paraId="16892E1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14:paraId="7CFC5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14:paraId="10017FF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527FB7E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14:paraId="4447D72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其他类</w:t>
            </w:r>
          </w:p>
        </w:tc>
        <w:tc>
          <w:tcPr>
            <w:tcW w:w="4201" w:type="dxa"/>
            <w:noWrap w:val="0"/>
            <w:vAlign w:val="center"/>
          </w:tcPr>
          <w:p w14:paraId="035FD22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539" w:type="dxa"/>
            <w:noWrap w:val="0"/>
            <w:vAlign w:val="center"/>
          </w:tcPr>
          <w:p w14:paraId="7D45BF1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14:paraId="70F62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14:paraId="5BEAEE8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3C97355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微生物杀菌剂</w:t>
            </w:r>
          </w:p>
        </w:tc>
        <w:tc>
          <w:tcPr>
            <w:tcW w:w="1813" w:type="dxa"/>
            <w:noWrap w:val="0"/>
            <w:vAlign w:val="center"/>
          </w:tcPr>
          <w:p w14:paraId="47FDE58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真菌类</w:t>
            </w:r>
          </w:p>
        </w:tc>
        <w:tc>
          <w:tcPr>
            <w:tcW w:w="4201" w:type="dxa"/>
            <w:noWrap w:val="0"/>
            <w:vAlign w:val="center"/>
          </w:tcPr>
          <w:p w14:paraId="0DF1FDB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木霉菌、厚孢轮枝菌等</w:t>
            </w:r>
          </w:p>
        </w:tc>
        <w:tc>
          <w:tcPr>
            <w:tcW w:w="1539" w:type="dxa"/>
            <w:noWrap w:val="0"/>
            <w:vAlign w:val="center"/>
          </w:tcPr>
          <w:p w14:paraId="3B4EEC0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14:paraId="44F3E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14:paraId="6C5909C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4C9DD3D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14:paraId="6AA41F0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病毒类</w:t>
            </w:r>
          </w:p>
        </w:tc>
        <w:tc>
          <w:tcPr>
            <w:tcW w:w="4201" w:type="dxa"/>
            <w:noWrap w:val="0"/>
            <w:vAlign w:val="center"/>
          </w:tcPr>
          <w:p w14:paraId="47A6FEF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539" w:type="dxa"/>
            <w:noWrap w:val="0"/>
            <w:vAlign w:val="center"/>
          </w:tcPr>
          <w:p w14:paraId="1177E15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14:paraId="0D6ED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14:paraId="3C09A57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48C1778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14:paraId="2A971FD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细菌类</w:t>
            </w:r>
          </w:p>
        </w:tc>
        <w:tc>
          <w:tcPr>
            <w:tcW w:w="4201" w:type="dxa"/>
            <w:noWrap w:val="0"/>
            <w:vAlign w:val="center"/>
          </w:tcPr>
          <w:p w14:paraId="3446427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539" w:type="dxa"/>
            <w:noWrap w:val="0"/>
            <w:vAlign w:val="center"/>
          </w:tcPr>
          <w:p w14:paraId="642FE73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14:paraId="34C19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14:paraId="1B1C624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杀鼠剂</w:t>
            </w:r>
          </w:p>
        </w:tc>
        <w:tc>
          <w:tcPr>
            <w:tcW w:w="1307" w:type="dxa"/>
            <w:noWrap w:val="0"/>
            <w:vAlign w:val="center"/>
          </w:tcPr>
          <w:p w14:paraId="336A3CD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有机杀鼠剂</w:t>
            </w:r>
          </w:p>
        </w:tc>
        <w:tc>
          <w:tcPr>
            <w:tcW w:w="1813" w:type="dxa"/>
            <w:noWrap w:val="0"/>
            <w:vAlign w:val="center"/>
          </w:tcPr>
          <w:p w14:paraId="103CCA3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抗凝血剂类</w:t>
            </w:r>
          </w:p>
        </w:tc>
        <w:tc>
          <w:tcPr>
            <w:tcW w:w="4201" w:type="dxa"/>
            <w:noWrap w:val="0"/>
            <w:vAlign w:val="center"/>
          </w:tcPr>
          <w:p w14:paraId="153E4A8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杀鼠灵、溴敌隆、大隆等</w:t>
            </w:r>
          </w:p>
        </w:tc>
        <w:tc>
          <w:tcPr>
            <w:tcW w:w="1539" w:type="dxa"/>
            <w:noWrap w:val="0"/>
            <w:vAlign w:val="center"/>
          </w:tcPr>
          <w:p w14:paraId="5FBD8E6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14:paraId="1F2CC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14:paraId="7A39C50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50AAB09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14:paraId="5FF77DA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硫脲类</w:t>
            </w:r>
          </w:p>
        </w:tc>
        <w:tc>
          <w:tcPr>
            <w:tcW w:w="4201" w:type="dxa"/>
            <w:noWrap w:val="0"/>
            <w:vAlign w:val="center"/>
          </w:tcPr>
          <w:p w14:paraId="708D772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灭鼠特、灭鼠肼等</w:t>
            </w:r>
          </w:p>
        </w:tc>
        <w:tc>
          <w:tcPr>
            <w:tcW w:w="1539" w:type="dxa"/>
            <w:noWrap w:val="0"/>
            <w:vAlign w:val="center"/>
          </w:tcPr>
          <w:p w14:paraId="65C6EE5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14:paraId="61DBA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1" w:hRule="atLeast"/>
          <w:jc w:val="center"/>
        </w:trPr>
        <w:tc>
          <w:tcPr>
            <w:tcW w:w="1206" w:type="dxa"/>
            <w:noWrap w:val="0"/>
            <w:vAlign w:val="center"/>
          </w:tcPr>
          <w:p w14:paraId="32E303F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5D5795C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14:paraId="104078A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其他类</w:t>
            </w:r>
          </w:p>
        </w:tc>
        <w:tc>
          <w:tcPr>
            <w:tcW w:w="4201" w:type="dxa"/>
            <w:noWrap w:val="0"/>
            <w:vAlign w:val="center"/>
          </w:tcPr>
          <w:p w14:paraId="303E98F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539" w:type="dxa"/>
            <w:noWrap w:val="0"/>
            <w:vAlign w:val="center"/>
          </w:tcPr>
          <w:p w14:paraId="6DD85BA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化学农药</w:t>
            </w:r>
          </w:p>
        </w:tc>
      </w:tr>
      <w:tr w14:paraId="26F94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14:paraId="6A60974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2CC71E5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植物源杀鼠剂</w:t>
            </w:r>
          </w:p>
        </w:tc>
        <w:tc>
          <w:tcPr>
            <w:tcW w:w="1813" w:type="dxa"/>
            <w:noWrap w:val="0"/>
            <w:vAlign w:val="center"/>
          </w:tcPr>
          <w:p w14:paraId="07264E5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抗生育剂类</w:t>
            </w:r>
          </w:p>
        </w:tc>
        <w:tc>
          <w:tcPr>
            <w:tcW w:w="4201" w:type="dxa"/>
            <w:noWrap w:val="0"/>
            <w:vAlign w:val="center"/>
          </w:tcPr>
          <w:p w14:paraId="5A633D1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莪术醇、雷公藤等</w:t>
            </w:r>
          </w:p>
        </w:tc>
        <w:tc>
          <w:tcPr>
            <w:tcW w:w="1539" w:type="dxa"/>
            <w:noWrap w:val="0"/>
            <w:vAlign w:val="center"/>
          </w:tcPr>
          <w:p w14:paraId="5CB09E4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14:paraId="7C553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14:paraId="1BE03E4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0E1D509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14:paraId="55B49E6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肉毒素类</w:t>
            </w:r>
          </w:p>
        </w:tc>
        <w:tc>
          <w:tcPr>
            <w:tcW w:w="4201" w:type="dxa"/>
            <w:noWrap w:val="0"/>
            <w:vAlign w:val="center"/>
          </w:tcPr>
          <w:p w14:paraId="0FEC452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C 型、 D 型等</w:t>
            </w:r>
          </w:p>
        </w:tc>
        <w:tc>
          <w:tcPr>
            <w:tcW w:w="1539" w:type="dxa"/>
            <w:noWrap w:val="0"/>
            <w:vAlign w:val="center"/>
          </w:tcPr>
          <w:p w14:paraId="4DFE543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14:paraId="483A4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1206" w:type="dxa"/>
            <w:noWrap w:val="0"/>
            <w:vAlign w:val="center"/>
          </w:tcPr>
          <w:p w14:paraId="56C5D42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677C76B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14:paraId="2DCC62E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植物碱类</w:t>
            </w:r>
          </w:p>
        </w:tc>
        <w:tc>
          <w:tcPr>
            <w:tcW w:w="4201" w:type="dxa"/>
            <w:noWrap w:val="0"/>
            <w:vAlign w:val="center"/>
          </w:tcPr>
          <w:p w14:paraId="1E605AC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马钱子碱、番木鳖碱等</w:t>
            </w:r>
          </w:p>
        </w:tc>
        <w:tc>
          <w:tcPr>
            <w:tcW w:w="1539" w:type="dxa"/>
            <w:noWrap w:val="0"/>
            <w:vAlign w:val="center"/>
          </w:tcPr>
          <w:p w14:paraId="1FF74E3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r w14:paraId="37F8C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jc w:val="center"/>
        </w:trPr>
        <w:tc>
          <w:tcPr>
            <w:tcW w:w="1206" w:type="dxa"/>
            <w:noWrap w:val="0"/>
            <w:vAlign w:val="center"/>
          </w:tcPr>
          <w:p w14:paraId="5B223D5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307" w:type="dxa"/>
            <w:noWrap w:val="0"/>
            <w:vAlign w:val="center"/>
          </w:tcPr>
          <w:p w14:paraId="44F2BBF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813" w:type="dxa"/>
            <w:noWrap w:val="0"/>
            <w:vAlign w:val="center"/>
          </w:tcPr>
          <w:p w14:paraId="61F6993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其他类</w:t>
            </w:r>
          </w:p>
        </w:tc>
        <w:tc>
          <w:tcPr>
            <w:tcW w:w="4201" w:type="dxa"/>
            <w:noWrap w:val="0"/>
            <w:vAlign w:val="center"/>
          </w:tcPr>
          <w:p w14:paraId="7D31382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p>
        </w:tc>
        <w:tc>
          <w:tcPr>
            <w:tcW w:w="1539" w:type="dxa"/>
            <w:noWrap w:val="0"/>
            <w:vAlign w:val="center"/>
          </w:tcPr>
          <w:p w14:paraId="3125F63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eastAsia" w:ascii="仿宋_GB2312" w:hAnsi="仿宋_GB2312" w:eastAsia="仿宋_GB2312" w:cs="仿宋_GB2312"/>
                <w:color w:val="auto"/>
                <w:spacing w:val="-3"/>
                <w:kern w:val="2"/>
                <w:sz w:val="24"/>
                <w:szCs w:val="24"/>
                <w:highlight w:val="none"/>
                <w:lang w:val="en-US" w:eastAsia="en-US" w:bidi="ar-SA"/>
              </w:rPr>
            </w:pPr>
            <w:r>
              <w:rPr>
                <w:rFonts w:hint="eastAsia" w:ascii="仿宋_GB2312" w:hAnsi="仿宋_GB2312" w:eastAsia="仿宋_GB2312" w:cs="仿宋_GB2312"/>
                <w:color w:val="auto"/>
                <w:spacing w:val="-3"/>
                <w:kern w:val="2"/>
                <w:sz w:val="24"/>
                <w:szCs w:val="24"/>
                <w:highlight w:val="none"/>
                <w:lang w:val="en-US" w:eastAsia="en-US" w:bidi="ar-SA"/>
              </w:rPr>
              <w:t>无公害农药</w:t>
            </w:r>
          </w:p>
        </w:tc>
      </w:tr>
    </w:tbl>
    <w:p w14:paraId="0752F85C">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说明：1.本指南仅用于指导农药分类，不适用于指导农药采购。</w:t>
      </w:r>
    </w:p>
    <w:p w14:paraId="3BA64340">
      <w:pPr>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left="0" w:leftChars="0" w:firstLine="960" w:firstLineChars="3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多种有效成分复配的农药，可以按照含量高的有效成分统计，例如25%甲维。灭幼脲悬浮剂（包装标注有效成分含量为：24.8%甲维盐+0.2%灭幼脲），该药剂可以按照甲维盐进行统计。</w:t>
      </w:r>
    </w:p>
    <w:p w14:paraId="02D71291">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auto"/>
          <w:kern w:val="2"/>
          <w:sz w:val="32"/>
          <w:szCs w:val="32"/>
          <w:highlight w:val="none"/>
          <w:lang w:val="en-US" w:eastAsia="zh-CN" w:bidi="ar-SA"/>
        </w:rPr>
      </w:pPr>
    </w:p>
    <w:p w14:paraId="2EF68396">
      <w:pPr>
        <w:keepNext/>
        <w:keepLines/>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0"/>
        <w:rPr>
          <w:rFonts w:hint="eastAsia" w:ascii="楷体_GB2312" w:hAnsi="楷体_GB2312" w:eastAsia="楷体_GB2312" w:cs="楷体_GB2312"/>
          <w:b/>
          <w:color w:val="auto"/>
          <w:kern w:val="2"/>
          <w:sz w:val="32"/>
          <w:szCs w:val="32"/>
          <w:highlight w:val="none"/>
          <w:lang w:val="en-US" w:eastAsia="zh-CN" w:bidi="ar-SA"/>
        </w:rPr>
      </w:pPr>
      <w:bookmarkStart w:id="150" w:name="_Toc11160"/>
      <w:r>
        <w:rPr>
          <w:rFonts w:hint="eastAsia" w:ascii="楷体_GB2312" w:hAnsi="楷体_GB2312" w:eastAsia="楷体_GB2312" w:cs="楷体_GB2312"/>
          <w:b/>
          <w:color w:val="auto"/>
          <w:kern w:val="2"/>
          <w:sz w:val="32"/>
          <w:szCs w:val="32"/>
          <w:highlight w:val="none"/>
          <w:lang w:val="en-US" w:eastAsia="zh-CN" w:bidi="ar-SA"/>
        </w:rPr>
        <w:t>（四）安全生产管理制度</w:t>
      </w:r>
      <w:bookmarkEnd w:id="150"/>
      <w:r>
        <w:rPr>
          <w:rFonts w:hint="eastAsia" w:ascii="楷体_GB2312" w:hAnsi="楷体_GB2312" w:eastAsia="楷体_GB2312" w:cs="楷体_GB2312"/>
          <w:b/>
          <w:color w:val="auto"/>
          <w:kern w:val="2"/>
          <w:sz w:val="32"/>
          <w:szCs w:val="32"/>
          <w:highlight w:val="none"/>
          <w:lang w:val="en-US" w:eastAsia="zh-CN" w:bidi="ar-SA"/>
        </w:rPr>
        <w:t>模板</w:t>
      </w:r>
    </w:p>
    <w:p w14:paraId="03FB70E2">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51" w:name="_Toc186125026"/>
      <w:bookmarkStart w:id="152" w:name="_Toc23922"/>
      <w:bookmarkStart w:id="153" w:name="_Toc18353"/>
      <w:bookmarkStart w:id="154" w:name="_Toc20150"/>
      <w:bookmarkStart w:id="155" w:name="_Toc10656"/>
      <w:bookmarkStart w:id="156" w:name="_Toc19115"/>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第一章 安全生产责任制度</w:t>
      </w:r>
      <w:bookmarkEnd w:id="151"/>
      <w:bookmarkEnd w:id="152"/>
      <w:bookmarkEnd w:id="153"/>
      <w:bookmarkEnd w:id="154"/>
      <w:bookmarkEnd w:id="155"/>
      <w:bookmarkEnd w:id="156"/>
    </w:p>
    <w:p w14:paraId="3C6BD095">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一</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安全生产责任制是企业各项安全生产管理制度的核心，按照“管生产必须管安全”的原则，将各级管理人员、各职能部门、各班组和所有一线职工，在安全生产方面应负的责任加以明确规定的</w:t>
      </w:r>
      <w:r>
        <w:rPr>
          <w:rFonts w:hint="eastAsia" w:ascii="仿宋_GB2312" w:hAnsi="仿宋_GB2312" w:eastAsia="仿宋_GB2312" w:cs="仿宋_GB2312"/>
          <w:bCs/>
          <w:color w:val="auto"/>
          <w:kern w:val="0"/>
          <w:sz w:val="32"/>
          <w:szCs w:val="32"/>
          <w:highlight w:val="none"/>
          <w:lang w:eastAsia="zh-CN"/>
        </w:rPr>
        <w:t>一项</w:t>
      </w:r>
      <w:r>
        <w:rPr>
          <w:rFonts w:hint="eastAsia" w:ascii="仿宋_GB2312" w:hAnsi="仿宋_GB2312" w:eastAsia="仿宋_GB2312" w:cs="仿宋_GB2312"/>
          <w:bCs/>
          <w:color w:val="auto"/>
          <w:kern w:val="0"/>
          <w:sz w:val="32"/>
          <w:szCs w:val="32"/>
          <w:highlight w:val="none"/>
        </w:rPr>
        <w:t>制度。</w:t>
      </w:r>
    </w:p>
    <w:p w14:paraId="7FA244B8">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二</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主要负责人对新型集体林场职工的安全负最终责任，并在安全生产工作中</w:t>
      </w:r>
      <w:r>
        <w:rPr>
          <w:rFonts w:hint="eastAsia" w:ascii="仿宋_GB2312" w:hAnsi="仿宋_GB2312" w:eastAsia="仿宋_GB2312" w:cs="仿宋_GB2312"/>
          <w:bCs/>
          <w:color w:val="auto"/>
          <w:kern w:val="0"/>
          <w:sz w:val="32"/>
          <w:szCs w:val="32"/>
          <w:highlight w:val="none"/>
          <w:lang w:eastAsia="zh-CN"/>
        </w:rPr>
        <w:t>起</w:t>
      </w:r>
      <w:r>
        <w:rPr>
          <w:rFonts w:hint="eastAsia" w:ascii="仿宋_GB2312" w:hAnsi="仿宋_GB2312" w:eastAsia="仿宋_GB2312" w:cs="仿宋_GB2312"/>
          <w:bCs/>
          <w:color w:val="auto"/>
          <w:kern w:val="0"/>
          <w:sz w:val="32"/>
          <w:szCs w:val="32"/>
          <w:highlight w:val="none"/>
        </w:rPr>
        <w:t>领导作用。</w:t>
      </w:r>
    </w:p>
    <w:p w14:paraId="7C9F3A60">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三</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新型集体林场职工应掌握各自职责的范围、接口关系和实施途径，为自身的安全工作负责。</w:t>
      </w:r>
    </w:p>
    <w:p w14:paraId="269613CE">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57" w:name="_Toc6070"/>
      <w:bookmarkStart w:id="158" w:name="_Toc11486"/>
      <w:bookmarkStart w:id="159" w:name="_Toc30295"/>
      <w:bookmarkStart w:id="160" w:name="_Toc13132"/>
      <w:bookmarkStart w:id="161" w:name="_Toc186125027"/>
      <w:bookmarkStart w:id="162" w:name="_Toc32564"/>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第二章 安全培训教育制度</w:t>
      </w:r>
      <w:bookmarkEnd w:id="157"/>
      <w:bookmarkEnd w:id="158"/>
      <w:bookmarkEnd w:id="159"/>
      <w:bookmarkEnd w:id="160"/>
      <w:bookmarkEnd w:id="161"/>
      <w:bookmarkEnd w:id="162"/>
    </w:p>
    <w:p w14:paraId="0D17BF82">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outlineLvl w:val="2"/>
        <w:rPr>
          <w:rFonts w:hint="eastAsia" w:ascii="仿宋_GB2312" w:hAnsi="仿宋_GB2312" w:eastAsia="仿宋_GB2312" w:cs="仿宋_GB2312"/>
          <w:color w:val="auto"/>
          <w:sz w:val="32"/>
          <w:szCs w:val="32"/>
          <w:highlight w:val="none"/>
        </w:rPr>
      </w:pPr>
      <w:bookmarkStart w:id="163" w:name="_Toc1206"/>
      <w:bookmarkStart w:id="164" w:name="_Toc11841"/>
      <w:bookmarkStart w:id="165" w:name="_Toc186125028"/>
      <w:bookmarkStart w:id="166" w:name="_Toc4941"/>
      <w:bookmarkStart w:id="167" w:name="_Toc19484"/>
      <w:bookmarkStart w:id="168" w:name="_Toc12179"/>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入场教育</w:t>
      </w:r>
      <w:bookmarkEnd w:id="163"/>
      <w:bookmarkEnd w:id="164"/>
      <w:bookmarkEnd w:id="165"/>
      <w:bookmarkEnd w:id="166"/>
      <w:bookmarkEnd w:id="167"/>
      <w:bookmarkEnd w:id="168"/>
    </w:p>
    <w:p w14:paraId="794F6389">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1.新</w:t>
      </w:r>
      <w:r>
        <w:rPr>
          <w:rFonts w:hint="eastAsia" w:ascii="仿宋_GB2312" w:hAnsi="仿宋_GB2312" w:eastAsia="仿宋_GB2312" w:cs="仿宋_GB2312"/>
          <w:bCs/>
          <w:color w:val="auto"/>
          <w:kern w:val="0"/>
          <w:sz w:val="32"/>
          <w:szCs w:val="32"/>
          <w:highlight w:val="none"/>
        </w:rPr>
        <w:t>入场</w:t>
      </w:r>
      <w:r>
        <w:rPr>
          <w:rFonts w:hint="eastAsia" w:ascii="仿宋_GB2312" w:hAnsi="仿宋_GB2312" w:eastAsia="仿宋_GB2312" w:cs="仿宋_GB2312"/>
          <w:color w:val="auto"/>
          <w:sz w:val="32"/>
          <w:szCs w:val="32"/>
          <w:highlight w:val="none"/>
        </w:rPr>
        <w:t>职工均须经过</w:t>
      </w:r>
      <w:r>
        <w:rPr>
          <w:rFonts w:hint="eastAsia" w:ascii="仿宋_GB2312" w:hAnsi="仿宋_GB2312" w:eastAsia="仿宋_GB2312" w:cs="仿宋_GB2312"/>
          <w:bCs/>
          <w:color w:val="auto"/>
          <w:sz w:val="32"/>
          <w:szCs w:val="32"/>
          <w:highlight w:val="none"/>
          <w:lang w:eastAsia="zh-CN"/>
        </w:rPr>
        <w:t>人力资源部门</w:t>
      </w:r>
      <w:r>
        <w:rPr>
          <w:rFonts w:hint="eastAsia" w:ascii="仿宋_GB2312" w:hAnsi="仿宋_GB2312" w:eastAsia="仿宋_GB2312" w:cs="仿宋_GB2312"/>
          <w:color w:val="auto"/>
          <w:sz w:val="32"/>
          <w:szCs w:val="32"/>
          <w:highlight w:val="none"/>
        </w:rPr>
        <w:t>进行安全教育。</w:t>
      </w:r>
    </w:p>
    <w:p w14:paraId="00129B02">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2.由</w:t>
      </w:r>
      <w:r>
        <w:rPr>
          <w:rFonts w:hint="eastAsia" w:ascii="仿宋_GB2312" w:hAnsi="仿宋_GB2312" w:eastAsia="仿宋_GB2312" w:cs="仿宋_GB2312"/>
          <w:bCs/>
          <w:color w:val="auto"/>
          <w:sz w:val="32"/>
          <w:szCs w:val="32"/>
          <w:highlight w:val="none"/>
          <w:lang w:eastAsia="zh-CN"/>
        </w:rPr>
        <w:t>人力资源部门</w:t>
      </w:r>
      <w:r>
        <w:rPr>
          <w:rFonts w:hint="eastAsia" w:ascii="仿宋_GB2312" w:hAnsi="仿宋_GB2312" w:eastAsia="仿宋_GB2312" w:cs="仿宋_GB2312"/>
          <w:color w:val="auto"/>
          <w:sz w:val="32"/>
          <w:szCs w:val="32"/>
          <w:highlight w:val="none"/>
        </w:rPr>
        <w:t>负责组织并实施，教育内容包括：党和国家有关安全生产的方针、政策、法规、制度及安全生产重要意义，一般安全知识，新型集体林场生产特点，重大事故案例，场规场纪以及入场后的安全注意事项，职业预防等知识，并经考试合格，方准分配到各部门。</w:t>
      </w:r>
    </w:p>
    <w:p w14:paraId="7689DF43">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3.由</w:t>
      </w:r>
      <w:r>
        <w:rPr>
          <w:rFonts w:hint="eastAsia" w:ascii="仿宋_GB2312" w:hAnsi="仿宋_GB2312" w:eastAsia="仿宋_GB2312" w:cs="仿宋_GB2312"/>
          <w:bCs/>
          <w:color w:val="auto"/>
          <w:sz w:val="32"/>
          <w:szCs w:val="32"/>
          <w:highlight w:val="none"/>
          <w:lang w:val="en-US" w:eastAsia="zh-CN"/>
        </w:rPr>
        <w:t>人力资源部门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生产部</w:t>
      </w:r>
      <w:r>
        <w:rPr>
          <w:rFonts w:hint="eastAsia" w:ascii="仿宋_GB2312" w:hAnsi="仿宋_GB2312" w:eastAsia="仿宋_GB2312" w:cs="仿宋_GB2312"/>
          <w:color w:val="auto"/>
          <w:sz w:val="32"/>
          <w:szCs w:val="32"/>
          <w:highlight w:val="none"/>
        </w:rPr>
        <w:t>负责教育内容包括：所在部门的工作职责及工作流程、设备的性能、安全技术规程和制度、事故教训、防火设施的使用及安全注意事项等，并考试合格，方准分配到班组。</w:t>
      </w:r>
    </w:p>
    <w:p w14:paraId="04CD8F5A">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班组教育，由班组组长负责，教育内容包括：岗位生产任务、特点、设备结构原理、操作事项、岗位责任制、岗位安全技术规程、事故案例及预防措施、安全装置和工具、个人防护用品、防护器具和消防器材的使用方法等。</w:t>
      </w:r>
    </w:p>
    <w:p w14:paraId="6AA553A3">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5.调动（包括</w:t>
      </w:r>
      <w:r>
        <w:rPr>
          <w:rFonts w:hint="eastAsia" w:ascii="仿宋_GB2312" w:hAnsi="仿宋_GB2312" w:eastAsia="仿宋_GB2312" w:cs="仿宋_GB2312"/>
          <w:color w:val="auto"/>
          <w:sz w:val="32"/>
          <w:szCs w:val="32"/>
          <w:highlight w:val="none"/>
          <w:lang w:val="en-US" w:eastAsia="zh-CN"/>
        </w:rPr>
        <w:t>部门</w:t>
      </w:r>
      <w:r>
        <w:rPr>
          <w:rFonts w:hint="eastAsia" w:ascii="仿宋_GB2312" w:hAnsi="仿宋_GB2312" w:eastAsia="仿宋_GB2312" w:cs="仿宋_GB2312"/>
          <w:color w:val="auto"/>
          <w:sz w:val="32"/>
          <w:szCs w:val="32"/>
          <w:highlight w:val="none"/>
        </w:rPr>
        <w:t>内调动）及脱岗半年以上职工，必须对其进行二次教育，并进行岗位培训，经考试合格，</w:t>
      </w:r>
      <w:r>
        <w:rPr>
          <w:rFonts w:hint="eastAsia" w:ascii="仿宋_GB2312" w:hAnsi="仿宋_GB2312" w:eastAsia="仿宋_GB2312" w:cs="仿宋_GB2312"/>
          <w:color w:val="auto"/>
          <w:sz w:val="32"/>
          <w:szCs w:val="32"/>
          <w:highlight w:val="none"/>
          <w:lang w:eastAsia="zh-CN"/>
        </w:rPr>
        <w:t>方可</w:t>
      </w:r>
      <w:r>
        <w:rPr>
          <w:rFonts w:hint="eastAsia" w:ascii="仿宋_GB2312" w:hAnsi="仿宋_GB2312" w:eastAsia="仿宋_GB2312" w:cs="仿宋_GB2312"/>
          <w:color w:val="auto"/>
          <w:sz w:val="32"/>
          <w:szCs w:val="32"/>
          <w:highlight w:val="none"/>
        </w:rPr>
        <w:t>上岗作业。</w:t>
      </w:r>
    </w:p>
    <w:p w14:paraId="5DDA2899">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outlineLvl w:val="2"/>
        <w:rPr>
          <w:rFonts w:hint="eastAsia" w:ascii="仿宋_GB2312" w:hAnsi="仿宋_GB2312" w:eastAsia="仿宋_GB2312" w:cs="仿宋_GB2312"/>
          <w:color w:val="auto"/>
          <w:sz w:val="32"/>
          <w:szCs w:val="32"/>
          <w:highlight w:val="none"/>
        </w:rPr>
      </w:pPr>
      <w:bookmarkStart w:id="169" w:name="_Toc186125029"/>
      <w:bookmarkStart w:id="170" w:name="_Toc27342"/>
      <w:bookmarkStart w:id="171" w:name="_Toc802"/>
      <w:bookmarkStart w:id="172" w:name="_Toc7528"/>
      <w:bookmarkStart w:id="173" w:name="_Toc6871"/>
      <w:bookmarkStart w:id="174" w:name="_Toc16837"/>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日常教育</w:t>
      </w:r>
      <w:bookmarkEnd w:id="169"/>
      <w:bookmarkEnd w:id="170"/>
      <w:bookmarkEnd w:id="171"/>
      <w:bookmarkEnd w:id="172"/>
      <w:bookmarkEnd w:id="173"/>
      <w:bookmarkEnd w:id="174"/>
    </w:p>
    <w:p w14:paraId="6EBF25E0">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1.各部门要对职工进行经常性的思想、技术和纪律教育，增强职工的安全意识和</w:t>
      </w:r>
      <w:r>
        <w:rPr>
          <w:rFonts w:hint="eastAsia" w:ascii="仿宋_GB2312" w:hAnsi="仿宋_GB2312" w:eastAsia="仿宋_GB2312" w:cs="仿宋_GB2312"/>
          <w:color w:val="auto"/>
          <w:sz w:val="32"/>
          <w:szCs w:val="32"/>
          <w:highlight w:val="none"/>
          <w:lang w:eastAsia="zh-CN"/>
        </w:rPr>
        <w:t>法制观念</w:t>
      </w:r>
      <w:r>
        <w:rPr>
          <w:rFonts w:hint="eastAsia" w:ascii="仿宋_GB2312" w:hAnsi="仿宋_GB2312" w:eastAsia="仿宋_GB2312" w:cs="仿宋_GB2312"/>
          <w:color w:val="auto"/>
          <w:sz w:val="32"/>
          <w:szCs w:val="32"/>
          <w:highlight w:val="none"/>
        </w:rPr>
        <w:t>。定期研究职工安全教育中的有关问题。</w:t>
      </w:r>
    </w:p>
    <w:p w14:paraId="3B7F40FF">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2.各部门应定期开展安全活动，班组安全活动根据不同生产任务开展。</w:t>
      </w:r>
    </w:p>
    <w:p w14:paraId="172D1576">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3.职工违章及事故责任者复工，应由所属部门</w:t>
      </w:r>
      <w:r>
        <w:rPr>
          <w:rFonts w:hint="eastAsia" w:ascii="仿宋_GB2312" w:hAnsi="仿宋_GB2312" w:eastAsia="仿宋_GB2312" w:cs="仿宋_GB2312"/>
          <w:color w:val="auto"/>
          <w:sz w:val="32"/>
          <w:szCs w:val="32"/>
          <w:highlight w:val="none"/>
          <w:lang w:val="en-US" w:eastAsia="zh-CN"/>
        </w:rPr>
        <w:t>负责人</w:t>
      </w:r>
      <w:r>
        <w:rPr>
          <w:rFonts w:hint="eastAsia" w:ascii="仿宋_GB2312" w:hAnsi="仿宋_GB2312" w:eastAsia="仿宋_GB2312" w:cs="仿宋_GB2312"/>
          <w:color w:val="auto"/>
          <w:sz w:val="32"/>
          <w:szCs w:val="32"/>
          <w:highlight w:val="none"/>
        </w:rPr>
        <w:t>或安全部门进行安全再教育。</w:t>
      </w:r>
    </w:p>
    <w:p w14:paraId="679F6B5F">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outlineLvl w:val="2"/>
        <w:rPr>
          <w:rFonts w:hint="eastAsia" w:ascii="仿宋_GB2312" w:hAnsi="仿宋_GB2312" w:eastAsia="仿宋_GB2312" w:cs="仿宋_GB2312"/>
          <w:color w:val="auto"/>
          <w:sz w:val="32"/>
          <w:szCs w:val="32"/>
          <w:highlight w:val="none"/>
        </w:rPr>
      </w:pPr>
      <w:bookmarkStart w:id="175" w:name="_Toc27844"/>
      <w:bookmarkStart w:id="176" w:name="_Toc186125030"/>
      <w:bookmarkStart w:id="177" w:name="_Toc1038"/>
      <w:bookmarkStart w:id="178" w:name="_Toc29902"/>
      <w:bookmarkStart w:id="179" w:name="_Toc22862"/>
      <w:bookmarkStart w:id="180" w:name="_Toc6688"/>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安全考核</w:t>
      </w:r>
      <w:bookmarkEnd w:id="175"/>
      <w:bookmarkEnd w:id="176"/>
      <w:bookmarkEnd w:id="177"/>
      <w:bookmarkEnd w:id="178"/>
      <w:bookmarkEnd w:id="179"/>
      <w:bookmarkEnd w:id="180"/>
    </w:p>
    <w:p w14:paraId="34E4279A">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新型集体林场职工的安全培训和考核，由</w:t>
      </w:r>
      <w:r>
        <w:rPr>
          <w:rFonts w:hint="eastAsia" w:ascii="仿宋_GB2312" w:hAnsi="仿宋_GB2312" w:eastAsia="仿宋_GB2312" w:cs="仿宋_GB2312"/>
          <w:bCs/>
          <w:color w:val="auto"/>
          <w:sz w:val="32"/>
          <w:szCs w:val="32"/>
          <w:highlight w:val="none"/>
        </w:rPr>
        <w:t>人力资源</w:t>
      </w:r>
      <w:r>
        <w:rPr>
          <w:rFonts w:hint="eastAsia" w:ascii="仿宋_GB2312" w:hAnsi="仿宋_GB2312" w:eastAsia="仿宋_GB2312" w:cs="仿宋_GB2312"/>
          <w:color w:val="auto"/>
          <w:sz w:val="32"/>
          <w:szCs w:val="32"/>
          <w:highlight w:val="none"/>
        </w:rPr>
        <w:t>部门负责组织进行。考核内容包括：</w:t>
      </w:r>
    </w:p>
    <w:p w14:paraId="32CAF1D7">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1.国家有关安全生产和劳动保护的方针、政策、法规、制度和标准。</w:t>
      </w:r>
    </w:p>
    <w:p w14:paraId="3ED339A9">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2.新型集体林场的各项安全生产管理制度。</w:t>
      </w:r>
    </w:p>
    <w:p w14:paraId="37231DE0">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3.新型集体林场劳动保护用品和器具、消防器材的正确使用方法。</w:t>
      </w:r>
    </w:p>
    <w:p w14:paraId="0D095232">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4.各班组各类安全装置的种类和作业以及使用方法。</w:t>
      </w:r>
    </w:p>
    <w:p w14:paraId="22705313">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181" w:name="_Toc7491"/>
      <w:bookmarkStart w:id="182" w:name="_Toc29139"/>
      <w:bookmarkStart w:id="183" w:name="_Toc8103"/>
      <w:bookmarkStart w:id="184" w:name="_Toc9326"/>
      <w:bookmarkStart w:id="185" w:name="_Toc186125031"/>
      <w:bookmarkStart w:id="186" w:name="_Toc24422"/>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第三章 安全生产检查制度</w:t>
      </w:r>
      <w:bookmarkEnd w:id="181"/>
      <w:bookmarkEnd w:id="182"/>
      <w:bookmarkEnd w:id="183"/>
      <w:bookmarkEnd w:id="184"/>
      <w:bookmarkEnd w:id="185"/>
      <w:bookmarkEnd w:id="186"/>
    </w:p>
    <w:p w14:paraId="64824B4E">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outlineLvl w:val="2"/>
        <w:rPr>
          <w:rFonts w:hint="eastAsia" w:ascii="仿宋_GB2312" w:hAnsi="仿宋_GB2312" w:eastAsia="仿宋_GB2312" w:cs="仿宋_GB2312"/>
          <w:color w:val="auto"/>
          <w:sz w:val="32"/>
          <w:szCs w:val="32"/>
          <w:highlight w:val="none"/>
        </w:rPr>
      </w:pPr>
      <w:bookmarkStart w:id="187" w:name="_Toc32628"/>
      <w:bookmarkStart w:id="188" w:name="_Toc28083"/>
      <w:bookmarkStart w:id="189" w:name="_Toc1650"/>
      <w:bookmarkStart w:id="190" w:name="_Toc30192"/>
      <w:bookmarkStart w:id="191" w:name="_Toc186125032"/>
      <w:bookmarkStart w:id="192" w:name="_Toc29569"/>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安全生产检查目的</w:t>
      </w:r>
      <w:bookmarkEnd w:id="187"/>
      <w:bookmarkEnd w:id="188"/>
      <w:bookmarkEnd w:id="189"/>
      <w:bookmarkEnd w:id="190"/>
      <w:bookmarkEnd w:id="191"/>
      <w:bookmarkEnd w:id="192"/>
    </w:p>
    <w:p w14:paraId="51B940E8">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查找和消除事故隐患、减少或避免事故的发生；督促各项安全规章制度的实施；落实安全生产责任制；制止违章指挥、违章作业。</w:t>
      </w:r>
    </w:p>
    <w:p w14:paraId="2CC159BF">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outlineLvl w:val="2"/>
        <w:rPr>
          <w:rFonts w:hint="eastAsia" w:ascii="仿宋_GB2312" w:hAnsi="仿宋_GB2312" w:eastAsia="仿宋_GB2312" w:cs="仿宋_GB2312"/>
          <w:color w:val="auto"/>
          <w:sz w:val="32"/>
          <w:szCs w:val="32"/>
          <w:highlight w:val="none"/>
        </w:rPr>
      </w:pPr>
      <w:bookmarkStart w:id="193" w:name="_Toc16083"/>
      <w:bookmarkStart w:id="194" w:name="_Toc28999"/>
      <w:bookmarkStart w:id="195" w:name="_Toc186125033"/>
      <w:bookmarkStart w:id="196" w:name="_Toc6194"/>
      <w:bookmarkStart w:id="197" w:name="_Toc28829"/>
      <w:bookmarkStart w:id="198" w:name="_Toc1897"/>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安全生产检查内容</w:t>
      </w:r>
      <w:bookmarkEnd w:id="193"/>
      <w:bookmarkEnd w:id="194"/>
      <w:bookmarkEnd w:id="195"/>
      <w:bookmarkEnd w:id="196"/>
      <w:bookmarkEnd w:id="197"/>
      <w:bookmarkEnd w:id="198"/>
    </w:p>
    <w:p w14:paraId="6D3AA9C3">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.检</w:t>
      </w:r>
      <w:r>
        <w:rPr>
          <w:rFonts w:hint="eastAsia" w:ascii="仿宋_GB2312" w:hAnsi="仿宋_GB2312" w:eastAsia="仿宋_GB2312" w:cs="仿宋_GB2312"/>
          <w:color w:val="auto"/>
          <w:sz w:val="32"/>
          <w:szCs w:val="32"/>
          <w:highlight w:val="none"/>
        </w:rPr>
        <w:t>查安全生产责任制落实情况；</w:t>
      </w:r>
    </w:p>
    <w:p w14:paraId="711F3C7D">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.检</w:t>
      </w:r>
      <w:r>
        <w:rPr>
          <w:rFonts w:hint="eastAsia" w:ascii="仿宋_GB2312" w:hAnsi="仿宋_GB2312" w:eastAsia="仿宋_GB2312" w:cs="仿宋_GB2312"/>
          <w:color w:val="auto"/>
          <w:sz w:val="32"/>
          <w:szCs w:val="32"/>
          <w:highlight w:val="none"/>
        </w:rPr>
        <w:t>查从业人员的安全教育培训是否符合规定；</w:t>
      </w:r>
    </w:p>
    <w:p w14:paraId="58D953C9">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.检</w:t>
      </w:r>
      <w:r>
        <w:rPr>
          <w:rFonts w:hint="eastAsia" w:ascii="仿宋_GB2312" w:hAnsi="仿宋_GB2312" w:eastAsia="仿宋_GB2312" w:cs="仿宋_GB2312"/>
          <w:color w:val="auto"/>
          <w:sz w:val="32"/>
          <w:szCs w:val="32"/>
          <w:highlight w:val="none"/>
        </w:rPr>
        <w:t>查特种作业人员持证上岗是否符合规定；</w:t>
      </w:r>
    </w:p>
    <w:p w14:paraId="655768BE">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.检</w:t>
      </w:r>
      <w:r>
        <w:rPr>
          <w:rFonts w:hint="eastAsia" w:ascii="仿宋_GB2312" w:hAnsi="仿宋_GB2312" w:eastAsia="仿宋_GB2312" w:cs="仿宋_GB2312"/>
          <w:color w:val="auto"/>
          <w:sz w:val="32"/>
          <w:szCs w:val="32"/>
          <w:highlight w:val="none"/>
        </w:rPr>
        <w:t>查药品的使用、储存、废弃是否符合规定；</w:t>
      </w:r>
    </w:p>
    <w:p w14:paraId="005E5351">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.检</w:t>
      </w:r>
      <w:r>
        <w:rPr>
          <w:rFonts w:hint="eastAsia" w:ascii="仿宋_GB2312" w:hAnsi="仿宋_GB2312" w:eastAsia="仿宋_GB2312" w:cs="仿宋_GB2312"/>
          <w:color w:val="auto"/>
          <w:sz w:val="32"/>
          <w:szCs w:val="32"/>
          <w:highlight w:val="none"/>
        </w:rPr>
        <w:t>查劳动保护用品管理、穿戴、使用是否符合规定；</w:t>
      </w:r>
    </w:p>
    <w:p w14:paraId="1DB10F99">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eastAsia="zh-CN"/>
        </w:rPr>
        <w:t>.检</w:t>
      </w:r>
      <w:r>
        <w:rPr>
          <w:rFonts w:hint="eastAsia" w:ascii="仿宋_GB2312" w:hAnsi="仿宋_GB2312" w:eastAsia="仿宋_GB2312" w:cs="仿宋_GB2312"/>
          <w:color w:val="auto"/>
          <w:sz w:val="32"/>
          <w:szCs w:val="32"/>
          <w:highlight w:val="none"/>
        </w:rPr>
        <w:t>查生产纪律和操作流程执行情况；</w:t>
      </w:r>
    </w:p>
    <w:p w14:paraId="24C091B8">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eastAsia="zh-CN"/>
        </w:rPr>
        <w:t>.检</w:t>
      </w:r>
      <w:r>
        <w:rPr>
          <w:rFonts w:hint="eastAsia" w:ascii="仿宋_GB2312" w:hAnsi="仿宋_GB2312" w:eastAsia="仿宋_GB2312" w:cs="仿宋_GB2312"/>
          <w:color w:val="auto"/>
          <w:sz w:val="32"/>
          <w:szCs w:val="32"/>
          <w:highlight w:val="none"/>
        </w:rPr>
        <w:t>查应急救援预案完善演练情况；</w:t>
      </w:r>
    </w:p>
    <w:p w14:paraId="47EAFAC1">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z w:val="32"/>
          <w:szCs w:val="32"/>
          <w:highlight w:val="none"/>
          <w:lang w:eastAsia="zh-CN"/>
        </w:rPr>
        <w:t>.检</w:t>
      </w:r>
      <w:r>
        <w:rPr>
          <w:rFonts w:hint="eastAsia" w:ascii="仿宋_GB2312" w:hAnsi="仿宋_GB2312" w:eastAsia="仿宋_GB2312" w:cs="仿宋_GB2312"/>
          <w:color w:val="auto"/>
          <w:sz w:val="32"/>
          <w:szCs w:val="32"/>
          <w:highlight w:val="none"/>
        </w:rPr>
        <w:t>查隐患整改情况；</w:t>
      </w:r>
    </w:p>
    <w:p w14:paraId="6F0FBACE">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eastAsia="zh-CN"/>
        </w:rPr>
        <w:t>.检</w:t>
      </w:r>
      <w:r>
        <w:rPr>
          <w:rFonts w:hint="eastAsia" w:ascii="仿宋_GB2312" w:hAnsi="仿宋_GB2312" w:eastAsia="仿宋_GB2312" w:cs="仿宋_GB2312"/>
          <w:color w:val="auto"/>
          <w:sz w:val="32"/>
          <w:szCs w:val="32"/>
          <w:highlight w:val="none"/>
        </w:rPr>
        <w:t>查安全标志设置是否符合规定；</w:t>
      </w:r>
    </w:p>
    <w:p w14:paraId="580B0BF1">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lang w:eastAsia="zh-CN"/>
        </w:rPr>
        <w:t>.检</w:t>
      </w:r>
      <w:r>
        <w:rPr>
          <w:rFonts w:hint="eastAsia" w:ascii="仿宋_GB2312" w:hAnsi="仿宋_GB2312" w:eastAsia="仿宋_GB2312" w:cs="仿宋_GB2312"/>
          <w:color w:val="auto"/>
          <w:sz w:val="32"/>
          <w:szCs w:val="32"/>
          <w:highlight w:val="none"/>
        </w:rPr>
        <w:t>查消防设施是否符合安全要求。</w:t>
      </w:r>
    </w:p>
    <w:p w14:paraId="09E9DF98">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outlineLvl w:val="2"/>
        <w:rPr>
          <w:rFonts w:hint="eastAsia" w:ascii="仿宋_GB2312" w:hAnsi="仿宋_GB2312" w:eastAsia="仿宋_GB2312" w:cs="仿宋_GB2312"/>
          <w:color w:val="auto"/>
          <w:sz w:val="32"/>
          <w:szCs w:val="32"/>
          <w:highlight w:val="none"/>
        </w:rPr>
      </w:pPr>
      <w:bookmarkStart w:id="199" w:name="_Toc27559"/>
      <w:bookmarkStart w:id="200" w:name="_Toc23050"/>
      <w:bookmarkStart w:id="201" w:name="_Toc186125034"/>
      <w:bookmarkStart w:id="202" w:name="_Toc15269"/>
      <w:bookmarkStart w:id="203" w:name="_Toc26855"/>
      <w:bookmarkStart w:id="204" w:name="_Toc11533"/>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安全检查形式</w:t>
      </w:r>
      <w:bookmarkEnd w:id="199"/>
      <w:bookmarkEnd w:id="200"/>
      <w:bookmarkEnd w:id="201"/>
      <w:bookmarkEnd w:id="202"/>
      <w:bookmarkEnd w:id="203"/>
      <w:bookmarkEnd w:id="204"/>
    </w:p>
    <w:p w14:paraId="0D7F209F">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1.综合检查场区、库房，各班组分别进行以查纪律执行、查制度落实、查隐患排查为中心内容的全方位安全检查。</w:t>
      </w:r>
    </w:p>
    <w:p w14:paraId="4E59FA99">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2.对生产过程中的机械设备，电气装置以及防火进行检查。</w:t>
      </w:r>
    </w:p>
    <w:p w14:paraId="69F6D572">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3.季节性检查由相关职能部门，对防火、防暴雨冰雹、防汛、防风工作等进行预防性检查。</w:t>
      </w:r>
    </w:p>
    <w:p w14:paraId="41D7FDB3">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205" w:name="_Toc186125035"/>
      <w:bookmarkStart w:id="206" w:name="_Toc29573"/>
      <w:bookmarkStart w:id="207" w:name="_Toc28766"/>
      <w:bookmarkStart w:id="208" w:name="_Toc25925"/>
      <w:bookmarkStart w:id="209" w:name="_Toc20095"/>
      <w:bookmarkStart w:id="210" w:name="_Toc15741"/>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第四章 安全生产事故隐患排查治理制度</w:t>
      </w:r>
      <w:bookmarkEnd w:id="205"/>
      <w:bookmarkEnd w:id="206"/>
      <w:bookmarkEnd w:id="207"/>
      <w:bookmarkEnd w:id="208"/>
      <w:bookmarkEnd w:id="209"/>
      <w:bookmarkEnd w:id="210"/>
    </w:p>
    <w:p w14:paraId="7BCA2AA1">
      <w:pPr>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rPr>
      </w:pPr>
      <w:bookmarkStart w:id="211" w:name="_Toc28833"/>
      <w:bookmarkStart w:id="212" w:name="_Toc1047"/>
      <w:bookmarkStart w:id="213" w:name="_Toc9707"/>
      <w:bookmarkStart w:id="214" w:name="_Toc16431"/>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隐患排查制度</w:t>
      </w:r>
      <w:bookmarkEnd w:id="211"/>
      <w:bookmarkEnd w:id="212"/>
      <w:bookmarkEnd w:id="213"/>
      <w:bookmarkEnd w:id="214"/>
    </w:p>
    <w:p w14:paraId="1206E314">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1.各部门要落实安全生产责任制，将隐患排查治理纳入日常安全管理，使隐患排查治理工作常态化，形成全面覆盖和全员参与的隐患排查治理工作机制。</w:t>
      </w:r>
    </w:p>
    <w:p w14:paraId="061A8555">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2.重点对生产车辆、设备、驾驶员、设备操作员等安全生产各要素和环节进行安全隐患排查，认真制定事故隐患治理方案，及时消除安全隐患，有效预防事故。并落实“谁检查、谁签字、谁负责”的原则。</w:t>
      </w:r>
    </w:p>
    <w:p w14:paraId="1AC1639E">
      <w:pPr>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rPr>
      </w:pPr>
      <w:bookmarkStart w:id="215" w:name="_Toc19037"/>
      <w:bookmarkStart w:id="216" w:name="_Toc18428"/>
      <w:bookmarkStart w:id="217" w:name="_Toc21098"/>
      <w:bookmarkStart w:id="218" w:name="_Toc30061"/>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隐患排查形式及内容</w:t>
      </w:r>
      <w:bookmarkEnd w:id="215"/>
      <w:bookmarkEnd w:id="216"/>
      <w:bookmarkEnd w:id="217"/>
      <w:bookmarkEnd w:id="218"/>
    </w:p>
    <w:p w14:paraId="0421D437">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1.隐患排查方式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隐患排查采取日常检查、综合检查、季节性检查、节假日检查等方式进行。</w:t>
      </w:r>
    </w:p>
    <w:p w14:paraId="2E225D79">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2.隐患排查重点内容：围绕安全思想、管理因素、从业人员、车辆</w:t>
      </w:r>
      <w:r>
        <w:rPr>
          <w:rFonts w:hint="eastAsia" w:ascii="仿宋_GB2312" w:hAnsi="仿宋_GB2312" w:eastAsia="仿宋_GB2312" w:cs="仿宋_GB2312"/>
          <w:color w:val="auto"/>
          <w:sz w:val="32"/>
          <w:szCs w:val="32"/>
          <w:highlight w:val="none"/>
          <w:lang w:val="en-US" w:eastAsia="zh-CN"/>
        </w:rPr>
        <w:t>机械设备</w:t>
      </w:r>
      <w:r>
        <w:rPr>
          <w:rFonts w:hint="eastAsia" w:ascii="仿宋_GB2312" w:hAnsi="仿宋_GB2312" w:eastAsia="仿宋_GB2312" w:cs="仿宋_GB2312"/>
          <w:color w:val="auto"/>
          <w:sz w:val="32"/>
          <w:szCs w:val="32"/>
          <w:highlight w:val="none"/>
        </w:rPr>
        <w:t>、环境因素等五个方面进行。</w:t>
      </w:r>
    </w:p>
    <w:p w14:paraId="29E626FE">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3.安全思想排查的重点内容包括</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各级负责人、各岗位安全管理人员对安全工作重要性的认知情况；是否牢固树立了“安全就是效益、安全就是稳定、安全就是生命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的理念；是否将“安全</w:t>
      </w:r>
      <w:r>
        <w:rPr>
          <w:rFonts w:hint="eastAsia" w:ascii="仿宋_GB2312" w:hAnsi="仿宋_GB2312" w:eastAsia="仿宋_GB2312" w:cs="仿宋_GB2312"/>
          <w:color w:val="auto"/>
          <w:sz w:val="32"/>
          <w:szCs w:val="32"/>
          <w:highlight w:val="none"/>
          <w:lang w:eastAsia="zh-CN"/>
        </w:rPr>
        <w:t>第一，</w:t>
      </w:r>
      <w:r>
        <w:rPr>
          <w:rFonts w:hint="eastAsia" w:ascii="仿宋_GB2312" w:hAnsi="仿宋_GB2312" w:eastAsia="仿宋_GB2312" w:cs="仿宋_GB2312"/>
          <w:color w:val="auto"/>
          <w:sz w:val="32"/>
          <w:szCs w:val="32"/>
          <w:highlight w:val="none"/>
        </w:rPr>
        <w:t>预防为主、综合治理”贯穿到了生产的全过程；是否严格履行各自安全岗位职责情况等。</w:t>
      </w:r>
    </w:p>
    <w:p w14:paraId="0F5DDC34">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4.管理因素排查的重点内容包括</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安全责任制建立及落实情况；日常安全管理情况（重点驾驶员、安全管理制度执行情况、车辆、驾驶员档案、安全责任书签订情况）；开展安全生产自查自纠情况等。</w:t>
      </w:r>
    </w:p>
    <w:p w14:paraId="64292F49">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5.驾驶员、设备操作员排查的重点内容包括</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驾驶资质；操作人员从业资格；驾驶员的资格是否与所驾车型相符，驾驶员参加安全学习和培训及持证上岗情况；设备操作员操作的规范性；人员的安全意识和身体心理状态；驾驶的交通违法；违章操作等违法行为和教育处理情况等。</w:t>
      </w:r>
    </w:p>
    <w:p w14:paraId="31BC3A0A">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6.隐患排查的重点内容包括</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车辆和生产设备的安全技术检验和维护以及例行检查情况；车辆保险情况；应急设备和车辆安全警示标志等；行车记录仪及行驶轨迹是否齐全有效等。</w:t>
      </w:r>
    </w:p>
    <w:p w14:paraId="6E6AE491">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7.环境因素排查的重点内容包括</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车辆和生产设备在特殊天气下的实施条件。</w:t>
      </w:r>
    </w:p>
    <w:p w14:paraId="0C22AFA7">
      <w:pPr>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rPr>
      </w:pPr>
      <w:bookmarkStart w:id="219" w:name="_Toc10325"/>
      <w:bookmarkStart w:id="220" w:name="_Toc4750"/>
      <w:bookmarkStart w:id="221" w:name="_Toc10784"/>
      <w:bookmarkStart w:id="222" w:name="_Toc239"/>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隐患登记与建档</w:t>
      </w:r>
      <w:bookmarkEnd w:id="219"/>
      <w:bookmarkEnd w:id="220"/>
      <w:bookmarkEnd w:id="221"/>
      <w:bookmarkEnd w:id="222"/>
    </w:p>
    <w:p w14:paraId="48D52D6B">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1.应对排查出的事故隐患进行认真、如实、准确</w:t>
      </w:r>
      <w:r>
        <w:rPr>
          <w:rFonts w:hint="eastAsia" w:ascii="仿宋_GB2312" w:hAnsi="仿宋_GB2312" w:eastAsia="仿宋_GB2312" w:cs="仿宋_GB2312"/>
          <w:color w:val="auto"/>
          <w:sz w:val="32"/>
          <w:szCs w:val="32"/>
          <w:highlight w:val="none"/>
          <w:lang w:eastAsia="zh-CN"/>
        </w:rPr>
        <w:t>地</w:t>
      </w:r>
      <w:r>
        <w:rPr>
          <w:rFonts w:hint="eastAsia" w:ascii="仿宋_GB2312" w:hAnsi="仿宋_GB2312" w:eastAsia="仿宋_GB2312" w:cs="仿宋_GB2312"/>
          <w:color w:val="auto"/>
          <w:sz w:val="32"/>
          <w:szCs w:val="32"/>
          <w:highlight w:val="none"/>
        </w:rPr>
        <w:t>登记，</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建立安全隐患排查治理档案。</w:t>
      </w:r>
    </w:p>
    <w:p w14:paraId="0EBCCCB8">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2.档案应包括以下内容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隐患排查治理日期；隐患排查的具体部位或场所；发现事故隐患的数量、类别和具体情况；事故隐患治理意见；</w:t>
      </w:r>
      <w:r>
        <w:rPr>
          <w:rFonts w:hint="eastAsia" w:ascii="仿宋_GB2312" w:hAnsi="仿宋_GB2312" w:eastAsia="仿宋_GB2312" w:cs="仿宋_GB2312"/>
          <w:color w:val="auto"/>
          <w:sz w:val="32"/>
          <w:szCs w:val="32"/>
          <w:highlight w:val="none"/>
          <w:lang w:eastAsia="zh-CN"/>
        </w:rPr>
        <w:t>参与</w:t>
      </w:r>
      <w:r>
        <w:rPr>
          <w:rFonts w:hint="eastAsia" w:ascii="仿宋_GB2312" w:hAnsi="仿宋_GB2312" w:eastAsia="仿宋_GB2312" w:cs="仿宋_GB2312"/>
          <w:color w:val="auto"/>
          <w:sz w:val="32"/>
          <w:szCs w:val="32"/>
          <w:highlight w:val="none"/>
        </w:rPr>
        <w:t>隐患排查治理的人员及其签字；事故隐患治理情况、复查情况、复查时间、复查人员及其签字。</w:t>
      </w:r>
    </w:p>
    <w:p w14:paraId="36415CC7">
      <w:pPr>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highlight w:val="none"/>
        </w:rPr>
      </w:pPr>
      <w:bookmarkStart w:id="223" w:name="_Toc3692"/>
      <w:bookmarkStart w:id="224" w:name="_Toc3681"/>
      <w:bookmarkStart w:id="225" w:name="_Toc22502"/>
      <w:bookmarkStart w:id="226" w:name="_Toc14309"/>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隐患整改与治理</w:t>
      </w:r>
      <w:bookmarkEnd w:id="223"/>
      <w:bookmarkEnd w:id="224"/>
      <w:bookmarkEnd w:id="225"/>
      <w:bookmarkEnd w:id="226"/>
    </w:p>
    <w:p w14:paraId="1F5D61BA">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1.一般隐患是指导致事故的可能性和危害性较小，能够立即整改排除的隐患。</w:t>
      </w:r>
    </w:p>
    <w:p w14:paraId="21CD4587">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2.重大事故隐患是指导致事故的可能性和危害性较大，应当局部或全部停止作业，经过专项治理方可解除的隐患。</w:t>
      </w:r>
    </w:p>
    <w:p w14:paraId="236E34A8">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3.对于能够立即整改的一般安全隐患，应立即组织整改；对于不能立即整改的安全隐患，应组织制定安全隐患治理方案，依据方案及时进行整改，确保在限期内完成整改任务。</w:t>
      </w:r>
    </w:p>
    <w:p w14:paraId="1255E0D4">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4.对</w:t>
      </w:r>
      <w:r>
        <w:rPr>
          <w:rFonts w:hint="eastAsia" w:ascii="仿宋_GB2312" w:hAnsi="仿宋_GB2312" w:eastAsia="仿宋_GB2312" w:cs="仿宋_GB2312"/>
          <w:color w:val="auto"/>
          <w:sz w:val="32"/>
          <w:szCs w:val="32"/>
          <w:highlight w:val="none"/>
          <w:lang w:val="en-US" w:eastAsia="zh-CN"/>
        </w:rPr>
        <w:t>新型集体林场</w:t>
      </w:r>
      <w:r>
        <w:rPr>
          <w:rFonts w:hint="eastAsia" w:ascii="仿宋_GB2312" w:hAnsi="仿宋_GB2312" w:eastAsia="仿宋_GB2312" w:cs="仿宋_GB2312"/>
          <w:color w:val="auto"/>
          <w:sz w:val="32"/>
          <w:szCs w:val="32"/>
          <w:highlight w:val="none"/>
        </w:rPr>
        <w:t>不能解决的重大安全隐患，应立即向上级有关部门报告，依据有关规定进行整改。并要制定防范措施，落实责任人，加强监管，做好记录。</w:t>
      </w:r>
    </w:p>
    <w:p w14:paraId="00097EED">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5.对排查出的安全隐患应及时进行整改或治理，</w:t>
      </w:r>
      <w:r>
        <w:rPr>
          <w:rFonts w:hint="eastAsia" w:ascii="仿宋_GB2312" w:hAnsi="仿宋_GB2312" w:eastAsia="仿宋_GB2312" w:cs="仿宋_GB2312"/>
          <w:color w:val="auto"/>
          <w:sz w:val="32"/>
          <w:szCs w:val="32"/>
          <w:highlight w:val="none"/>
          <w:lang w:eastAsia="zh-CN"/>
        </w:rPr>
        <w:t>切</w:t>
      </w:r>
      <w:r>
        <w:rPr>
          <w:rFonts w:hint="eastAsia" w:ascii="仿宋_GB2312" w:hAnsi="仿宋_GB2312" w:eastAsia="仿宋_GB2312" w:cs="仿宋_GB2312"/>
          <w:color w:val="auto"/>
          <w:sz w:val="32"/>
          <w:szCs w:val="32"/>
          <w:highlight w:val="none"/>
        </w:rPr>
        <w:t>实做到整改</w:t>
      </w:r>
      <w:r>
        <w:rPr>
          <w:rFonts w:hint="eastAsia" w:ascii="仿宋_GB2312" w:hAnsi="仿宋_GB2312" w:eastAsia="仿宋_GB2312" w:cs="仿宋_GB2312"/>
          <w:color w:val="auto"/>
          <w:spacing w:val="-6"/>
          <w:sz w:val="32"/>
          <w:szCs w:val="32"/>
          <w:highlight w:val="none"/>
        </w:rPr>
        <w:t>措施、责任、资金、时限和预案“五落实”，及时消除事故隐患。</w:t>
      </w:r>
    </w:p>
    <w:p w14:paraId="5AE03EDB">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6.隐患治理方案的主要内容包括</w:t>
      </w:r>
      <w:r>
        <w:rPr>
          <w:rFonts w:hint="eastAsia" w:ascii="仿宋_GB2312" w:hAnsi="仿宋_GB2312" w:eastAsia="仿宋_GB2312" w:cs="仿宋_GB2312"/>
          <w:color w:val="auto"/>
          <w:sz w:val="32"/>
          <w:szCs w:val="32"/>
          <w:highlight w:val="none"/>
          <w:lang w:eastAsia="zh-CN"/>
        </w:rPr>
        <w:t>：</w:t>
      </w:r>
    </w:p>
    <w:p w14:paraId="56EA1A07">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治理的目标任务；</w:t>
      </w:r>
    </w:p>
    <w:p w14:paraId="75D934B6">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采取的方法和措施；</w:t>
      </w:r>
    </w:p>
    <w:p w14:paraId="0E644DD6">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经费和物资的落实；</w:t>
      </w:r>
    </w:p>
    <w:p w14:paraId="67321912">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负责治理的机构和人员；</w:t>
      </w:r>
    </w:p>
    <w:p w14:paraId="5BC999C0">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治理的时限和要求；</w:t>
      </w:r>
    </w:p>
    <w:p w14:paraId="7F17C937">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安全防范措施和应急预案。</w:t>
      </w:r>
    </w:p>
    <w:p w14:paraId="5CB0F274">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7.新型集体林场各部门应将每月、每季、每年对本部门事故隐患排查治理情况进行统计，分析隐患形成的原因、特点及规律，建立事故隐患排查治理长效机制。</w:t>
      </w:r>
    </w:p>
    <w:p w14:paraId="4308BCC1">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pacing w:val="-6"/>
          <w:sz w:val="32"/>
          <w:szCs w:val="32"/>
          <w:highlight w:val="none"/>
        </w:rPr>
        <w:t>各部门应当积极配合有关部门的监督检查人员的依法检查。</w:t>
      </w:r>
    </w:p>
    <w:p w14:paraId="6F755DD9">
      <w:pPr>
        <w:keepNext/>
        <w:keepLines/>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outlineLvl w:val="1"/>
        <w:rPr>
          <w:rFonts w:hint="eastAsia" w:ascii="楷体_GB2312" w:hAnsi="楷体_GB2312" w:eastAsia="楷体_GB2312" w:cs="楷体_GB2312"/>
          <w:b/>
          <w:color w:val="auto"/>
          <w:kern w:val="2"/>
          <w:sz w:val="32"/>
          <w:szCs w:val="32"/>
          <w:highlight w:val="none"/>
          <w:lang w:val="en-US" w:eastAsia="zh-CN" w:bidi="ar-SA"/>
        </w:rPr>
      </w:pPr>
      <w:bookmarkStart w:id="227" w:name="_Toc102"/>
      <w:r>
        <w:rPr>
          <w:rFonts w:hint="eastAsia" w:ascii="楷体_GB2312" w:hAnsi="楷体_GB2312" w:eastAsia="楷体_GB2312" w:cs="楷体_GB2312"/>
          <w:b/>
          <w:color w:val="auto"/>
          <w:kern w:val="2"/>
          <w:sz w:val="32"/>
          <w:szCs w:val="32"/>
          <w:highlight w:val="none"/>
          <w:lang w:val="en-US" w:eastAsia="zh-CN" w:bidi="ar-SA"/>
        </w:rPr>
        <w:t>（五）“三资”管理制度</w:t>
      </w:r>
      <w:bookmarkEnd w:id="227"/>
      <w:r>
        <w:rPr>
          <w:rFonts w:hint="eastAsia" w:ascii="楷体_GB2312" w:hAnsi="楷体_GB2312" w:eastAsia="楷体_GB2312" w:cs="楷体_GB2312"/>
          <w:b/>
          <w:color w:val="auto"/>
          <w:kern w:val="2"/>
          <w:sz w:val="32"/>
          <w:szCs w:val="32"/>
          <w:highlight w:val="none"/>
          <w:lang w:val="en-US" w:eastAsia="zh-CN" w:bidi="ar-SA"/>
        </w:rPr>
        <w:t>模板</w:t>
      </w:r>
    </w:p>
    <w:p w14:paraId="023242A4">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第一章 总  则</w:t>
      </w:r>
    </w:p>
    <w:p w14:paraId="4D03681C">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第一条 为进一步规范新型集体林场资金、资产、资源（以下简称“三资”）管理，维护集体经济组织的合法权益，促进集体经济发展和社会稳定，根据</w:t>
      </w:r>
      <w:r>
        <w:rPr>
          <w:rFonts w:hint="eastAsia" w:ascii="仿宋_GB2312" w:hAnsi="仿宋_GB2312" w:eastAsia="仿宋_GB2312" w:cs="仿宋_GB2312"/>
          <w:color w:val="auto"/>
          <w:sz w:val="32"/>
          <w:szCs w:val="32"/>
          <w:highlight w:val="none"/>
          <w:u w:val="none"/>
          <w:lang w:eastAsia="zh-CN"/>
        </w:rPr>
        <w:t>《北京市农村集体资产管理条例》</w:t>
      </w:r>
      <w:r>
        <w:rPr>
          <w:rFonts w:hint="eastAsia" w:ascii="仿宋_GB2312" w:hAnsi="仿宋_GB2312" w:eastAsia="仿宋_GB2312" w:cs="仿宋_GB2312"/>
          <w:color w:val="auto"/>
          <w:sz w:val="32"/>
          <w:szCs w:val="32"/>
          <w:highlight w:val="none"/>
        </w:rPr>
        <w:t>等文件精神，坚持民主、公开、成员受益的原则，结合</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新型集体林场实际，制定本细则。</w:t>
      </w:r>
    </w:p>
    <w:p w14:paraId="77535F40">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第二条 适用对象。本制度适用于</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新型集体林场。</w:t>
      </w:r>
    </w:p>
    <w:p w14:paraId="268D4151">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第三条 新型集体林场“三资”范围。本制度所指的新型集体林场资金是指</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林场所有的货币资金，包括现金、银行</w:t>
      </w:r>
      <w:r>
        <w:rPr>
          <w:rFonts w:hint="eastAsia" w:ascii="仿宋_GB2312" w:hAnsi="仿宋_GB2312" w:eastAsia="仿宋_GB2312" w:cs="仿宋_GB2312"/>
          <w:color w:val="auto"/>
          <w:sz w:val="32"/>
          <w:szCs w:val="32"/>
          <w:highlight w:val="none"/>
          <w:lang w:val="en-US" w:eastAsia="zh-CN"/>
        </w:rPr>
        <w:t>余额</w:t>
      </w:r>
      <w:r>
        <w:rPr>
          <w:rFonts w:hint="eastAsia" w:ascii="仿宋_GB2312" w:hAnsi="仿宋_GB2312" w:eastAsia="仿宋_GB2312" w:cs="仿宋_GB2312"/>
          <w:color w:val="auto"/>
          <w:sz w:val="32"/>
          <w:szCs w:val="32"/>
          <w:highlight w:val="none"/>
        </w:rPr>
        <w:t>等。</w:t>
      </w:r>
    </w:p>
    <w:p w14:paraId="32F0B105">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新型集体林场资产是指</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林场所有的经营性资产和非经营性资产，包括固定资产、库存物资、存货及无形资产等。</w:t>
      </w:r>
    </w:p>
    <w:p w14:paraId="0669A840">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新型集体林场资源是指</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林场所有的自然资源，包括林木、非木质资源等。</w:t>
      </w:r>
    </w:p>
    <w:p w14:paraId="7004787B">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第四条 </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林场“三资”受法律保护，任何单位和个人不得侵占、私分、平调、破坏。</w:t>
      </w:r>
    </w:p>
    <w:p w14:paraId="67F901DF">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第五条 管理责任主体。</w:t>
      </w:r>
      <w:r>
        <w:rPr>
          <w:rFonts w:hint="eastAsia" w:ascii="仿宋_GB2312" w:hAnsi="仿宋_GB2312" w:eastAsia="仿宋_GB2312" w:cs="仿宋_GB2312"/>
          <w:color w:val="auto"/>
          <w:sz w:val="32"/>
          <w:szCs w:val="32"/>
          <w:highlight w:val="none"/>
          <w:lang w:eastAsia="zh-CN"/>
        </w:rPr>
        <w:t>属地政府</w:t>
      </w:r>
      <w:r>
        <w:rPr>
          <w:rFonts w:hint="eastAsia" w:ascii="仿宋_GB2312" w:hAnsi="仿宋_GB2312" w:eastAsia="仿宋_GB2312" w:cs="仿宋_GB2312"/>
          <w:color w:val="auto"/>
          <w:sz w:val="32"/>
          <w:szCs w:val="32"/>
          <w:highlight w:val="none"/>
        </w:rPr>
        <w:t>是本辖区内</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林场“三资”的管理责任主体，要按规定设立</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林场资产</w:t>
      </w:r>
      <w:r>
        <w:rPr>
          <w:rFonts w:hint="eastAsia" w:ascii="仿宋_GB2312" w:hAnsi="仿宋_GB2312" w:eastAsia="仿宋_GB2312" w:cs="仿宋_GB2312"/>
          <w:color w:val="auto"/>
          <w:sz w:val="32"/>
          <w:szCs w:val="32"/>
          <w:highlight w:val="none"/>
          <w:lang w:val="en-US" w:eastAsia="zh-CN"/>
        </w:rPr>
        <w:t>报账</w:t>
      </w:r>
      <w:r>
        <w:rPr>
          <w:rFonts w:hint="eastAsia" w:ascii="仿宋_GB2312" w:hAnsi="仿宋_GB2312" w:eastAsia="仿宋_GB2312" w:cs="仿宋_GB2312"/>
          <w:color w:val="auto"/>
          <w:sz w:val="32"/>
          <w:szCs w:val="32"/>
          <w:highlight w:val="none"/>
        </w:rPr>
        <w:t>员，专职专岗从事</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林场资产管理工作，确保</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林场“三资”安全完整。</w:t>
      </w:r>
    </w:p>
    <w:p w14:paraId="0D9AB824">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第二章 资金管理</w:t>
      </w:r>
    </w:p>
    <w:p w14:paraId="00FF9B86">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第六条 财务预决算制度。年初按照“统筹兼顾、增收节支、量力而行、实事求是”的原则编制财务预算。</w:t>
      </w:r>
    </w:p>
    <w:p w14:paraId="50366D7A">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第七条 “非现金”结算制度。财务实行实报实销，新型集体林场的所有支出均由银行转账支付，实行“非现金”结算。</w:t>
      </w:r>
      <w:r>
        <w:rPr>
          <w:rFonts w:hint="eastAsia" w:ascii="仿宋_GB2312" w:hAnsi="仿宋_GB2312" w:eastAsia="仿宋_GB2312" w:cs="仿宋_GB2312"/>
          <w:color w:val="auto"/>
          <w:sz w:val="32"/>
          <w:szCs w:val="32"/>
          <w:highlight w:val="none"/>
          <w:lang w:val="en-US" w:eastAsia="zh-CN"/>
        </w:rPr>
        <w:t>涉及金额小于1000元的零星支出，需新型集体林场场务会批准后方可支付。</w:t>
      </w:r>
    </w:p>
    <w:p w14:paraId="393FD613">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第八条 账户管理。新型集体林场只能开设一个基本结算账户，用于办理日常转账结算和现金收付，</w:t>
      </w:r>
      <w:r>
        <w:rPr>
          <w:rFonts w:hint="eastAsia" w:ascii="仿宋_GB2312" w:hAnsi="仿宋_GB2312" w:eastAsia="仿宋_GB2312" w:cs="仿宋_GB2312"/>
          <w:color w:val="auto"/>
          <w:sz w:val="32"/>
          <w:szCs w:val="32"/>
          <w:highlight w:val="none"/>
          <w:lang w:val="en-US" w:eastAsia="zh-CN"/>
        </w:rPr>
        <w:t>平原生态林养护专项资金可开立专用存款账户，对财政专项资金进行专户核算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严禁多头开户。</w:t>
      </w:r>
    </w:p>
    <w:p w14:paraId="4DF7E665">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rPr>
        <w:t>条 资金存放和管理。不准公款私存、不准保留账外公款、不准坐支现金、不准挪用公款、不准未批先报。</w:t>
      </w:r>
    </w:p>
    <w:p w14:paraId="4B6E0E2A">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第十条 非生产性支出。严格执行新型集体林场公务活动“零招待”制度。新型集体林场的公务出差交通费从严控制、伙食费定额补助、住宿费限额报销。除重大突发性事件、突击性任务等特殊情况外，不得租用车辆，使用自备车辆的，按照公共交通工具标准报销。市区范围内一律不得报销餐费和住宿费，市外住宿和就餐标准参照机关工作人员差旅费管理规定，超过标准的，一律由本人承担；严格控制外出学习考察，严禁借学习考察名义变相旅游。确需外出学习考察的，需经</w:t>
      </w:r>
      <w:r>
        <w:rPr>
          <w:rFonts w:hint="eastAsia" w:ascii="仿宋_GB2312" w:hAnsi="仿宋_GB2312" w:eastAsia="仿宋_GB2312" w:cs="仿宋_GB2312"/>
          <w:color w:val="auto"/>
          <w:sz w:val="32"/>
          <w:szCs w:val="32"/>
          <w:highlight w:val="none"/>
          <w:lang w:eastAsia="zh-CN"/>
        </w:rPr>
        <w:t>属地政府</w:t>
      </w:r>
      <w:r>
        <w:rPr>
          <w:rFonts w:hint="eastAsia" w:ascii="仿宋_GB2312" w:hAnsi="仿宋_GB2312" w:eastAsia="仿宋_GB2312" w:cs="仿宋_GB2312"/>
          <w:color w:val="auto"/>
          <w:sz w:val="32"/>
          <w:szCs w:val="32"/>
          <w:highlight w:val="none"/>
        </w:rPr>
        <w:t>研究批准后方可实施。上级部门组织的学习、培训、考察，凭通知按规定标准报销费用并入账，新型集体林场个人参加学历进修，费用自理；任何单位和个人不得强制新型集体林场捐款捐助或者向新型集体林场摊派；不得用集体资金购买贺年卡、挂历、年历等物品和登播祝贺性、拜年性广告；严格实行报刊订阅“限额”制；不得以党日活动经费、过节费、通讯费等名义向党员发放钱物；节俭安排文化娱乐活动，严禁以集体资金支付高消费演出和活动。活动经费预算需事前报乡镇审查同意。</w:t>
      </w:r>
    </w:p>
    <w:p w14:paraId="50B303C4">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借贷管理</w:t>
      </w:r>
      <w:r>
        <w:rPr>
          <w:rFonts w:hint="eastAsia" w:ascii="仿宋_GB2312" w:hAnsi="仿宋_GB2312" w:eastAsia="仿宋_GB2312" w:cs="仿宋_GB2312"/>
          <w:color w:val="auto"/>
          <w:sz w:val="32"/>
          <w:szCs w:val="32"/>
          <w:highlight w:val="none"/>
        </w:rPr>
        <w:t>。严禁新型集体林场以其经营管理的国有或集体资产为抵押申请贷款</w:t>
      </w:r>
      <w:r>
        <w:rPr>
          <w:rFonts w:hint="eastAsia" w:ascii="仿宋_GB2312" w:hAnsi="仿宋_GB2312" w:eastAsia="仿宋_GB2312" w:cs="仿宋_GB2312"/>
          <w:color w:val="auto"/>
          <w:sz w:val="32"/>
          <w:szCs w:val="32"/>
          <w:highlight w:val="none"/>
          <w:lang w:eastAsia="zh-CN"/>
        </w:rPr>
        <w:t>。</w:t>
      </w:r>
    </w:p>
    <w:p w14:paraId="3EAA71E1">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条 严禁新型集体林场组织以任何名义为其他单位和个人借款提供担保；严禁高息借款；严禁以牺牲集体利益作为条件</w:t>
      </w:r>
      <w:r>
        <w:rPr>
          <w:rFonts w:hint="eastAsia" w:ascii="仿宋_GB2312" w:hAnsi="仿宋_GB2312" w:eastAsia="仿宋_GB2312" w:cs="仿宋_GB2312"/>
          <w:color w:val="auto"/>
          <w:spacing w:val="-6"/>
          <w:sz w:val="32"/>
          <w:szCs w:val="32"/>
          <w:highlight w:val="none"/>
        </w:rPr>
        <w:t>向私人借款；严禁举债用于乡镇级办公支出和其他非生产性支出。</w:t>
      </w:r>
    </w:p>
    <w:p w14:paraId="039AFAD6">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228" w:name="_Toc14763"/>
      <w:bookmarkStart w:id="229" w:name="_Toc11284"/>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第三章 资产管理</w:t>
      </w:r>
      <w:bookmarkEnd w:id="228"/>
      <w:bookmarkEnd w:id="229"/>
    </w:p>
    <w:p w14:paraId="2533E0E6">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条 固定资产登记。新型集体林场应当实行固定资产“纸质+电子”双登记制度，由新型集体林场设立资产报账员负责。如实登记资产存量及变动情况、资产发包及租赁情况、工程项目建设情况，做到更新及时、资产明晰、账实相符，并及时在</w:t>
      </w:r>
      <w:r>
        <w:rPr>
          <w:rFonts w:hint="eastAsia" w:ascii="仿宋_GB2312" w:hAnsi="仿宋_GB2312" w:eastAsia="仿宋_GB2312" w:cs="仿宋_GB2312"/>
          <w:color w:val="auto"/>
          <w:sz w:val="32"/>
          <w:szCs w:val="32"/>
          <w:highlight w:val="none"/>
          <w:lang w:val="en-US" w:eastAsia="zh-CN"/>
        </w:rPr>
        <w:t>新型集体林场</w:t>
      </w:r>
      <w:r>
        <w:rPr>
          <w:rFonts w:hint="eastAsia" w:ascii="仿宋_GB2312" w:hAnsi="仿宋_GB2312" w:eastAsia="仿宋_GB2312" w:cs="仿宋_GB2312"/>
          <w:color w:val="auto"/>
          <w:sz w:val="32"/>
          <w:szCs w:val="32"/>
          <w:highlight w:val="none"/>
        </w:rPr>
        <w:t>公开栏内公示公开。</w:t>
      </w:r>
    </w:p>
    <w:p w14:paraId="3D99B959">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条 固定资产折旧。新型集体林场要建立健全固定资产折旧制度，按规定提取折旧费。</w:t>
      </w:r>
    </w:p>
    <w:p w14:paraId="43D70A00">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条 固定资产清查。新型集体林场应实行固定资产清查制度。</w:t>
      </w:r>
      <w:r>
        <w:rPr>
          <w:rFonts w:hint="eastAsia" w:ascii="仿宋_GB2312" w:hAnsi="仿宋_GB2312" w:eastAsia="仿宋_GB2312" w:cs="仿宋_GB2312"/>
          <w:color w:val="auto"/>
          <w:sz w:val="32"/>
          <w:szCs w:val="32"/>
          <w:highlight w:val="none"/>
          <w:lang w:val="en-US" w:eastAsia="zh-CN"/>
        </w:rPr>
        <w:t>每半年</w:t>
      </w:r>
      <w:r>
        <w:rPr>
          <w:rFonts w:hint="eastAsia" w:ascii="仿宋_GB2312" w:hAnsi="仿宋_GB2312" w:eastAsia="仿宋_GB2312" w:cs="仿宋_GB2312"/>
          <w:color w:val="auto"/>
          <w:sz w:val="32"/>
          <w:szCs w:val="32"/>
          <w:highlight w:val="none"/>
        </w:rPr>
        <w:t>进行一次全面的盘点清查，对于盘盈的固定资产，按同类设备的市价入账；盘亏及毁损的固定资产，1万元以下的，由</w:t>
      </w:r>
      <w:r>
        <w:rPr>
          <w:rFonts w:hint="eastAsia" w:ascii="仿宋_GB2312" w:hAnsi="仿宋_GB2312" w:eastAsia="仿宋_GB2312" w:cs="仿宋_GB2312"/>
          <w:color w:val="auto"/>
          <w:sz w:val="32"/>
          <w:szCs w:val="32"/>
          <w:highlight w:val="none"/>
          <w:lang w:val="en-US" w:eastAsia="zh-CN"/>
        </w:rPr>
        <w:t>新型集体</w:t>
      </w:r>
      <w:r>
        <w:rPr>
          <w:rFonts w:hint="eastAsia" w:ascii="仿宋_GB2312" w:hAnsi="仿宋_GB2312" w:eastAsia="仿宋_GB2312" w:cs="仿宋_GB2312"/>
          <w:color w:val="auto"/>
          <w:sz w:val="32"/>
          <w:szCs w:val="32"/>
          <w:highlight w:val="none"/>
        </w:rPr>
        <w:t>林场召开场务会议研究处理；1万元及以上的，需经乡镇会议通过和乡镇备案后，方可核销调账。</w:t>
      </w:r>
    </w:p>
    <w:p w14:paraId="22ACDCDB">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十六</w:t>
      </w:r>
      <w:r>
        <w:rPr>
          <w:rFonts w:hint="eastAsia" w:ascii="仿宋_GB2312" w:hAnsi="仿宋_GB2312" w:eastAsia="仿宋_GB2312" w:cs="仿宋_GB2312"/>
          <w:color w:val="auto"/>
          <w:sz w:val="32"/>
          <w:szCs w:val="32"/>
          <w:highlight w:val="none"/>
        </w:rPr>
        <w:t>条 固定资产报废。因年限过长、功能丧失或严重损坏的固定资产可申请报废。固定资产报废需经新型集体林场会议通过，新型集体林场负责人签字并加盖公章，</w:t>
      </w:r>
      <w:r>
        <w:rPr>
          <w:rFonts w:hint="eastAsia" w:ascii="仿宋_GB2312" w:hAnsi="仿宋_GB2312" w:eastAsia="仿宋_GB2312" w:cs="仿宋_GB2312"/>
          <w:color w:val="auto"/>
          <w:sz w:val="32"/>
          <w:szCs w:val="32"/>
          <w:highlight w:val="none"/>
          <w:lang w:val="en-US" w:eastAsia="zh-CN"/>
        </w:rPr>
        <w:t>经属地党委会批准后方可报废</w:t>
      </w:r>
      <w:r>
        <w:rPr>
          <w:rFonts w:hint="eastAsia" w:ascii="仿宋_GB2312" w:hAnsi="仿宋_GB2312" w:eastAsia="仿宋_GB2312" w:cs="仿宋_GB2312"/>
          <w:color w:val="auto"/>
          <w:sz w:val="32"/>
          <w:szCs w:val="32"/>
          <w:highlight w:val="none"/>
        </w:rPr>
        <w:t>。报废后的固定资产可折价转让给可利用的单位或个人，并做好账务处理。</w:t>
      </w:r>
    </w:p>
    <w:p w14:paraId="7EC54D7B">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230" w:name="_Toc11016"/>
      <w:bookmarkStart w:id="231" w:name="_Toc18924"/>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第四章 资源管理</w:t>
      </w:r>
      <w:bookmarkEnd w:id="230"/>
      <w:bookmarkEnd w:id="231"/>
    </w:p>
    <w:p w14:paraId="4C5FE4A1">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十七</w:t>
      </w:r>
      <w:r>
        <w:rPr>
          <w:rFonts w:hint="eastAsia" w:ascii="仿宋_GB2312" w:hAnsi="仿宋_GB2312" w:eastAsia="仿宋_GB2312" w:cs="仿宋_GB2312"/>
          <w:color w:val="auto"/>
          <w:sz w:val="32"/>
          <w:szCs w:val="32"/>
          <w:highlight w:val="none"/>
        </w:rPr>
        <w:t>条 集体资源登记。新型集体林场应当对其所</w:t>
      </w:r>
      <w:r>
        <w:rPr>
          <w:rFonts w:hint="eastAsia" w:ascii="仿宋_GB2312" w:hAnsi="仿宋_GB2312" w:eastAsia="仿宋_GB2312" w:cs="仿宋_GB2312"/>
          <w:color w:val="auto"/>
          <w:sz w:val="32"/>
          <w:szCs w:val="32"/>
          <w:highlight w:val="none"/>
          <w:lang w:val="en-US" w:eastAsia="zh-CN"/>
        </w:rPr>
        <w:t>经营</w:t>
      </w:r>
      <w:r>
        <w:rPr>
          <w:rFonts w:hint="eastAsia" w:ascii="仿宋_GB2312" w:hAnsi="仿宋_GB2312" w:eastAsia="仿宋_GB2312" w:cs="仿宋_GB2312"/>
          <w:color w:val="auto"/>
          <w:sz w:val="32"/>
          <w:szCs w:val="32"/>
          <w:highlight w:val="none"/>
        </w:rPr>
        <w:t>的林地、林木等资源，分类建立集体资源登记簿，详细记载名称、位置、面积、开发利用等情况信息。</w:t>
      </w:r>
    </w:p>
    <w:p w14:paraId="373D01AF">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新型集体林场应明确资源产权界限，避免产权不清。</w:t>
      </w:r>
    </w:p>
    <w:p w14:paraId="0C92F2BD">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十八</w:t>
      </w:r>
      <w:r>
        <w:rPr>
          <w:rFonts w:hint="eastAsia" w:ascii="仿宋_GB2312" w:hAnsi="仿宋_GB2312" w:eastAsia="仿宋_GB2312" w:cs="仿宋_GB2312"/>
          <w:color w:val="auto"/>
          <w:sz w:val="32"/>
          <w:szCs w:val="32"/>
          <w:highlight w:val="none"/>
        </w:rPr>
        <w:t>条 集体资源</w:t>
      </w:r>
      <w:r>
        <w:rPr>
          <w:rFonts w:hint="eastAsia" w:ascii="仿宋_GB2312" w:hAnsi="仿宋_GB2312" w:eastAsia="仿宋_GB2312" w:cs="仿宋_GB2312"/>
          <w:color w:val="auto"/>
          <w:sz w:val="32"/>
          <w:szCs w:val="32"/>
          <w:highlight w:val="none"/>
          <w:lang w:val="en-US" w:eastAsia="zh-CN"/>
        </w:rPr>
        <w:t>红线</w:t>
      </w:r>
      <w:r>
        <w:rPr>
          <w:rFonts w:hint="eastAsia" w:ascii="仿宋_GB2312" w:hAnsi="仿宋_GB2312" w:eastAsia="仿宋_GB2312" w:cs="仿宋_GB2312"/>
          <w:color w:val="auto"/>
          <w:sz w:val="32"/>
          <w:szCs w:val="32"/>
          <w:highlight w:val="none"/>
        </w:rPr>
        <w:t>清查。新型集体林场应当定期对资源红线进行清查核实，对侵占毁林情况的发生，应及时制止，并恢复原状；对新型集体林场以任何形式刻意隐瞒、变相侵占林地的行为，新型集体林场场长负主要责任，属地政府主要领导负领导责任，</w:t>
      </w:r>
      <w:r>
        <w:rPr>
          <w:rFonts w:hint="eastAsia" w:ascii="仿宋_GB2312" w:hAnsi="仿宋_GB2312" w:eastAsia="仿宋_GB2312" w:cs="仿宋_GB2312"/>
          <w:color w:val="auto"/>
          <w:sz w:val="32"/>
          <w:szCs w:val="32"/>
          <w:highlight w:val="none"/>
          <w:lang w:val="en-US" w:eastAsia="zh-CN"/>
        </w:rPr>
        <w:t>向相关执法部门移交问题线索。</w:t>
      </w:r>
    </w:p>
    <w:p w14:paraId="33D46F97">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十九</w:t>
      </w:r>
      <w:r>
        <w:rPr>
          <w:rFonts w:hint="eastAsia" w:ascii="仿宋_GB2312" w:hAnsi="仿宋_GB2312" w:eastAsia="仿宋_GB2312" w:cs="仿宋_GB2312"/>
          <w:color w:val="auto"/>
          <w:sz w:val="32"/>
          <w:szCs w:val="32"/>
          <w:highlight w:val="none"/>
        </w:rPr>
        <w:t>条 资源开发和利用。新型集体林场的资源的开发和利用，必须制定资源开发方案，在不破坏原生地被，不影响林木生长，报乡镇审核，通过后方可施行。</w:t>
      </w:r>
    </w:p>
    <w:p w14:paraId="43E950E0">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新型集体林场应依法保护平原生态林，合理开发利用其他自然资源。</w:t>
      </w:r>
    </w:p>
    <w:p w14:paraId="354164AC">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第二十条 林木资源的处置。林木资源属于国有资产，为保证国有资产不流失，林木资源处理应依法合理出售，经属地党委会批准后方可实施。</w:t>
      </w:r>
    </w:p>
    <w:p w14:paraId="33ECF3DB">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232" w:name="_Toc29077"/>
      <w:bookmarkStart w:id="233" w:name="_Toc23601"/>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第五章 公开与监督</w:t>
      </w:r>
      <w:bookmarkEnd w:id="232"/>
      <w:bookmarkEnd w:id="233"/>
    </w:p>
    <w:p w14:paraId="4387826A">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二十一</w:t>
      </w:r>
      <w:r>
        <w:rPr>
          <w:rFonts w:hint="eastAsia" w:ascii="仿宋_GB2312" w:hAnsi="仿宋_GB2312" w:eastAsia="仿宋_GB2312" w:cs="仿宋_GB2312"/>
          <w:color w:val="auto"/>
          <w:sz w:val="32"/>
          <w:szCs w:val="32"/>
          <w:highlight w:val="none"/>
        </w:rPr>
        <w:t>条 公开内容与时间。应当公开的新型集体林场“三资”管理情况包括：</w:t>
      </w:r>
    </w:p>
    <w:p w14:paraId="735690A2">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（一）新型集体林场的日常性财务收支等情况，每月公开；</w:t>
      </w:r>
    </w:p>
    <w:p w14:paraId="5D508B43">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pacing w:val="-6"/>
          <w:sz w:val="32"/>
          <w:szCs w:val="32"/>
          <w:highlight w:val="none"/>
        </w:rPr>
        <w:t>集体资产、资源、债权、债务等情况，每年清查后公开；</w:t>
      </w:r>
    </w:p>
    <w:p w14:paraId="000B1303">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（三）年度财务计划、收益分配等情况按实际</w:t>
      </w:r>
      <w:r>
        <w:rPr>
          <w:rFonts w:hint="eastAsia" w:ascii="仿宋_GB2312" w:hAnsi="仿宋_GB2312" w:eastAsia="仿宋_GB2312" w:cs="仿宋_GB2312"/>
          <w:color w:val="auto"/>
          <w:sz w:val="32"/>
          <w:szCs w:val="32"/>
          <w:highlight w:val="none"/>
          <w:lang w:eastAsia="zh-CN"/>
        </w:rPr>
        <w:t>实</w:t>
      </w:r>
      <w:r>
        <w:rPr>
          <w:rFonts w:hint="eastAsia" w:ascii="仿宋_GB2312" w:hAnsi="仿宋_GB2312" w:eastAsia="仿宋_GB2312" w:cs="仿宋_GB2312"/>
          <w:color w:val="auto"/>
          <w:sz w:val="32"/>
          <w:szCs w:val="32"/>
          <w:highlight w:val="none"/>
        </w:rPr>
        <w:t>时公开；</w:t>
      </w:r>
    </w:p>
    <w:p w14:paraId="2E91E40E">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（四）招投标、合同订立、履行和变更情况以及新型集体林场所得收益的使用情况按实际</w:t>
      </w:r>
      <w:r>
        <w:rPr>
          <w:rFonts w:hint="eastAsia" w:ascii="仿宋_GB2312" w:hAnsi="仿宋_GB2312" w:eastAsia="仿宋_GB2312" w:cs="仿宋_GB2312"/>
          <w:color w:val="auto"/>
          <w:sz w:val="32"/>
          <w:szCs w:val="32"/>
          <w:highlight w:val="none"/>
          <w:lang w:eastAsia="zh-CN"/>
        </w:rPr>
        <w:t>实</w:t>
      </w:r>
      <w:r>
        <w:rPr>
          <w:rFonts w:hint="eastAsia" w:ascii="仿宋_GB2312" w:hAnsi="仿宋_GB2312" w:eastAsia="仿宋_GB2312" w:cs="仿宋_GB2312"/>
          <w:color w:val="auto"/>
          <w:sz w:val="32"/>
          <w:szCs w:val="32"/>
          <w:highlight w:val="none"/>
        </w:rPr>
        <w:t>时公开；</w:t>
      </w:r>
    </w:p>
    <w:p w14:paraId="57F924F7">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（五）经济合同订立、养护经费、林下经济收益等按实际</w:t>
      </w:r>
      <w:r>
        <w:rPr>
          <w:rFonts w:hint="eastAsia" w:ascii="仿宋_GB2312" w:hAnsi="仿宋_GB2312" w:eastAsia="仿宋_GB2312" w:cs="仿宋_GB2312"/>
          <w:color w:val="auto"/>
          <w:sz w:val="32"/>
          <w:szCs w:val="32"/>
          <w:highlight w:val="none"/>
          <w:lang w:eastAsia="zh-CN"/>
        </w:rPr>
        <w:t>实</w:t>
      </w:r>
      <w:r>
        <w:rPr>
          <w:rFonts w:hint="eastAsia" w:ascii="仿宋_GB2312" w:hAnsi="仿宋_GB2312" w:eastAsia="仿宋_GB2312" w:cs="仿宋_GB2312"/>
          <w:color w:val="auto"/>
          <w:sz w:val="32"/>
          <w:szCs w:val="32"/>
          <w:highlight w:val="none"/>
        </w:rPr>
        <w:t>时公开</w:t>
      </w:r>
      <w:r>
        <w:rPr>
          <w:rFonts w:hint="eastAsia" w:ascii="仿宋_GB2312" w:hAnsi="仿宋_GB2312" w:eastAsia="仿宋_GB2312" w:cs="仿宋_GB2312"/>
          <w:color w:val="auto"/>
          <w:sz w:val="32"/>
          <w:szCs w:val="32"/>
          <w:highlight w:val="none"/>
          <w:lang w:eastAsia="zh-CN"/>
        </w:rPr>
        <w:t>。</w:t>
      </w:r>
    </w:p>
    <w:p w14:paraId="189FEA9C">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二十二</w:t>
      </w:r>
      <w:r>
        <w:rPr>
          <w:rFonts w:hint="eastAsia" w:ascii="仿宋_GB2312" w:hAnsi="仿宋_GB2312" w:eastAsia="仿宋_GB2312" w:cs="仿宋_GB2312"/>
          <w:color w:val="auto"/>
          <w:sz w:val="32"/>
          <w:szCs w:val="32"/>
          <w:highlight w:val="none"/>
        </w:rPr>
        <w:t>条 公开方式。定期在公开栏张贴财务收支情况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保障群众知情权和监督权。</w:t>
      </w:r>
    </w:p>
    <w:p w14:paraId="0334E64D">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二十三</w:t>
      </w:r>
      <w:r>
        <w:rPr>
          <w:rFonts w:hint="eastAsia" w:ascii="仿宋_GB2312" w:hAnsi="仿宋_GB2312" w:eastAsia="仿宋_GB2312" w:cs="仿宋_GB2312"/>
          <w:color w:val="auto"/>
          <w:sz w:val="32"/>
          <w:szCs w:val="32"/>
          <w:highlight w:val="none"/>
        </w:rPr>
        <w:t>条 民主监督。区园林绿化局牵头会同区财政局及属地政府，对新型集体林场的财务执行及其公开情况进行检查和监督。</w:t>
      </w:r>
    </w:p>
    <w:p w14:paraId="0DF6E511">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二十四</w:t>
      </w:r>
      <w:r>
        <w:rPr>
          <w:rFonts w:hint="eastAsia" w:ascii="仿宋_GB2312" w:hAnsi="仿宋_GB2312" w:eastAsia="仿宋_GB2312" w:cs="仿宋_GB2312"/>
          <w:color w:val="auto"/>
          <w:sz w:val="32"/>
          <w:szCs w:val="32"/>
          <w:highlight w:val="none"/>
        </w:rPr>
        <w:t>条 财会监督。区园林绿化局牵头会同区财政局重点围绕财务收支、养护费用拨付使用对新型集体林场每年开展财会监督检查，区审计局根据有关规定加强对新型集体林场审计工作的指导和监督。</w:t>
      </w:r>
    </w:p>
    <w:p w14:paraId="15888029">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二十五</w:t>
      </w:r>
      <w:r>
        <w:rPr>
          <w:rFonts w:hint="eastAsia" w:ascii="仿宋_GB2312" w:hAnsi="仿宋_GB2312" w:eastAsia="仿宋_GB2312" w:cs="仿宋_GB2312"/>
          <w:color w:val="auto"/>
          <w:sz w:val="32"/>
          <w:szCs w:val="32"/>
          <w:highlight w:val="none"/>
        </w:rPr>
        <w:t>条 审计（巡察）整改。对财务审计（巡察）中发现的问题，</w:t>
      </w:r>
      <w:r>
        <w:rPr>
          <w:rFonts w:hint="eastAsia" w:ascii="仿宋_GB2312" w:hAnsi="仿宋_GB2312" w:eastAsia="仿宋_GB2312" w:cs="仿宋_GB2312"/>
          <w:color w:val="auto"/>
          <w:sz w:val="32"/>
          <w:szCs w:val="32"/>
          <w:highlight w:val="none"/>
          <w:lang w:eastAsia="zh-CN"/>
        </w:rPr>
        <w:t>属地政府</w:t>
      </w:r>
      <w:r>
        <w:rPr>
          <w:rFonts w:hint="eastAsia" w:ascii="仿宋_GB2312" w:hAnsi="仿宋_GB2312" w:eastAsia="仿宋_GB2312" w:cs="仿宋_GB2312"/>
          <w:color w:val="auto"/>
          <w:sz w:val="32"/>
          <w:szCs w:val="32"/>
          <w:highlight w:val="none"/>
        </w:rPr>
        <w:t>应当督促被审计（巡察）新型集体林场根据审计（巡察）结果进行整改，并将整改情况向</w:t>
      </w:r>
      <w:r>
        <w:rPr>
          <w:rFonts w:hint="eastAsia" w:ascii="仿宋_GB2312" w:hAnsi="仿宋_GB2312" w:eastAsia="仿宋_GB2312" w:cs="仿宋_GB2312"/>
          <w:color w:val="auto"/>
          <w:sz w:val="32"/>
          <w:szCs w:val="32"/>
          <w:highlight w:val="none"/>
          <w:lang w:val="en-US" w:eastAsia="zh-CN"/>
        </w:rPr>
        <w:t>属地</w:t>
      </w:r>
      <w:r>
        <w:rPr>
          <w:rFonts w:hint="eastAsia" w:ascii="仿宋_GB2312" w:hAnsi="仿宋_GB2312" w:eastAsia="仿宋_GB2312" w:cs="仿宋_GB2312"/>
          <w:color w:val="auto"/>
          <w:sz w:val="32"/>
          <w:szCs w:val="32"/>
          <w:highlight w:val="none"/>
        </w:rPr>
        <w:t>政府、区园林绿化局报告。</w:t>
      </w:r>
    </w:p>
    <w:p w14:paraId="6282C0BC">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234" w:name="_Toc18736"/>
      <w:bookmarkStart w:id="235" w:name="_Toc13992"/>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第六章 责任追究</w:t>
      </w:r>
      <w:bookmarkEnd w:id="234"/>
      <w:bookmarkEnd w:id="235"/>
    </w:p>
    <w:p w14:paraId="57EB9F48">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二十六</w:t>
      </w:r>
      <w:r>
        <w:rPr>
          <w:rFonts w:hint="eastAsia" w:ascii="仿宋_GB2312" w:hAnsi="仿宋_GB2312" w:eastAsia="仿宋_GB2312" w:cs="仿宋_GB2312"/>
          <w:color w:val="auto"/>
          <w:sz w:val="32"/>
          <w:szCs w:val="32"/>
          <w:highlight w:val="none"/>
        </w:rPr>
        <w:t>条 新型集体林场责任。</w:t>
      </w:r>
      <w:bookmarkStart w:id="238" w:name="_GoBack"/>
      <w:r>
        <w:rPr>
          <w:rFonts w:hint="eastAsia" w:ascii="仿宋_GB2312" w:hAnsi="仿宋_GB2312" w:eastAsia="仿宋_GB2312" w:cs="仿宋_GB2312"/>
          <w:color w:val="auto"/>
          <w:sz w:val="32"/>
          <w:szCs w:val="32"/>
          <w:highlight w:val="none"/>
          <w:lang w:val="en" w:eastAsia="zh-CN"/>
        </w:rPr>
        <w:t>新型集体林场违反集体“三资”管理制度，造成“三资”重大损失的，应进行责任追究，并逐级上报问题情况。</w:t>
      </w:r>
    </w:p>
    <w:bookmarkEnd w:id="238"/>
    <w:p w14:paraId="5D54D66C">
      <w:pPr>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p>
    <w:p w14:paraId="302445F7">
      <w:pPr>
        <w:keepNext w:val="0"/>
        <w:keepLines w:val="0"/>
        <w:pageBreakBefore w:val="0"/>
        <w:widowControl/>
        <w:kinsoku/>
        <w:wordWrap/>
        <w:overflowPunct/>
        <w:topLinePunct w:val="0"/>
        <w:autoSpaceDE w:val="0"/>
        <w:autoSpaceDN w:val="0"/>
        <w:bidi w:val="0"/>
        <w:adjustRightInd w:val="0"/>
        <w:snapToGrid w:val="0"/>
        <w:spacing w:after="0" w:line="600" w:lineRule="exact"/>
        <w:ind w:firstLine="0" w:firstLineChars="0"/>
        <w:jc w:val="center"/>
        <w:textAlignment w:val="baseline"/>
        <w:outlineLvl w:val="0"/>
        <w:rPr>
          <w:rFonts w:hint="eastAsia" w:ascii="仿宋_GB2312" w:hAnsi="仿宋_GB2312" w:eastAsia="仿宋_GB2312" w:cs="仿宋_GB2312"/>
          <w:b w:val="0"/>
          <w:bCs w:val="0"/>
          <w:snapToGrid w:val="0"/>
          <w:color w:val="auto"/>
          <w:spacing w:val="-4"/>
          <w:kern w:val="0"/>
          <w:sz w:val="32"/>
          <w:szCs w:val="32"/>
          <w:highlight w:val="none"/>
          <w:lang w:val="en-US" w:eastAsia="zh-CN" w:bidi="ar-SA"/>
        </w:rPr>
      </w:pPr>
      <w:bookmarkStart w:id="236" w:name="_Toc3853"/>
      <w:bookmarkStart w:id="237" w:name="_Toc13662"/>
      <w:r>
        <w:rPr>
          <w:rFonts w:hint="eastAsia" w:ascii="仿宋_GB2312" w:hAnsi="仿宋_GB2312" w:eastAsia="仿宋_GB2312" w:cs="仿宋_GB2312"/>
          <w:b w:val="0"/>
          <w:bCs w:val="0"/>
          <w:snapToGrid w:val="0"/>
          <w:color w:val="auto"/>
          <w:spacing w:val="-4"/>
          <w:kern w:val="0"/>
          <w:sz w:val="32"/>
          <w:szCs w:val="32"/>
          <w:highlight w:val="none"/>
          <w:lang w:val="en-US" w:eastAsia="zh-CN" w:bidi="ar-SA"/>
        </w:rPr>
        <w:t>第七章 附  则</w:t>
      </w:r>
      <w:bookmarkEnd w:id="236"/>
      <w:bookmarkEnd w:id="237"/>
    </w:p>
    <w:p w14:paraId="4A013A18">
      <w:pPr>
        <w:widowControl w:val="0"/>
        <w:spacing w:after="120"/>
        <w:ind w:firstLine="640" w:firstLineChars="200"/>
        <w:jc w:val="both"/>
        <w:rPr>
          <w:rFonts w:hint="default" w:ascii="黑体" w:hAnsi="黑体" w:eastAsia="黑体" w:cs="黑体"/>
          <w:i w:val="0"/>
          <w:caps w:val="0"/>
          <w:color w:val="auto"/>
          <w:spacing w:val="0"/>
          <w:w w:val="100"/>
          <w:sz w:val="32"/>
          <w:szCs w:val="32"/>
          <w:highlight w:val="none"/>
          <w:shd w:val="clear" w:color="auto" w:fill="auto"/>
          <w:lang w:val="en-US" w:eastAsia="zh-CN"/>
        </w:rPr>
      </w:pPr>
      <w:r>
        <w:rPr>
          <w:rFonts w:hint="eastAsia" w:ascii="仿宋_GB2312" w:hAnsi="仿宋_GB2312" w:eastAsia="仿宋_GB2312" w:cs="仿宋_GB2312"/>
          <w:color w:val="auto"/>
          <w:kern w:val="2"/>
          <w:sz w:val="32"/>
          <w:szCs w:val="32"/>
          <w:highlight w:val="none"/>
          <w:lang w:val="en-US" w:eastAsia="zh-CN" w:bidi="ar-SA"/>
        </w:rPr>
        <w:t xml:space="preserve">第二十七条 </w:t>
      </w:r>
      <w:r>
        <w:rPr>
          <w:rFonts w:hint="eastAsia" w:ascii="仿宋_GB2312" w:hAnsi="仿宋_GB2312" w:eastAsia="仿宋_GB2312" w:cs="仿宋_GB2312"/>
          <w:b w:val="0"/>
          <w:bCs w:val="0"/>
          <w:color w:val="auto"/>
          <w:kern w:val="2"/>
          <w:sz w:val="32"/>
          <w:szCs w:val="32"/>
          <w:highlight w:val="none"/>
          <w:lang w:val="en-US" w:eastAsia="zh-CN" w:bidi="ar-SA"/>
        </w:rPr>
        <w:t>本制度未尽事宜，依照国家有关法律法规、规范性文件，各新型集体林场根据实际情况可另行制定。</w:t>
      </w:r>
    </w:p>
    <w:sectPr>
      <w:headerReference r:id="rId9" w:type="default"/>
      <w:footerReference r:id="rId10"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28BC9">
    <w:pPr>
      <w:widowControl w:val="0"/>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AFCA4">
                          <w:pPr>
                            <w:pStyle w:val="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B8AFCA4">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51C2C">
    <w:pPr>
      <w:widowControl w:val="0"/>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EE574">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DEEE574">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360C3">
    <w:pPr>
      <w:widowControl w:val="0"/>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5C15D">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A05C15D">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B3B33">
    <w:pPr>
      <w:widowControl w:val="0"/>
      <w:snapToGrid w:val="0"/>
      <w:jc w:val="center"/>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B86C6">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2AB86C6">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4CCFA">
    <w:pPr>
      <w:widowControl w:val="0"/>
      <w:snapToGrid w:val="0"/>
      <w:jc w:val="both"/>
      <w:rPr>
        <w:rFonts w:ascii="Calibri" w:hAnsi="Calibri" w:eastAsia="宋体" w:cs="Times New Roman"/>
        <w:kern w:val="2"/>
        <w:sz w:val="24"/>
        <w:szCs w:val="18"/>
        <w:lang w:val="en-US" w:eastAsia="zh-CN" w:bidi="ar-SA"/>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4402D">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F54402D">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- 88 -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E217F">
    <w:pPr>
      <w:widowControl w:val="0"/>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9A02C">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149A02C">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- 91 -</w:t>
                    </w:r>
                    <w:r>
                      <w:rPr>
                        <w:rFonts w:hint="eastAsia" w:ascii="宋体" w:hAnsi="宋体" w:eastAsia="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75FAC">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EC7FA">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90EC7FA">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71623">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5AFDF"/>
    <w:multiLevelType w:val="singleLevel"/>
    <w:tmpl w:val="8985AFDF"/>
    <w:lvl w:ilvl="0" w:tentative="0">
      <w:start w:val="1"/>
      <w:numFmt w:val="chineseCounting"/>
      <w:suff w:val="nothing"/>
      <w:lvlText w:val="（%1）"/>
      <w:lvlJc w:val="left"/>
      <w:rPr>
        <w:rFonts w:hint="eastAsia"/>
      </w:rPr>
    </w:lvl>
  </w:abstractNum>
  <w:abstractNum w:abstractNumId="1">
    <w:nsid w:val="EB20E01D"/>
    <w:multiLevelType w:val="singleLevel"/>
    <w:tmpl w:val="EB20E01D"/>
    <w:lvl w:ilvl="0" w:tentative="0">
      <w:start w:val="1"/>
      <w:numFmt w:val="chineseCounting"/>
      <w:suff w:val="nothing"/>
      <w:lvlText w:val="%1、"/>
      <w:lvlJc w:val="left"/>
      <w:rPr>
        <w:rFonts w:hint="eastAsia"/>
      </w:rPr>
    </w:lvl>
  </w:abstractNum>
  <w:abstractNum w:abstractNumId="2">
    <w:nsid w:val="42661DFC"/>
    <w:multiLevelType w:val="singleLevel"/>
    <w:tmpl w:val="42661DFC"/>
    <w:lvl w:ilvl="0" w:tentative="0">
      <w:start w:val="2"/>
      <w:numFmt w:val="decimal"/>
      <w:lvlText w:val="%1."/>
      <w:lvlJc w:val="left"/>
      <w:pPr>
        <w:tabs>
          <w:tab w:val="left" w:pos="312"/>
        </w:tabs>
      </w:pPr>
    </w:lvl>
  </w:abstractNum>
  <w:abstractNum w:abstractNumId="3">
    <w:nsid w:val="6879E945"/>
    <w:multiLevelType w:val="singleLevel"/>
    <w:tmpl w:val="6879E945"/>
    <w:lvl w:ilvl="0" w:tentative="0">
      <w:start w:val="1"/>
      <w:numFmt w:val="chineseCounting"/>
      <w:suff w:val="nothing"/>
      <w:lvlText w:val="（%1）"/>
      <w:lvlJc w:val="left"/>
      <w:pPr>
        <w:ind w:left="0" w:firstLine="42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MjRlMTU3ZTIyYWYxM2IwYzdmODMzZWU5ZmM2NWMifQ=="/>
  </w:docVars>
  <w:rsids>
    <w:rsidRoot w:val="00876F99"/>
    <w:rsid w:val="000033C5"/>
    <w:rsid w:val="00003FBC"/>
    <w:rsid w:val="00005653"/>
    <w:rsid w:val="00022DC7"/>
    <w:rsid w:val="00024943"/>
    <w:rsid w:val="00026F23"/>
    <w:rsid w:val="00027427"/>
    <w:rsid w:val="00031D66"/>
    <w:rsid w:val="0003364A"/>
    <w:rsid w:val="000337B4"/>
    <w:rsid w:val="00034F3C"/>
    <w:rsid w:val="000370AF"/>
    <w:rsid w:val="00044A2D"/>
    <w:rsid w:val="000527E4"/>
    <w:rsid w:val="0005325F"/>
    <w:rsid w:val="000565E2"/>
    <w:rsid w:val="00060A81"/>
    <w:rsid w:val="00061BBE"/>
    <w:rsid w:val="000627DF"/>
    <w:rsid w:val="0006422D"/>
    <w:rsid w:val="00065989"/>
    <w:rsid w:val="00070A54"/>
    <w:rsid w:val="00071847"/>
    <w:rsid w:val="00072E01"/>
    <w:rsid w:val="0007563E"/>
    <w:rsid w:val="00077AA9"/>
    <w:rsid w:val="00080FAA"/>
    <w:rsid w:val="00083A58"/>
    <w:rsid w:val="00083BB6"/>
    <w:rsid w:val="000841C2"/>
    <w:rsid w:val="00085F09"/>
    <w:rsid w:val="000861FF"/>
    <w:rsid w:val="00087D29"/>
    <w:rsid w:val="000911A0"/>
    <w:rsid w:val="000953E1"/>
    <w:rsid w:val="000959D4"/>
    <w:rsid w:val="00097116"/>
    <w:rsid w:val="000A1AAB"/>
    <w:rsid w:val="000A6730"/>
    <w:rsid w:val="000A754C"/>
    <w:rsid w:val="000A7BE6"/>
    <w:rsid w:val="000B08E3"/>
    <w:rsid w:val="000B4CB8"/>
    <w:rsid w:val="000B55FD"/>
    <w:rsid w:val="000B6F4E"/>
    <w:rsid w:val="000C1E90"/>
    <w:rsid w:val="000C3683"/>
    <w:rsid w:val="000C5B1F"/>
    <w:rsid w:val="000C5CAE"/>
    <w:rsid w:val="000C6A4B"/>
    <w:rsid w:val="000D196D"/>
    <w:rsid w:val="000D1D57"/>
    <w:rsid w:val="000D359D"/>
    <w:rsid w:val="000D36CB"/>
    <w:rsid w:val="000D5DA8"/>
    <w:rsid w:val="000D5DFB"/>
    <w:rsid w:val="000D78F4"/>
    <w:rsid w:val="000E00FC"/>
    <w:rsid w:val="000E0A90"/>
    <w:rsid w:val="000E1833"/>
    <w:rsid w:val="000E39DE"/>
    <w:rsid w:val="000E42B4"/>
    <w:rsid w:val="000E546F"/>
    <w:rsid w:val="000E69EE"/>
    <w:rsid w:val="000F2551"/>
    <w:rsid w:val="000F2C5E"/>
    <w:rsid w:val="000F3A69"/>
    <w:rsid w:val="000F4951"/>
    <w:rsid w:val="000F5411"/>
    <w:rsid w:val="000F5DB1"/>
    <w:rsid w:val="00101097"/>
    <w:rsid w:val="00101EE5"/>
    <w:rsid w:val="00102A28"/>
    <w:rsid w:val="0010593E"/>
    <w:rsid w:val="00106A02"/>
    <w:rsid w:val="00106A3F"/>
    <w:rsid w:val="00107468"/>
    <w:rsid w:val="00116A57"/>
    <w:rsid w:val="00120007"/>
    <w:rsid w:val="00120A19"/>
    <w:rsid w:val="00120CFE"/>
    <w:rsid w:val="0012127C"/>
    <w:rsid w:val="00130A9C"/>
    <w:rsid w:val="001340B9"/>
    <w:rsid w:val="00135CFC"/>
    <w:rsid w:val="0013750E"/>
    <w:rsid w:val="00137D89"/>
    <w:rsid w:val="001439D9"/>
    <w:rsid w:val="00150C06"/>
    <w:rsid w:val="0015125C"/>
    <w:rsid w:val="00153D2C"/>
    <w:rsid w:val="00160E50"/>
    <w:rsid w:val="001640E5"/>
    <w:rsid w:val="00164A5B"/>
    <w:rsid w:val="00165F74"/>
    <w:rsid w:val="0016702D"/>
    <w:rsid w:val="001739F5"/>
    <w:rsid w:val="00174A5D"/>
    <w:rsid w:val="00174A78"/>
    <w:rsid w:val="00182FDF"/>
    <w:rsid w:val="00183068"/>
    <w:rsid w:val="00183A0F"/>
    <w:rsid w:val="00186581"/>
    <w:rsid w:val="0019005F"/>
    <w:rsid w:val="00196A1A"/>
    <w:rsid w:val="001975AD"/>
    <w:rsid w:val="0019761C"/>
    <w:rsid w:val="00197877"/>
    <w:rsid w:val="001A1EB9"/>
    <w:rsid w:val="001A1FA0"/>
    <w:rsid w:val="001A2DF4"/>
    <w:rsid w:val="001A3DA9"/>
    <w:rsid w:val="001A42DE"/>
    <w:rsid w:val="001A5D96"/>
    <w:rsid w:val="001B2B3E"/>
    <w:rsid w:val="001B2D29"/>
    <w:rsid w:val="001B3199"/>
    <w:rsid w:val="001B57E6"/>
    <w:rsid w:val="001B5890"/>
    <w:rsid w:val="001B7758"/>
    <w:rsid w:val="001C098B"/>
    <w:rsid w:val="001C4465"/>
    <w:rsid w:val="001C4D0D"/>
    <w:rsid w:val="001C5ED9"/>
    <w:rsid w:val="001C64B6"/>
    <w:rsid w:val="001C7FAB"/>
    <w:rsid w:val="001D2322"/>
    <w:rsid w:val="001D7A5A"/>
    <w:rsid w:val="001E3F10"/>
    <w:rsid w:val="001E4C74"/>
    <w:rsid w:val="001E773B"/>
    <w:rsid w:val="001F33C8"/>
    <w:rsid w:val="001F40AD"/>
    <w:rsid w:val="001F50C4"/>
    <w:rsid w:val="001F675E"/>
    <w:rsid w:val="00200C44"/>
    <w:rsid w:val="002033C5"/>
    <w:rsid w:val="002041E0"/>
    <w:rsid w:val="00204382"/>
    <w:rsid w:val="00205CE6"/>
    <w:rsid w:val="00206B9A"/>
    <w:rsid w:val="002137E6"/>
    <w:rsid w:val="00214DAF"/>
    <w:rsid w:val="00215D5D"/>
    <w:rsid w:val="00216C69"/>
    <w:rsid w:val="00220D0F"/>
    <w:rsid w:val="002215CF"/>
    <w:rsid w:val="00221FEE"/>
    <w:rsid w:val="00222A50"/>
    <w:rsid w:val="00222E44"/>
    <w:rsid w:val="00223EBC"/>
    <w:rsid w:val="00224A6C"/>
    <w:rsid w:val="002255DF"/>
    <w:rsid w:val="00225C72"/>
    <w:rsid w:val="00227DBE"/>
    <w:rsid w:val="00231A37"/>
    <w:rsid w:val="00234AB9"/>
    <w:rsid w:val="00235061"/>
    <w:rsid w:val="002372EB"/>
    <w:rsid w:val="00237549"/>
    <w:rsid w:val="0024317F"/>
    <w:rsid w:val="00243FF1"/>
    <w:rsid w:val="002442EE"/>
    <w:rsid w:val="002554C9"/>
    <w:rsid w:val="00255C1A"/>
    <w:rsid w:val="00256862"/>
    <w:rsid w:val="00257F28"/>
    <w:rsid w:val="00264D07"/>
    <w:rsid w:val="00265019"/>
    <w:rsid w:val="0026529E"/>
    <w:rsid w:val="00272E4C"/>
    <w:rsid w:val="002748FF"/>
    <w:rsid w:val="00276A49"/>
    <w:rsid w:val="002801D5"/>
    <w:rsid w:val="00295460"/>
    <w:rsid w:val="002A7C9F"/>
    <w:rsid w:val="002B021F"/>
    <w:rsid w:val="002B0492"/>
    <w:rsid w:val="002B0917"/>
    <w:rsid w:val="002B19D5"/>
    <w:rsid w:val="002B6A76"/>
    <w:rsid w:val="002B6B19"/>
    <w:rsid w:val="002B785E"/>
    <w:rsid w:val="002B7F2D"/>
    <w:rsid w:val="002C70AD"/>
    <w:rsid w:val="002C7C96"/>
    <w:rsid w:val="002D0734"/>
    <w:rsid w:val="002D1E7B"/>
    <w:rsid w:val="002D1FBE"/>
    <w:rsid w:val="002D3368"/>
    <w:rsid w:val="002D6C6B"/>
    <w:rsid w:val="002E2E83"/>
    <w:rsid w:val="002E3CDF"/>
    <w:rsid w:val="002E3E00"/>
    <w:rsid w:val="002E5381"/>
    <w:rsid w:val="002F16C1"/>
    <w:rsid w:val="002F16C8"/>
    <w:rsid w:val="002F1D8B"/>
    <w:rsid w:val="002F2019"/>
    <w:rsid w:val="002F23B2"/>
    <w:rsid w:val="002F2CDB"/>
    <w:rsid w:val="002F4629"/>
    <w:rsid w:val="002F5FDC"/>
    <w:rsid w:val="0030075E"/>
    <w:rsid w:val="0030108C"/>
    <w:rsid w:val="003030B0"/>
    <w:rsid w:val="003065E8"/>
    <w:rsid w:val="0031310D"/>
    <w:rsid w:val="003148F3"/>
    <w:rsid w:val="00320538"/>
    <w:rsid w:val="00324B29"/>
    <w:rsid w:val="00324E99"/>
    <w:rsid w:val="0032534D"/>
    <w:rsid w:val="003272AA"/>
    <w:rsid w:val="00330FCD"/>
    <w:rsid w:val="0033295E"/>
    <w:rsid w:val="003337C3"/>
    <w:rsid w:val="003369A0"/>
    <w:rsid w:val="00337E53"/>
    <w:rsid w:val="0034078F"/>
    <w:rsid w:val="00342D0A"/>
    <w:rsid w:val="00342EEC"/>
    <w:rsid w:val="00343B5C"/>
    <w:rsid w:val="003459FE"/>
    <w:rsid w:val="00347CDD"/>
    <w:rsid w:val="003531BA"/>
    <w:rsid w:val="003568CD"/>
    <w:rsid w:val="00356FD9"/>
    <w:rsid w:val="0036088A"/>
    <w:rsid w:val="00361BFF"/>
    <w:rsid w:val="00362561"/>
    <w:rsid w:val="003626E2"/>
    <w:rsid w:val="00363378"/>
    <w:rsid w:val="00363F89"/>
    <w:rsid w:val="0036575D"/>
    <w:rsid w:val="00366DA5"/>
    <w:rsid w:val="00367AEA"/>
    <w:rsid w:val="00371E41"/>
    <w:rsid w:val="00371F53"/>
    <w:rsid w:val="00372E6F"/>
    <w:rsid w:val="00375EF7"/>
    <w:rsid w:val="00382684"/>
    <w:rsid w:val="003852F9"/>
    <w:rsid w:val="0038538C"/>
    <w:rsid w:val="00385BD7"/>
    <w:rsid w:val="0039002F"/>
    <w:rsid w:val="00396B85"/>
    <w:rsid w:val="00397780"/>
    <w:rsid w:val="003A1D93"/>
    <w:rsid w:val="003A4A46"/>
    <w:rsid w:val="003A5386"/>
    <w:rsid w:val="003A5BD5"/>
    <w:rsid w:val="003B5656"/>
    <w:rsid w:val="003C4198"/>
    <w:rsid w:val="003D04FD"/>
    <w:rsid w:val="003D0A81"/>
    <w:rsid w:val="003D3ABC"/>
    <w:rsid w:val="003D6B82"/>
    <w:rsid w:val="003D6BC9"/>
    <w:rsid w:val="003E7B5D"/>
    <w:rsid w:val="003F01A7"/>
    <w:rsid w:val="003F14E6"/>
    <w:rsid w:val="003F3D70"/>
    <w:rsid w:val="003F5E0B"/>
    <w:rsid w:val="003F5F12"/>
    <w:rsid w:val="00401706"/>
    <w:rsid w:val="00403176"/>
    <w:rsid w:val="00407C86"/>
    <w:rsid w:val="004100DF"/>
    <w:rsid w:val="00411074"/>
    <w:rsid w:val="00412E65"/>
    <w:rsid w:val="004131F4"/>
    <w:rsid w:val="00413C16"/>
    <w:rsid w:val="004148C4"/>
    <w:rsid w:val="0041558B"/>
    <w:rsid w:val="00423A3C"/>
    <w:rsid w:val="00424F5D"/>
    <w:rsid w:val="00425129"/>
    <w:rsid w:val="00425915"/>
    <w:rsid w:val="0042616F"/>
    <w:rsid w:val="00426D6C"/>
    <w:rsid w:val="004318FC"/>
    <w:rsid w:val="00431E3B"/>
    <w:rsid w:val="00432826"/>
    <w:rsid w:val="00433EAC"/>
    <w:rsid w:val="00436712"/>
    <w:rsid w:val="00436C7A"/>
    <w:rsid w:val="004418CE"/>
    <w:rsid w:val="0044424C"/>
    <w:rsid w:val="0044429C"/>
    <w:rsid w:val="00445E47"/>
    <w:rsid w:val="004549BF"/>
    <w:rsid w:val="00462067"/>
    <w:rsid w:val="00462695"/>
    <w:rsid w:val="00462B41"/>
    <w:rsid w:val="00464B20"/>
    <w:rsid w:val="00464B9A"/>
    <w:rsid w:val="00464EE2"/>
    <w:rsid w:val="0046532A"/>
    <w:rsid w:val="004656DD"/>
    <w:rsid w:val="004666D1"/>
    <w:rsid w:val="004666E9"/>
    <w:rsid w:val="00466C86"/>
    <w:rsid w:val="004805D3"/>
    <w:rsid w:val="0048430B"/>
    <w:rsid w:val="0048620A"/>
    <w:rsid w:val="00487203"/>
    <w:rsid w:val="004873F2"/>
    <w:rsid w:val="00497CF1"/>
    <w:rsid w:val="004A0583"/>
    <w:rsid w:val="004A1E0C"/>
    <w:rsid w:val="004A433E"/>
    <w:rsid w:val="004A48FB"/>
    <w:rsid w:val="004A6B8E"/>
    <w:rsid w:val="004A6C44"/>
    <w:rsid w:val="004A7AE4"/>
    <w:rsid w:val="004A7CBB"/>
    <w:rsid w:val="004B1DC2"/>
    <w:rsid w:val="004B5CDF"/>
    <w:rsid w:val="004B6948"/>
    <w:rsid w:val="004B7E3A"/>
    <w:rsid w:val="004C2DEF"/>
    <w:rsid w:val="004C3332"/>
    <w:rsid w:val="004C67E7"/>
    <w:rsid w:val="004D0AE6"/>
    <w:rsid w:val="004D2B36"/>
    <w:rsid w:val="004D2CF5"/>
    <w:rsid w:val="004D2E86"/>
    <w:rsid w:val="004D6A1C"/>
    <w:rsid w:val="004D7B33"/>
    <w:rsid w:val="004F1639"/>
    <w:rsid w:val="004F37B2"/>
    <w:rsid w:val="004F4ABD"/>
    <w:rsid w:val="004F5830"/>
    <w:rsid w:val="004F61A1"/>
    <w:rsid w:val="004F634E"/>
    <w:rsid w:val="004F7909"/>
    <w:rsid w:val="004F7A68"/>
    <w:rsid w:val="005006DF"/>
    <w:rsid w:val="005011B4"/>
    <w:rsid w:val="00502720"/>
    <w:rsid w:val="00503826"/>
    <w:rsid w:val="00503B08"/>
    <w:rsid w:val="005053F2"/>
    <w:rsid w:val="00511FD1"/>
    <w:rsid w:val="00512E2A"/>
    <w:rsid w:val="0051322F"/>
    <w:rsid w:val="0052596E"/>
    <w:rsid w:val="00525F2F"/>
    <w:rsid w:val="00526289"/>
    <w:rsid w:val="00531C86"/>
    <w:rsid w:val="00532770"/>
    <w:rsid w:val="005347BD"/>
    <w:rsid w:val="0053551A"/>
    <w:rsid w:val="00535976"/>
    <w:rsid w:val="00535E88"/>
    <w:rsid w:val="00535E96"/>
    <w:rsid w:val="00535EC8"/>
    <w:rsid w:val="00540A17"/>
    <w:rsid w:val="00540FDF"/>
    <w:rsid w:val="00545505"/>
    <w:rsid w:val="00546FC2"/>
    <w:rsid w:val="0055006F"/>
    <w:rsid w:val="00550F8D"/>
    <w:rsid w:val="00551E79"/>
    <w:rsid w:val="00555023"/>
    <w:rsid w:val="00555A75"/>
    <w:rsid w:val="00560A20"/>
    <w:rsid w:val="005612F0"/>
    <w:rsid w:val="00561DA0"/>
    <w:rsid w:val="00561E57"/>
    <w:rsid w:val="00563EF1"/>
    <w:rsid w:val="00564566"/>
    <w:rsid w:val="00564A5D"/>
    <w:rsid w:val="00566D65"/>
    <w:rsid w:val="005679B0"/>
    <w:rsid w:val="00570030"/>
    <w:rsid w:val="00571576"/>
    <w:rsid w:val="00573096"/>
    <w:rsid w:val="00573DA7"/>
    <w:rsid w:val="00575390"/>
    <w:rsid w:val="0058269E"/>
    <w:rsid w:val="00584B50"/>
    <w:rsid w:val="00586192"/>
    <w:rsid w:val="005870A1"/>
    <w:rsid w:val="00591DBC"/>
    <w:rsid w:val="005928F7"/>
    <w:rsid w:val="00593F8F"/>
    <w:rsid w:val="005B0651"/>
    <w:rsid w:val="005B113E"/>
    <w:rsid w:val="005B2542"/>
    <w:rsid w:val="005B4B31"/>
    <w:rsid w:val="005B788B"/>
    <w:rsid w:val="005C2BFB"/>
    <w:rsid w:val="005C44A8"/>
    <w:rsid w:val="005C7A07"/>
    <w:rsid w:val="005D176B"/>
    <w:rsid w:val="005D1F52"/>
    <w:rsid w:val="005D232B"/>
    <w:rsid w:val="005D2FAD"/>
    <w:rsid w:val="005D589C"/>
    <w:rsid w:val="005D5F11"/>
    <w:rsid w:val="005E024C"/>
    <w:rsid w:val="005E1CD0"/>
    <w:rsid w:val="005E2623"/>
    <w:rsid w:val="005E2A83"/>
    <w:rsid w:val="005E54BC"/>
    <w:rsid w:val="005E5DA8"/>
    <w:rsid w:val="005E6389"/>
    <w:rsid w:val="005F212E"/>
    <w:rsid w:val="005F28AE"/>
    <w:rsid w:val="00600B8B"/>
    <w:rsid w:val="00602401"/>
    <w:rsid w:val="006024FB"/>
    <w:rsid w:val="00603A63"/>
    <w:rsid w:val="006045F7"/>
    <w:rsid w:val="00605EB5"/>
    <w:rsid w:val="00620F2C"/>
    <w:rsid w:val="006227C2"/>
    <w:rsid w:val="00623B98"/>
    <w:rsid w:val="00625E9B"/>
    <w:rsid w:val="00625EA9"/>
    <w:rsid w:val="00630A64"/>
    <w:rsid w:val="00633FDD"/>
    <w:rsid w:val="006356AB"/>
    <w:rsid w:val="00642FD1"/>
    <w:rsid w:val="00643444"/>
    <w:rsid w:val="00647775"/>
    <w:rsid w:val="00654384"/>
    <w:rsid w:val="006558E0"/>
    <w:rsid w:val="00656AF6"/>
    <w:rsid w:val="00661161"/>
    <w:rsid w:val="006613FC"/>
    <w:rsid w:val="00664C52"/>
    <w:rsid w:val="00664D48"/>
    <w:rsid w:val="006660D9"/>
    <w:rsid w:val="00666788"/>
    <w:rsid w:val="006670D8"/>
    <w:rsid w:val="00670DB3"/>
    <w:rsid w:val="006723F8"/>
    <w:rsid w:val="0067498D"/>
    <w:rsid w:val="00674D70"/>
    <w:rsid w:val="0067504A"/>
    <w:rsid w:val="006751BA"/>
    <w:rsid w:val="0068159F"/>
    <w:rsid w:val="00682EBC"/>
    <w:rsid w:val="00684C40"/>
    <w:rsid w:val="00684C87"/>
    <w:rsid w:val="006856B3"/>
    <w:rsid w:val="006863EA"/>
    <w:rsid w:val="00693F6A"/>
    <w:rsid w:val="006951F2"/>
    <w:rsid w:val="006A431F"/>
    <w:rsid w:val="006A522C"/>
    <w:rsid w:val="006A711E"/>
    <w:rsid w:val="006A7CD8"/>
    <w:rsid w:val="006B06FE"/>
    <w:rsid w:val="006B4A03"/>
    <w:rsid w:val="006C4BB5"/>
    <w:rsid w:val="006C67E3"/>
    <w:rsid w:val="006D5498"/>
    <w:rsid w:val="006D7F28"/>
    <w:rsid w:val="006E165C"/>
    <w:rsid w:val="006E42CC"/>
    <w:rsid w:val="006E71A9"/>
    <w:rsid w:val="006E79E0"/>
    <w:rsid w:val="006F251D"/>
    <w:rsid w:val="006F2AEB"/>
    <w:rsid w:val="006F5512"/>
    <w:rsid w:val="0070217A"/>
    <w:rsid w:val="0070299A"/>
    <w:rsid w:val="00706341"/>
    <w:rsid w:val="007105CD"/>
    <w:rsid w:val="0071167C"/>
    <w:rsid w:val="00720E10"/>
    <w:rsid w:val="0072305D"/>
    <w:rsid w:val="00723DE4"/>
    <w:rsid w:val="00727B5B"/>
    <w:rsid w:val="00732E74"/>
    <w:rsid w:val="00734E26"/>
    <w:rsid w:val="007358F3"/>
    <w:rsid w:val="007401D7"/>
    <w:rsid w:val="00741594"/>
    <w:rsid w:val="00744CAB"/>
    <w:rsid w:val="00744CFD"/>
    <w:rsid w:val="0074660C"/>
    <w:rsid w:val="00746661"/>
    <w:rsid w:val="00750A8F"/>
    <w:rsid w:val="00750BD4"/>
    <w:rsid w:val="0075102B"/>
    <w:rsid w:val="0075102D"/>
    <w:rsid w:val="00754E81"/>
    <w:rsid w:val="00755008"/>
    <w:rsid w:val="0075602C"/>
    <w:rsid w:val="00756085"/>
    <w:rsid w:val="00761E12"/>
    <w:rsid w:val="00762CCE"/>
    <w:rsid w:val="00766DBB"/>
    <w:rsid w:val="00766E45"/>
    <w:rsid w:val="007801B4"/>
    <w:rsid w:val="00780F65"/>
    <w:rsid w:val="0078256D"/>
    <w:rsid w:val="00782E57"/>
    <w:rsid w:val="00783167"/>
    <w:rsid w:val="00783EDE"/>
    <w:rsid w:val="00784CED"/>
    <w:rsid w:val="00785600"/>
    <w:rsid w:val="00785F4A"/>
    <w:rsid w:val="00790423"/>
    <w:rsid w:val="00791FE5"/>
    <w:rsid w:val="007943D3"/>
    <w:rsid w:val="0079765C"/>
    <w:rsid w:val="007A00CB"/>
    <w:rsid w:val="007A491F"/>
    <w:rsid w:val="007A52EB"/>
    <w:rsid w:val="007A578D"/>
    <w:rsid w:val="007A72EF"/>
    <w:rsid w:val="007B03D6"/>
    <w:rsid w:val="007B5D72"/>
    <w:rsid w:val="007C24C4"/>
    <w:rsid w:val="007C62B9"/>
    <w:rsid w:val="007C749D"/>
    <w:rsid w:val="007D102F"/>
    <w:rsid w:val="007D13FA"/>
    <w:rsid w:val="007D16FF"/>
    <w:rsid w:val="007D2B5C"/>
    <w:rsid w:val="007D3176"/>
    <w:rsid w:val="007D56B9"/>
    <w:rsid w:val="007E40C4"/>
    <w:rsid w:val="007E53B4"/>
    <w:rsid w:val="007E66A5"/>
    <w:rsid w:val="007E7836"/>
    <w:rsid w:val="007E7CD5"/>
    <w:rsid w:val="007F64F7"/>
    <w:rsid w:val="008015C1"/>
    <w:rsid w:val="00804EAB"/>
    <w:rsid w:val="00807479"/>
    <w:rsid w:val="00812863"/>
    <w:rsid w:val="00813F8A"/>
    <w:rsid w:val="00820D1F"/>
    <w:rsid w:val="0082350D"/>
    <w:rsid w:val="00823F39"/>
    <w:rsid w:val="00825103"/>
    <w:rsid w:val="00825442"/>
    <w:rsid w:val="00826487"/>
    <w:rsid w:val="00832111"/>
    <w:rsid w:val="00832ABC"/>
    <w:rsid w:val="00833421"/>
    <w:rsid w:val="00834333"/>
    <w:rsid w:val="0083502E"/>
    <w:rsid w:val="00835858"/>
    <w:rsid w:val="00835ACA"/>
    <w:rsid w:val="00836EC3"/>
    <w:rsid w:val="00840E9E"/>
    <w:rsid w:val="00841D41"/>
    <w:rsid w:val="00843A62"/>
    <w:rsid w:val="00845B51"/>
    <w:rsid w:val="00845C9A"/>
    <w:rsid w:val="0084632B"/>
    <w:rsid w:val="00850218"/>
    <w:rsid w:val="0085326D"/>
    <w:rsid w:val="00854E4B"/>
    <w:rsid w:val="00856F05"/>
    <w:rsid w:val="00862C36"/>
    <w:rsid w:val="008737B1"/>
    <w:rsid w:val="00875CB3"/>
    <w:rsid w:val="00876F99"/>
    <w:rsid w:val="0088217E"/>
    <w:rsid w:val="00882F12"/>
    <w:rsid w:val="008849E5"/>
    <w:rsid w:val="00887D28"/>
    <w:rsid w:val="00893173"/>
    <w:rsid w:val="00896F96"/>
    <w:rsid w:val="008A13B1"/>
    <w:rsid w:val="008A1A35"/>
    <w:rsid w:val="008A47A9"/>
    <w:rsid w:val="008A50D5"/>
    <w:rsid w:val="008B197C"/>
    <w:rsid w:val="008B2943"/>
    <w:rsid w:val="008B3501"/>
    <w:rsid w:val="008B603B"/>
    <w:rsid w:val="008B7E11"/>
    <w:rsid w:val="008C545A"/>
    <w:rsid w:val="008C631D"/>
    <w:rsid w:val="008C635F"/>
    <w:rsid w:val="008C6C1D"/>
    <w:rsid w:val="008D2D95"/>
    <w:rsid w:val="008D31DB"/>
    <w:rsid w:val="008D5698"/>
    <w:rsid w:val="008E0BDE"/>
    <w:rsid w:val="008E17E6"/>
    <w:rsid w:val="008E2E86"/>
    <w:rsid w:val="008E3588"/>
    <w:rsid w:val="008F08ED"/>
    <w:rsid w:val="008F1406"/>
    <w:rsid w:val="008F1FF4"/>
    <w:rsid w:val="008F2C84"/>
    <w:rsid w:val="008F50D5"/>
    <w:rsid w:val="008F631D"/>
    <w:rsid w:val="0090085F"/>
    <w:rsid w:val="00902134"/>
    <w:rsid w:val="00902AF5"/>
    <w:rsid w:val="009035AF"/>
    <w:rsid w:val="00904205"/>
    <w:rsid w:val="00904ECD"/>
    <w:rsid w:val="00905977"/>
    <w:rsid w:val="00906414"/>
    <w:rsid w:val="0091012B"/>
    <w:rsid w:val="0091189A"/>
    <w:rsid w:val="0091334A"/>
    <w:rsid w:val="00914EE4"/>
    <w:rsid w:val="00922D6D"/>
    <w:rsid w:val="00923672"/>
    <w:rsid w:val="00926BDA"/>
    <w:rsid w:val="00927D41"/>
    <w:rsid w:val="0093073E"/>
    <w:rsid w:val="00931072"/>
    <w:rsid w:val="00931182"/>
    <w:rsid w:val="009316DA"/>
    <w:rsid w:val="00932B1F"/>
    <w:rsid w:val="00935218"/>
    <w:rsid w:val="00940AD5"/>
    <w:rsid w:val="00941BB7"/>
    <w:rsid w:val="009429BE"/>
    <w:rsid w:val="0095175E"/>
    <w:rsid w:val="00952CAE"/>
    <w:rsid w:val="00957257"/>
    <w:rsid w:val="0096279C"/>
    <w:rsid w:val="009631E8"/>
    <w:rsid w:val="009675BE"/>
    <w:rsid w:val="00970FC7"/>
    <w:rsid w:val="00972DC1"/>
    <w:rsid w:val="00974225"/>
    <w:rsid w:val="0097613B"/>
    <w:rsid w:val="00976F4F"/>
    <w:rsid w:val="00980A8E"/>
    <w:rsid w:val="00983B0C"/>
    <w:rsid w:val="00985602"/>
    <w:rsid w:val="00990752"/>
    <w:rsid w:val="009910B5"/>
    <w:rsid w:val="00991FD1"/>
    <w:rsid w:val="00994EF0"/>
    <w:rsid w:val="009969E0"/>
    <w:rsid w:val="009A0B38"/>
    <w:rsid w:val="009A1DB0"/>
    <w:rsid w:val="009A4439"/>
    <w:rsid w:val="009A54F1"/>
    <w:rsid w:val="009A555F"/>
    <w:rsid w:val="009A77CB"/>
    <w:rsid w:val="009B50D6"/>
    <w:rsid w:val="009B672D"/>
    <w:rsid w:val="009B7F4E"/>
    <w:rsid w:val="009C0820"/>
    <w:rsid w:val="009C0DD3"/>
    <w:rsid w:val="009C1F71"/>
    <w:rsid w:val="009C2CB2"/>
    <w:rsid w:val="009C4E11"/>
    <w:rsid w:val="009C6E14"/>
    <w:rsid w:val="009C7751"/>
    <w:rsid w:val="009C7764"/>
    <w:rsid w:val="009C7E7F"/>
    <w:rsid w:val="009D14F9"/>
    <w:rsid w:val="009D1506"/>
    <w:rsid w:val="009D1F55"/>
    <w:rsid w:val="009D28D7"/>
    <w:rsid w:val="009D3CD8"/>
    <w:rsid w:val="009D441E"/>
    <w:rsid w:val="009D645B"/>
    <w:rsid w:val="009E31CE"/>
    <w:rsid w:val="009E5360"/>
    <w:rsid w:val="009E57B3"/>
    <w:rsid w:val="009E62C3"/>
    <w:rsid w:val="009E7045"/>
    <w:rsid w:val="009E78C8"/>
    <w:rsid w:val="009F1BEB"/>
    <w:rsid w:val="009F5D90"/>
    <w:rsid w:val="00A0004F"/>
    <w:rsid w:val="00A016E9"/>
    <w:rsid w:val="00A03298"/>
    <w:rsid w:val="00A0654E"/>
    <w:rsid w:val="00A07428"/>
    <w:rsid w:val="00A108A6"/>
    <w:rsid w:val="00A11BFB"/>
    <w:rsid w:val="00A13365"/>
    <w:rsid w:val="00A13F49"/>
    <w:rsid w:val="00A15297"/>
    <w:rsid w:val="00A17BDC"/>
    <w:rsid w:val="00A2065B"/>
    <w:rsid w:val="00A23B2C"/>
    <w:rsid w:val="00A26418"/>
    <w:rsid w:val="00A343D4"/>
    <w:rsid w:val="00A34DB1"/>
    <w:rsid w:val="00A34DD4"/>
    <w:rsid w:val="00A416AA"/>
    <w:rsid w:val="00A42B13"/>
    <w:rsid w:val="00A44FEF"/>
    <w:rsid w:val="00A527E3"/>
    <w:rsid w:val="00A55BE0"/>
    <w:rsid w:val="00A5735F"/>
    <w:rsid w:val="00A60DF1"/>
    <w:rsid w:val="00A637CD"/>
    <w:rsid w:val="00A63C94"/>
    <w:rsid w:val="00A64B37"/>
    <w:rsid w:val="00A65C8B"/>
    <w:rsid w:val="00A73386"/>
    <w:rsid w:val="00A76C87"/>
    <w:rsid w:val="00A77554"/>
    <w:rsid w:val="00A80A8E"/>
    <w:rsid w:val="00A81AF0"/>
    <w:rsid w:val="00A829AD"/>
    <w:rsid w:val="00A82CFD"/>
    <w:rsid w:val="00A86207"/>
    <w:rsid w:val="00A906FD"/>
    <w:rsid w:val="00A90F84"/>
    <w:rsid w:val="00A939C8"/>
    <w:rsid w:val="00A93A85"/>
    <w:rsid w:val="00A96D35"/>
    <w:rsid w:val="00AB0C2B"/>
    <w:rsid w:val="00AB16E3"/>
    <w:rsid w:val="00AC1135"/>
    <w:rsid w:val="00AC1C10"/>
    <w:rsid w:val="00AC4716"/>
    <w:rsid w:val="00AD0492"/>
    <w:rsid w:val="00AD07ED"/>
    <w:rsid w:val="00AE03A5"/>
    <w:rsid w:val="00AE0FC3"/>
    <w:rsid w:val="00AE2218"/>
    <w:rsid w:val="00AE479F"/>
    <w:rsid w:val="00AE4F72"/>
    <w:rsid w:val="00AE61BF"/>
    <w:rsid w:val="00AE6332"/>
    <w:rsid w:val="00AF0601"/>
    <w:rsid w:val="00AF13D9"/>
    <w:rsid w:val="00AF3323"/>
    <w:rsid w:val="00AF3B1E"/>
    <w:rsid w:val="00AF7BE8"/>
    <w:rsid w:val="00B01381"/>
    <w:rsid w:val="00B01C02"/>
    <w:rsid w:val="00B0219F"/>
    <w:rsid w:val="00B03ADD"/>
    <w:rsid w:val="00B05B84"/>
    <w:rsid w:val="00B05FF3"/>
    <w:rsid w:val="00B0758E"/>
    <w:rsid w:val="00B13BEB"/>
    <w:rsid w:val="00B14E66"/>
    <w:rsid w:val="00B15AB8"/>
    <w:rsid w:val="00B1698C"/>
    <w:rsid w:val="00B17F50"/>
    <w:rsid w:val="00B207F3"/>
    <w:rsid w:val="00B22268"/>
    <w:rsid w:val="00B2333C"/>
    <w:rsid w:val="00B24C70"/>
    <w:rsid w:val="00B26306"/>
    <w:rsid w:val="00B30C38"/>
    <w:rsid w:val="00B36DF7"/>
    <w:rsid w:val="00B45823"/>
    <w:rsid w:val="00B50CCC"/>
    <w:rsid w:val="00B51230"/>
    <w:rsid w:val="00B51310"/>
    <w:rsid w:val="00B51D96"/>
    <w:rsid w:val="00B54BBE"/>
    <w:rsid w:val="00B550C7"/>
    <w:rsid w:val="00B55C84"/>
    <w:rsid w:val="00B6068B"/>
    <w:rsid w:val="00B6115D"/>
    <w:rsid w:val="00B628C6"/>
    <w:rsid w:val="00B63186"/>
    <w:rsid w:val="00B647A2"/>
    <w:rsid w:val="00B6616B"/>
    <w:rsid w:val="00B6700D"/>
    <w:rsid w:val="00B72F2A"/>
    <w:rsid w:val="00B7381E"/>
    <w:rsid w:val="00B7695E"/>
    <w:rsid w:val="00B80181"/>
    <w:rsid w:val="00B8169A"/>
    <w:rsid w:val="00B84B5C"/>
    <w:rsid w:val="00B85B59"/>
    <w:rsid w:val="00B867A1"/>
    <w:rsid w:val="00B91F19"/>
    <w:rsid w:val="00B93788"/>
    <w:rsid w:val="00B938EA"/>
    <w:rsid w:val="00B96CD5"/>
    <w:rsid w:val="00BA0273"/>
    <w:rsid w:val="00BA049E"/>
    <w:rsid w:val="00BA153D"/>
    <w:rsid w:val="00BA2378"/>
    <w:rsid w:val="00BA6122"/>
    <w:rsid w:val="00BA69AA"/>
    <w:rsid w:val="00BB0C95"/>
    <w:rsid w:val="00BB147F"/>
    <w:rsid w:val="00BB1847"/>
    <w:rsid w:val="00BB1FE8"/>
    <w:rsid w:val="00BB1FEB"/>
    <w:rsid w:val="00BB2107"/>
    <w:rsid w:val="00BB2148"/>
    <w:rsid w:val="00BB2BEA"/>
    <w:rsid w:val="00BB5963"/>
    <w:rsid w:val="00BB5B84"/>
    <w:rsid w:val="00BB7CDA"/>
    <w:rsid w:val="00BC13D3"/>
    <w:rsid w:val="00BC14F2"/>
    <w:rsid w:val="00BC17C2"/>
    <w:rsid w:val="00BC23F4"/>
    <w:rsid w:val="00BC7C41"/>
    <w:rsid w:val="00BD350D"/>
    <w:rsid w:val="00BD4C8B"/>
    <w:rsid w:val="00BD4C99"/>
    <w:rsid w:val="00BD5F82"/>
    <w:rsid w:val="00BD7A0D"/>
    <w:rsid w:val="00BD7FC5"/>
    <w:rsid w:val="00BE5FF8"/>
    <w:rsid w:val="00BE648D"/>
    <w:rsid w:val="00BF72AC"/>
    <w:rsid w:val="00C078EB"/>
    <w:rsid w:val="00C079BB"/>
    <w:rsid w:val="00C10677"/>
    <w:rsid w:val="00C112C3"/>
    <w:rsid w:val="00C1555A"/>
    <w:rsid w:val="00C1685E"/>
    <w:rsid w:val="00C16F0C"/>
    <w:rsid w:val="00C17C6C"/>
    <w:rsid w:val="00C23261"/>
    <w:rsid w:val="00C353EF"/>
    <w:rsid w:val="00C3632D"/>
    <w:rsid w:val="00C36EC8"/>
    <w:rsid w:val="00C40C2B"/>
    <w:rsid w:val="00C418F6"/>
    <w:rsid w:val="00C4231F"/>
    <w:rsid w:val="00C432FF"/>
    <w:rsid w:val="00C45B57"/>
    <w:rsid w:val="00C51EFC"/>
    <w:rsid w:val="00C524AC"/>
    <w:rsid w:val="00C60F5A"/>
    <w:rsid w:val="00C61AE0"/>
    <w:rsid w:val="00C61BA3"/>
    <w:rsid w:val="00C61FBF"/>
    <w:rsid w:val="00C65035"/>
    <w:rsid w:val="00C65E6C"/>
    <w:rsid w:val="00C70885"/>
    <w:rsid w:val="00C73566"/>
    <w:rsid w:val="00C7443A"/>
    <w:rsid w:val="00C75634"/>
    <w:rsid w:val="00C761B5"/>
    <w:rsid w:val="00C77BF0"/>
    <w:rsid w:val="00C87D0B"/>
    <w:rsid w:val="00CA4806"/>
    <w:rsid w:val="00CA5B66"/>
    <w:rsid w:val="00CA61C3"/>
    <w:rsid w:val="00CB11CC"/>
    <w:rsid w:val="00CB5ADC"/>
    <w:rsid w:val="00CC06D6"/>
    <w:rsid w:val="00CC0F60"/>
    <w:rsid w:val="00CC3C99"/>
    <w:rsid w:val="00CD24C6"/>
    <w:rsid w:val="00CD490E"/>
    <w:rsid w:val="00CD4F65"/>
    <w:rsid w:val="00CD53C4"/>
    <w:rsid w:val="00CD76AA"/>
    <w:rsid w:val="00CE24A2"/>
    <w:rsid w:val="00CE24D2"/>
    <w:rsid w:val="00CE3D3A"/>
    <w:rsid w:val="00CF26DD"/>
    <w:rsid w:val="00CF5617"/>
    <w:rsid w:val="00CF7449"/>
    <w:rsid w:val="00D0139F"/>
    <w:rsid w:val="00D07670"/>
    <w:rsid w:val="00D079CE"/>
    <w:rsid w:val="00D1042B"/>
    <w:rsid w:val="00D10449"/>
    <w:rsid w:val="00D11AA6"/>
    <w:rsid w:val="00D11E97"/>
    <w:rsid w:val="00D11EEE"/>
    <w:rsid w:val="00D122CD"/>
    <w:rsid w:val="00D12FF0"/>
    <w:rsid w:val="00D1667A"/>
    <w:rsid w:val="00D17B66"/>
    <w:rsid w:val="00D26A1D"/>
    <w:rsid w:val="00D3072F"/>
    <w:rsid w:val="00D41830"/>
    <w:rsid w:val="00D41E87"/>
    <w:rsid w:val="00D42A37"/>
    <w:rsid w:val="00D47C35"/>
    <w:rsid w:val="00D511D2"/>
    <w:rsid w:val="00D5164D"/>
    <w:rsid w:val="00D6188D"/>
    <w:rsid w:val="00D61E72"/>
    <w:rsid w:val="00D62E99"/>
    <w:rsid w:val="00D64643"/>
    <w:rsid w:val="00D66D8A"/>
    <w:rsid w:val="00D704C3"/>
    <w:rsid w:val="00D70A9F"/>
    <w:rsid w:val="00D70C46"/>
    <w:rsid w:val="00D7313C"/>
    <w:rsid w:val="00D73228"/>
    <w:rsid w:val="00D73509"/>
    <w:rsid w:val="00D73902"/>
    <w:rsid w:val="00D8243D"/>
    <w:rsid w:val="00D83349"/>
    <w:rsid w:val="00D85550"/>
    <w:rsid w:val="00D85992"/>
    <w:rsid w:val="00D866F0"/>
    <w:rsid w:val="00D916D6"/>
    <w:rsid w:val="00D9371F"/>
    <w:rsid w:val="00D94DED"/>
    <w:rsid w:val="00D9658F"/>
    <w:rsid w:val="00D97CA9"/>
    <w:rsid w:val="00DA0018"/>
    <w:rsid w:val="00DA143C"/>
    <w:rsid w:val="00DA49AD"/>
    <w:rsid w:val="00DA49E7"/>
    <w:rsid w:val="00DA6279"/>
    <w:rsid w:val="00DB4373"/>
    <w:rsid w:val="00DB4481"/>
    <w:rsid w:val="00DB4600"/>
    <w:rsid w:val="00DB513E"/>
    <w:rsid w:val="00DB6C60"/>
    <w:rsid w:val="00DC2611"/>
    <w:rsid w:val="00DC5823"/>
    <w:rsid w:val="00DC5FD4"/>
    <w:rsid w:val="00DC716A"/>
    <w:rsid w:val="00DD0852"/>
    <w:rsid w:val="00DD0A5F"/>
    <w:rsid w:val="00DD1CE0"/>
    <w:rsid w:val="00DD3E5D"/>
    <w:rsid w:val="00DD7FBA"/>
    <w:rsid w:val="00DD7FF0"/>
    <w:rsid w:val="00DE0D62"/>
    <w:rsid w:val="00DE365E"/>
    <w:rsid w:val="00DE57D1"/>
    <w:rsid w:val="00DF1307"/>
    <w:rsid w:val="00E03699"/>
    <w:rsid w:val="00E12653"/>
    <w:rsid w:val="00E13791"/>
    <w:rsid w:val="00E17C09"/>
    <w:rsid w:val="00E220E8"/>
    <w:rsid w:val="00E33337"/>
    <w:rsid w:val="00E378C2"/>
    <w:rsid w:val="00E4061C"/>
    <w:rsid w:val="00E45D76"/>
    <w:rsid w:val="00E471B7"/>
    <w:rsid w:val="00E47333"/>
    <w:rsid w:val="00E50E06"/>
    <w:rsid w:val="00E518C6"/>
    <w:rsid w:val="00E55BA8"/>
    <w:rsid w:val="00E57AAF"/>
    <w:rsid w:val="00E645B4"/>
    <w:rsid w:val="00E6538B"/>
    <w:rsid w:val="00E654BB"/>
    <w:rsid w:val="00E71A79"/>
    <w:rsid w:val="00E72B20"/>
    <w:rsid w:val="00E7440F"/>
    <w:rsid w:val="00E74727"/>
    <w:rsid w:val="00E74BB9"/>
    <w:rsid w:val="00E75ADD"/>
    <w:rsid w:val="00E775DB"/>
    <w:rsid w:val="00E829D0"/>
    <w:rsid w:val="00E83E6B"/>
    <w:rsid w:val="00E87C43"/>
    <w:rsid w:val="00E92B87"/>
    <w:rsid w:val="00E95787"/>
    <w:rsid w:val="00E9719D"/>
    <w:rsid w:val="00EA0D13"/>
    <w:rsid w:val="00EA491E"/>
    <w:rsid w:val="00EA51A7"/>
    <w:rsid w:val="00EA5BDE"/>
    <w:rsid w:val="00EA5D73"/>
    <w:rsid w:val="00EB07B1"/>
    <w:rsid w:val="00EB3FA3"/>
    <w:rsid w:val="00EB4D3E"/>
    <w:rsid w:val="00EC423F"/>
    <w:rsid w:val="00ED0055"/>
    <w:rsid w:val="00ED0067"/>
    <w:rsid w:val="00ED2424"/>
    <w:rsid w:val="00ED4056"/>
    <w:rsid w:val="00ED6EA4"/>
    <w:rsid w:val="00ED7D9F"/>
    <w:rsid w:val="00EE0C02"/>
    <w:rsid w:val="00EE4465"/>
    <w:rsid w:val="00EF02F3"/>
    <w:rsid w:val="00EF1566"/>
    <w:rsid w:val="00EF29A5"/>
    <w:rsid w:val="00EF4B82"/>
    <w:rsid w:val="00EF58F8"/>
    <w:rsid w:val="00F03015"/>
    <w:rsid w:val="00F06B85"/>
    <w:rsid w:val="00F11004"/>
    <w:rsid w:val="00F1131A"/>
    <w:rsid w:val="00F113C9"/>
    <w:rsid w:val="00F119BD"/>
    <w:rsid w:val="00F159F1"/>
    <w:rsid w:val="00F26BD4"/>
    <w:rsid w:val="00F27AA8"/>
    <w:rsid w:val="00F318B7"/>
    <w:rsid w:val="00F33196"/>
    <w:rsid w:val="00F33688"/>
    <w:rsid w:val="00F375DE"/>
    <w:rsid w:val="00F41F39"/>
    <w:rsid w:val="00F431D1"/>
    <w:rsid w:val="00F45226"/>
    <w:rsid w:val="00F47A22"/>
    <w:rsid w:val="00F51088"/>
    <w:rsid w:val="00F52540"/>
    <w:rsid w:val="00F55F82"/>
    <w:rsid w:val="00F6034A"/>
    <w:rsid w:val="00F62746"/>
    <w:rsid w:val="00F62EEC"/>
    <w:rsid w:val="00F63D80"/>
    <w:rsid w:val="00F64516"/>
    <w:rsid w:val="00F65D45"/>
    <w:rsid w:val="00F70BF9"/>
    <w:rsid w:val="00F720D6"/>
    <w:rsid w:val="00F83902"/>
    <w:rsid w:val="00F8419F"/>
    <w:rsid w:val="00F85390"/>
    <w:rsid w:val="00F869F4"/>
    <w:rsid w:val="00F879C8"/>
    <w:rsid w:val="00F91356"/>
    <w:rsid w:val="00F915EF"/>
    <w:rsid w:val="00F92BD7"/>
    <w:rsid w:val="00F957C7"/>
    <w:rsid w:val="00F962A2"/>
    <w:rsid w:val="00FA008D"/>
    <w:rsid w:val="00FA1689"/>
    <w:rsid w:val="00FA243A"/>
    <w:rsid w:val="00FA27AE"/>
    <w:rsid w:val="00FA590E"/>
    <w:rsid w:val="00FB089C"/>
    <w:rsid w:val="00FB1662"/>
    <w:rsid w:val="00FB3202"/>
    <w:rsid w:val="00FB43E1"/>
    <w:rsid w:val="00FB44B1"/>
    <w:rsid w:val="00FB73D5"/>
    <w:rsid w:val="00FC0467"/>
    <w:rsid w:val="00FC1992"/>
    <w:rsid w:val="00FC30C3"/>
    <w:rsid w:val="00FC556B"/>
    <w:rsid w:val="00FC6B76"/>
    <w:rsid w:val="00FD0117"/>
    <w:rsid w:val="00FD22BD"/>
    <w:rsid w:val="00FD3DFD"/>
    <w:rsid w:val="00FD4931"/>
    <w:rsid w:val="00FD5589"/>
    <w:rsid w:val="00FE0D8A"/>
    <w:rsid w:val="00FE16A2"/>
    <w:rsid w:val="00FE2A43"/>
    <w:rsid w:val="00FE3FEA"/>
    <w:rsid w:val="00FE4C64"/>
    <w:rsid w:val="00FE6372"/>
    <w:rsid w:val="00FF41C8"/>
    <w:rsid w:val="00FF64D2"/>
    <w:rsid w:val="00FF7705"/>
    <w:rsid w:val="00FF7CBA"/>
    <w:rsid w:val="01601AF4"/>
    <w:rsid w:val="01A9153F"/>
    <w:rsid w:val="01F04525"/>
    <w:rsid w:val="02001BAF"/>
    <w:rsid w:val="020D00D1"/>
    <w:rsid w:val="022D13A2"/>
    <w:rsid w:val="02E03DE4"/>
    <w:rsid w:val="03AD5F56"/>
    <w:rsid w:val="03B77CC6"/>
    <w:rsid w:val="03D405B6"/>
    <w:rsid w:val="03DF167A"/>
    <w:rsid w:val="042E64E1"/>
    <w:rsid w:val="049C384F"/>
    <w:rsid w:val="04FA376F"/>
    <w:rsid w:val="05184551"/>
    <w:rsid w:val="05AB2B43"/>
    <w:rsid w:val="05CA68E5"/>
    <w:rsid w:val="0613465A"/>
    <w:rsid w:val="06A808C7"/>
    <w:rsid w:val="070A543F"/>
    <w:rsid w:val="072E1CDE"/>
    <w:rsid w:val="075C71C3"/>
    <w:rsid w:val="0828447A"/>
    <w:rsid w:val="08E66CC3"/>
    <w:rsid w:val="09211AA9"/>
    <w:rsid w:val="09263E73"/>
    <w:rsid w:val="093F222A"/>
    <w:rsid w:val="0AE9197D"/>
    <w:rsid w:val="0B1A47F1"/>
    <w:rsid w:val="0B7F11E4"/>
    <w:rsid w:val="0BED1382"/>
    <w:rsid w:val="0CB67610"/>
    <w:rsid w:val="0CDF0B75"/>
    <w:rsid w:val="0CE626E9"/>
    <w:rsid w:val="0D93712F"/>
    <w:rsid w:val="0DD743C7"/>
    <w:rsid w:val="0DDB7D1D"/>
    <w:rsid w:val="0DE97F2D"/>
    <w:rsid w:val="0DEE1D20"/>
    <w:rsid w:val="0E313A46"/>
    <w:rsid w:val="0E4B76B1"/>
    <w:rsid w:val="0EC817E1"/>
    <w:rsid w:val="0F4B58AE"/>
    <w:rsid w:val="0F51525F"/>
    <w:rsid w:val="0F8410F1"/>
    <w:rsid w:val="0FD71078"/>
    <w:rsid w:val="0FE94AC9"/>
    <w:rsid w:val="100E370C"/>
    <w:rsid w:val="101F4FD6"/>
    <w:rsid w:val="104753D0"/>
    <w:rsid w:val="10A00E68"/>
    <w:rsid w:val="10AA6603"/>
    <w:rsid w:val="116C10C3"/>
    <w:rsid w:val="11A47C41"/>
    <w:rsid w:val="11AD3180"/>
    <w:rsid w:val="11B93D51"/>
    <w:rsid w:val="125F0050"/>
    <w:rsid w:val="12631DAC"/>
    <w:rsid w:val="126C2F65"/>
    <w:rsid w:val="12D7692D"/>
    <w:rsid w:val="12ED1227"/>
    <w:rsid w:val="13956F89"/>
    <w:rsid w:val="13A93E69"/>
    <w:rsid w:val="13B35F66"/>
    <w:rsid w:val="13BB233A"/>
    <w:rsid w:val="13F81A22"/>
    <w:rsid w:val="14070C3A"/>
    <w:rsid w:val="141F167C"/>
    <w:rsid w:val="14574B4B"/>
    <w:rsid w:val="146D5B57"/>
    <w:rsid w:val="14AE0807"/>
    <w:rsid w:val="14CC7904"/>
    <w:rsid w:val="156C3BD0"/>
    <w:rsid w:val="15D00540"/>
    <w:rsid w:val="15D220A2"/>
    <w:rsid w:val="160749F7"/>
    <w:rsid w:val="163B222F"/>
    <w:rsid w:val="16432A0E"/>
    <w:rsid w:val="16516ED4"/>
    <w:rsid w:val="16575A75"/>
    <w:rsid w:val="1743234C"/>
    <w:rsid w:val="175E3FE1"/>
    <w:rsid w:val="18143A6E"/>
    <w:rsid w:val="189F62E9"/>
    <w:rsid w:val="18D16DE5"/>
    <w:rsid w:val="18FA1FDF"/>
    <w:rsid w:val="190A4F95"/>
    <w:rsid w:val="19252FC5"/>
    <w:rsid w:val="192837D7"/>
    <w:rsid w:val="194C0705"/>
    <w:rsid w:val="19724E33"/>
    <w:rsid w:val="19B16306"/>
    <w:rsid w:val="1A03759C"/>
    <w:rsid w:val="1A226A05"/>
    <w:rsid w:val="1A2D4254"/>
    <w:rsid w:val="1B255867"/>
    <w:rsid w:val="1BAB2ADA"/>
    <w:rsid w:val="1BDE4BDC"/>
    <w:rsid w:val="1BEC395F"/>
    <w:rsid w:val="1C032F0B"/>
    <w:rsid w:val="1CA23A29"/>
    <w:rsid w:val="1CED538E"/>
    <w:rsid w:val="1D242BA8"/>
    <w:rsid w:val="1D322287"/>
    <w:rsid w:val="1DB33E8E"/>
    <w:rsid w:val="1E612271"/>
    <w:rsid w:val="1F0056FF"/>
    <w:rsid w:val="1F3D13E5"/>
    <w:rsid w:val="1F4405A2"/>
    <w:rsid w:val="1F937AFF"/>
    <w:rsid w:val="1FB11AE1"/>
    <w:rsid w:val="1FE371F5"/>
    <w:rsid w:val="20576552"/>
    <w:rsid w:val="207B6FBC"/>
    <w:rsid w:val="208910B4"/>
    <w:rsid w:val="20D214A0"/>
    <w:rsid w:val="20ED26C9"/>
    <w:rsid w:val="2100285A"/>
    <w:rsid w:val="215150E9"/>
    <w:rsid w:val="217B3E77"/>
    <w:rsid w:val="21962EF3"/>
    <w:rsid w:val="21EE3E5F"/>
    <w:rsid w:val="22B367FF"/>
    <w:rsid w:val="22C529B8"/>
    <w:rsid w:val="24097B37"/>
    <w:rsid w:val="2429405F"/>
    <w:rsid w:val="24346182"/>
    <w:rsid w:val="251F50EE"/>
    <w:rsid w:val="255E65BB"/>
    <w:rsid w:val="255F6C1A"/>
    <w:rsid w:val="25652E0D"/>
    <w:rsid w:val="25A65352"/>
    <w:rsid w:val="26C77B55"/>
    <w:rsid w:val="275E12FB"/>
    <w:rsid w:val="27635B66"/>
    <w:rsid w:val="28081878"/>
    <w:rsid w:val="285B7111"/>
    <w:rsid w:val="28B158F5"/>
    <w:rsid w:val="28DA4074"/>
    <w:rsid w:val="291C32C5"/>
    <w:rsid w:val="291F0838"/>
    <w:rsid w:val="2A2C74BF"/>
    <w:rsid w:val="2AC56B11"/>
    <w:rsid w:val="2B815C52"/>
    <w:rsid w:val="2B8B431D"/>
    <w:rsid w:val="2BA5475E"/>
    <w:rsid w:val="2BC14913"/>
    <w:rsid w:val="2CE51CD6"/>
    <w:rsid w:val="2D93017B"/>
    <w:rsid w:val="2DE858AF"/>
    <w:rsid w:val="2E1F3CCC"/>
    <w:rsid w:val="2E241037"/>
    <w:rsid w:val="2E3D5C30"/>
    <w:rsid w:val="2EAA40B1"/>
    <w:rsid w:val="2EB0413E"/>
    <w:rsid w:val="2ED955A4"/>
    <w:rsid w:val="2F0D4585"/>
    <w:rsid w:val="2F134EAF"/>
    <w:rsid w:val="2F305098"/>
    <w:rsid w:val="2F6B2827"/>
    <w:rsid w:val="2FB73BA3"/>
    <w:rsid w:val="2FD7684B"/>
    <w:rsid w:val="309779E2"/>
    <w:rsid w:val="317E29E2"/>
    <w:rsid w:val="31C43E3D"/>
    <w:rsid w:val="31D116D5"/>
    <w:rsid w:val="31E75934"/>
    <w:rsid w:val="320C534F"/>
    <w:rsid w:val="32935CB9"/>
    <w:rsid w:val="32AC532A"/>
    <w:rsid w:val="32B5752B"/>
    <w:rsid w:val="32CF0705"/>
    <w:rsid w:val="32D85C89"/>
    <w:rsid w:val="32E700C4"/>
    <w:rsid w:val="33AA74E6"/>
    <w:rsid w:val="33E13E5B"/>
    <w:rsid w:val="33F773F6"/>
    <w:rsid w:val="34A51C16"/>
    <w:rsid w:val="34D43B4D"/>
    <w:rsid w:val="365039C3"/>
    <w:rsid w:val="368B2670"/>
    <w:rsid w:val="36A16F1E"/>
    <w:rsid w:val="36C144CA"/>
    <w:rsid w:val="36E7247E"/>
    <w:rsid w:val="370755FD"/>
    <w:rsid w:val="381325C2"/>
    <w:rsid w:val="385222F2"/>
    <w:rsid w:val="389D580D"/>
    <w:rsid w:val="38ED2DB0"/>
    <w:rsid w:val="391D521B"/>
    <w:rsid w:val="39AE2066"/>
    <w:rsid w:val="39FE01BD"/>
    <w:rsid w:val="3A1F0F6A"/>
    <w:rsid w:val="3A855466"/>
    <w:rsid w:val="3AB70F1D"/>
    <w:rsid w:val="3AC07D99"/>
    <w:rsid w:val="3AE023E7"/>
    <w:rsid w:val="3B152B6B"/>
    <w:rsid w:val="3B5F3A71"/>
    <w:rsid w:val="3B7874A7"/>
    <w:rsid w:val="3BA66606"/>
    <w:rsid w:val="3BB32F51"/>
    <w:rsid w:val="3BC10995"/>
    <w:rsid w:val="3BEB26A2"/>
    <w:rsid w:val="3C134C14"/>
    <w:rsid w:val="3C8F19B7"/>
    <w:rsid w:val="3CDA0982"/>
    <w:rsid w:val="3CFD5DE4"/>
    <w:rsid w:val="3D391FA3"/>
    <w:rsid w:val="3D496109"/>
    <w:rsid w:val="3D636F37"/>
    <w:rsid w:val="3D847687"/>
    <w:rsid w:val="3D9C468C"/>
    <w:rsid w:val="3DB457B2"/>
    <w:rsid w:val="3DC36C08"/>
    <w:rsid w:val="3DCF0F63"/>
    <w:rsid w:val="3DD54F49"/>
    <w:rsid w:val="3E433E30"/>
    <w:rsid w:val="3E7E31AB"/>
    <w:rsid w:val="3EA83556"/>
    <w:rsid w:val="3F1E5859"/>
    <w:rsid w:val="3F3E3D93"/>
    <w:rsid w:val="400C75DD"/>
    <w:rsid w:val="40BD01CF"/>
    <w:rsid w:val="40C44510"/>
    <w:rsid w:val="40FB0083"/>
    <w:rsid w:val="41662021"/>
    <w:rsid w:val="418B726E"/>
    <w:rsid w:val="41E718E7"/>
    <w:rsid w:val="429E1C7D"/>
    <w:rsid w:val="42BC1E26"/>
    <w:rsid w:val="42CD47D8"/>
    <w:rsid w:val="42D93E04"/>
    <w:rsid w:val="4350093B"/>
    <w:rsid w:val="438228DA"/>
    <w:rsid w:val="43D140FB"/>
    <w:rsid w:val="43F44A90"/>
    <w:rsid w:val="44883502"/>
    <w:rsid w:val="451D2507"/>
    <w:rsid w:val="457110FB"/>
    <w:rsid w:val="464E6D6A"/>
    <w:rsid w:val="4705537E"/>
    <w:rsid w:val="47275F84"/>
    <w:rsid w:val="47D9663A"/>
    <w:rsid w:val="489E79C5"/>
    <w:rsid w:val="4A3C0204"/>
    <w:rsid w:val="4A6843A6"/>
    <w:rsid w:val="4A7C2F5C"/>
    <w:rsid w:val="4AE55123"/>
    <w:rsid w:val="4B6C246B"/>
    <w:rsid w:val="4B751910"/>
    <w:rsid w:val="4B8E034C"/>
    <w:rsid w:val="4BF80D25"/>
    <w:rsid w:val="4C381B5C"/>
    <w:rsid w:val="4C966E9C"/>
    <w:rsid w:val="4CAC0F56"/>
    <w:rsid w:val="4D0725F1"/>
    <w:rsid w:val="4D254F14"/>
    <w:rsid w:val="4DCC4003"/>
    <w:rsid w:val="4EA00D9A"/>
    <w:rsid w:val="4EE95C0F"/>
    <w:rsid w:val="4F191542"/>
    <w:rsid w:val="4F290EB9"/>
    <w:rsid w:val="4F8E74EA"/>
    <w:rsid w:val="4FB12757"/>
    <w:rsid w:val="50A703DE"/>
    <w:rsid w:val="50C45E23"/>
    <w:rsid w:val="50E6360C"/>
    <w:rsid w:val="51316DDA"/>
    <w:rsid w:val="51E543B7"/>
    <w:rsid w:val="51F94EEE"/>
    <w:rsid w:val="52AE38BD"/>
    <w:rsid w:val="52B24D2A"/>
    <w:rsid w:val="52BF39E7"/>
    <w:rsid w:val="53924A39"/>
    <w:rsid w:val="53AB5843"/>
    <w:rsid w:val="53EE7333"/>
    <w:rsid w:val="543D3EBE"/>
    <w:rsid w:val="54A159E1"/>
    <w:rsid w:val="55387F30"/>
    <w:rsid w:val="5561087C"/>
    <w:rsid w:val="556D351E"/>
    <w:rsid w:val="55AB196C"/>
    <w:rsid w:val="562A4BAD"/>
    <w:rsid w:val="565F1BE4"/>
    <w:rsid w:val="56606A65"/>
    <w:rsid w:val="56754C24"/>
    <w:rsid w:val="570404A9"/>
    <w:rsid w:val="57B73ACF"/>
    <w:rsid w:val="57E66E5A"/>
    <w:rsid w:val="57E7040E"/>
    <w:rsid w:val="57E94677"/>
    <w:rsid w:val="5805219C"/>
    <w:rsid w:val="58233B32"/>
    <w:rsid w:val="582C1C22"/>
    <w:rsid w:val="588521A8"/>
    <w:rsid w:val="59267AE6"/>
    <w:rsid w:val="59681634"/>
    <w:rsid w:val="59920AAB"/>
    <w:rsid w:val="59EF4A5F"/>
    <w:rsid w:val="5A0943A0"/>
    <w:rsid w:val="5A1F4729"/>
    <w:rsid w:val="5A2E0D05"/>
    <w:rsid w:val="5A8040BC"/>
    <w:rsid w:val="5A965EA8"/>
    <w:rsid w:val="5AC52CE3"/>
    <w:rsid w:val="5B1526FB"/>
    <w:rsid w:val="5B157A69"/>
    <w:rsid w:val="5B1975F6"/>
    <w:rsid w:val="5B4A3601"/>
    <w:rsid w:val="5B7E24F7"/>
    <w:rsid w:val="5BFB4653"/>
    <w:rsid w:val="5C0A3783"/>
    <w:rsid w:val="5C5B32AB"/>
    <w:rsid w:val="5CAA4577"/>
    <w:rsid w:val="5CAB7C41"/>
    <w:rsid w:val="5CB85F1F"/>
    <w:rsid w:val="5D1068B6"/>
    <w:rsid w:val="5D533223"/>
    <w:rsid w:val="5D78386A"/>
    <w:rsid w:val="5DDF58B3"/>
    <w:rsid w:val="5DEF0DA1"/>
    <w:rsid w:val="5E263DA7"/>
    <w:rsid w:val="5E2C0A5E"/>
    <w:rsid w:val="5ECE5D5A"/>
    <w:rsid w:val="5F347011"/>
    <w:rsid w:val="5FFE0095"/>
    <w:rsid w:val="601744BF"/>
    <w:rsid w:val="602D0D68"/>
    <w:rsid w:val="60A816BD"/>
    <w:rsid w:val="622A78A8"/>
    <w:rsid w:val="62F60A80"/>
    <w:rsid w:val="633D7032"/>
    <w:rsid w:val="63525D5A"/>
    <w:rsid w:val="63614319"/>
    <w:rsid w:val="63BB2839"/>
    <w:rsid w:val="6419347F"/>
    <w:rsid w:val="64517CFC"/>
    <w:rsid w:val="649F1702"/>
    <w:rsid w:val="64A8537C"/>
    <w:rsid w:val="655A0258"/>
    <w:rsid w:val="65A12E8C"/>
    <w:rsid w:val="65BFA15D"/>
    <w:rsid w:val="65DC7FB3"/>
    <w:rsid w:val="66012783"/>
    <w:rsid w:val="66211423"/>
    <w:rsid w:val="66263696"/>
    <w:rsid w:val="664E1772"/>
    <w:rsid w:val="665A1905"/>
    <w:rsid w:val="669D2185"/>
    <w:rsid w:val="66FB5D03"/>
    <w:rsid w:val="670F1C64"/>
    <w:rsid w:val="6763328A"/>
    <w:rsid w:val="67800C4B"/>
    <w:rsid w:val="68015C2A"/>
    <w:rsid w:val="6853628C"/>
    <w:rsid w:val="68AA0B34"/>
    <w:rsid w:val="68E67FF6"/>
    <w:rsid w:val="6978111C"/>
    <w:rsid w:val="69F35265"/>
    <w:rsid w:val="69FA020E"/>
    <w:rsid w:val="6A1B37D3"/>
    <w:rsid w:val="6ACD728C"/>
    <w:rsid w:val="6B057C30"/>
    <w:rsid w:val="6B314C23"/>
    <w:rsid w:val="6B3628AC"/>
    <w:rsid w:val="6BE205E1"/>
    <w:rsid w:val="6BE41CD8"/>
    <w:rsid w:val="6C0B798F"/>
    <w:rsid w:val="6C212C1C"/>
    <w:rsid w:val="6C4B1595"/>
    <w:rsid w:val="6C5521FA"/>
    <w:rsid w:val="6C967F40"/>
    <w:rsid w:val="6CC57BD3"/>
    <w:rsid w:val="6CE84F3C"/>
    <w:rsid w:val="6D7868D7"/>
    <w:rsid w:val="6E2D24B9"/>
    <w:rsid w:val="6EEC5619"/>
    <w:rsid w:val="6FB30D9E"/>
    <w:rsid w:val="70F61FD6"/>
    <w:rsid w:val="718E55D3"/>
    <w:rsid w:val="72391A3F"/>
    <w:rsid w:val="72474D90"/>
    <w:rsid w:val="729660D9"/>
    <w:rsid w:val="730C1FE1"/>
    <w:rsid w:val="73597131"/>
    <w:rsid w:val="73741E9D"/>
    <w:rsid w:val="73B11546"/>
    <w:rsid w:val="73D9191F"/>
    <w:rsid w:val="74046E1C"/>
    <w:rsid w:val="74A10E3C"/>
    <w:rsid w:val="74DF44D7"/>
    <w:rsid w:val="75005F4D"/>
    <w:rsid w:val="75450EE6"/>
    <w:rsid w:val="75B90985"/>
    <w:rsid w:val="762A376C"/>
    <w:rsid w:val="767B49E5"/>
    <w:rsid w:val="76D26FF7"/>
    <w:rsid w:val="776A4084"/>
    <w:rsid w:val="777304B6"/>
    <w:rsid w:val="77731D2A"/>
    <w:rsid w:val="78297848"/>
    <w:rsid w:val="78857B38"/>
    <w:rsid w:val="78D7230F"/>
    <w:rsid w:val="79870C8D"/>
    <w:rsid w:val="79A679F4"/>
    <w:rsid w:val="79A854A8"/>
    <w:rsid w:val="79B8760A"/>
    <w:rsid w:val="79BF0FA8"/>
    <w:rsid w:val="7A0D1CA6"/>
    <w:rsid w:val="7A40546C"/>
    <w:rsid w:val="7A5F3B0A"/>
    <w:rsid w:val="7A685F25"/>
    <w:rsid w:val="7BA6454B"/>
    <w:rsid w:val="7C630436"/>
    <w:rsid w:val="7CED653D"/>
    <w:rsid w:val="7D0C1750"/>
    <w:rsid w:val="7D53452E"/>
    <w:rsid w:val="7D6B1FF2"/>
    <w:rsid w:val="7DB405A0"/>
    <w:rsid w:val="7DBBEAB6"/>
    <w:rsid w:val="7E194CEF"/>
    <w:rsid w:val="7E6258E8"/>
    <w:rsid w:val="7F7C64FF"/>
    <w:rsid w:val="7FF76A74"/>
    <w:rsid w:val="A7EF6088"/>
    <w:rsid w:val="E9FE6CEF"/>
    <w:rsid w:val="EBF7C955"/>
    <w:rsid w:val="FDFE4F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仿宋_GB2312"/>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next w:val="1"/>
    <w:unhideWhenUsed/>
    <w:qFormat/>
    <w:uiPriority w:val="99"/>
    <w:pPr>
      <w:ind w:firstLine="420" w:firstLineChars="200"/>
    </w:pPr>
  </w:style>
  <w:style w:type="paragraph" w:styleId="6">
    <w:name w:val="Body Text"/>
    <w:basedOn w:val="1"/>
    <w:qFormat/>
    <w:uiPriority w:val="0"/>
    <w:pPr>
      <w:spacing w:after="120"/>
    </w:pPr>
  </w:style>
  <w:style w:type="paragraph" w:styleId="7">
    <w:name w:val="toc 3"/>
    <w:basedOn w:val="1"/>
    <w:next w:val="1"/>
    <w:qFormat/>
    <w:uiPriority w:val="39"/>
    <w:pPr>
      <w:keepNext w:val="0"/>
      <w:keepLines w:val="0"/>
      <w:widowControl w:val="0"/>
      <w:suppressLineNumbers w:val="0"/>
      <w:spacing w:before="0" w:beforeAutospacing="0" w:after="0" w:afterAutospacing="0"/>
      <w:ind w:left="840" w:leftChars="400" w:right="0"/>
      <w:jc w:val="both"/>
    </w:pPr>
    <w:rPr>
      <w:rFonts w:hint="default" w:ascii="Calibri" w:hAnsi="Calibri" w:eastAsia="宋体" w:cs="Calibri"/>
      <w:kern w:val="2"/>
      <w:sz w:val="21"/>
      <w:szCs w:val="24"/>
      <w:lang w:val="en-US" w:eastAsia="zh-CN" w:bidi="ar"/>
    </w:rPr>
  </w:style>
  <w:style w:type="paragraph" w:styleId="8">
    <w:name w:val="Plain Text"/>
    <w:basedOn w:val="1"/>
    <w:next w:val="1"/>
    <w:qFormat/>
    <w:uiPriority w:val="99"/>
    <w:rPr>
      <w:rFonts w:ascii="宋体" w:hAnsi="Courier New" w:cs="宋体"/>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index 9"/>
    <w:basedOn w:val="1"/>
    <w:next w:val="1"/>
    <w:qFormat/>
    <w:uiPriority w:val="0"/>
    <w:pPr>
      <w:ind w:left="1600" w:leftChars="1600" w:firstLine="0"/>
    </w:pPr>
  </w:style>
  <w:style w:type="paragraph" w:styleId="13">
    <w:name w:val="toc 2"/>
    <w:basedOn w:val="1"/>
    <w:next w:val="1"/>
    <w:qFormat/>
    <w:uiPriority w:val="39"/>
    <w:pPr>
      <w:ind w:left="420" w:leftChars="200"/>
    </w:pPr>
  </w:style>
  <w:style w:type="paragraph" w:styleId="14">
    <w:name w:val="Body Text 2"/>
    <w:basedOn w:val="1"/>
    <w:unhideWhenUsed/>
    <w:qFormat/>
    <w:uiPriority w:val="0"/>
    <w:pPr>
      <w:spacing w:line="360" w:lineRule="auto"/>
      <w:ind w:firstLine="200" w:firstLineChars="200"/>
    </w:pPr>
    <w:rPr>
      <w:rFonts w:eastAsia="楷体_GB2312"/>
      <w:sz w:val="32"/>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17">
    <w:name w:val="Body Text First Indent"/>
    <w:basedOn w:val="6"/>
    <w:next w:val="18"/>
    <w:qFormat/>
    <w:uiPriority w:val="0"/>
    <w:pPr>
      <w:spacing w:beforeAutospacing="1" w:after="100" w:afterAutospacing="1"/>
      <w:ind w:left="1548" w:firstLine="420" w:firstLineChars="100"/>
    </w:pPr>
    <w:rPr>
      <w:kern w:val="0"/>
      <w:sz w:val="20"/>
      <w:szCs w:val="20"/>
    </w:rPr>
  </w:style>
  <w:style w:type="paragraph" w:styleId="18">
    <w:name w:val="Body Text First Indent 2"/>
    <w:basedOn w:val="1"/>
    <w:next w:val="1"/>
    <w:qFormat/>
    <w:uiPriority w:val="0"/>
    <w:pPr>
      <w:widowControl w:val="0"/>
      <w:spacing w:line="360" w:lineRule="auto"/>
      <w:ind w:firstLine="420" w:firstLineChars="200"/>
      <w:jc w:val="both"/>
    </w:pPr>
    <w:rPr>
      <w:rFonts w:ascii="仿宋_GB2312"/>
      <w:kern w:val="2"/>
      <w:sz w:val="21"/>
      <w:szCs w:val="32"/>
      <w:lang w:val="en-US" w:eastAsia="zh-CN" w:bidi="ar-SA"/>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paragraph" w:customStyle="1" w:styleId="23">
    <w:name w:val="Index9"/>
    <w:basedOn w:val="1"/>
    <w:next w:val="1"/>
    <w:qFormat/>
    <w:uiPriority w:val="0"/>
    <w:pPr>
      <w:ind w:left="3360"/>
    </w:pPr>
    <w:rPr>
      <w:rFonts w:ascii="Calibri" w:hAnsi="Calibri" w:eastAsia="宋体" w:cs="Times New Roman"/>
    </w:rPr>
  </w:style>
  <w:style w:type="paragraph" w:customStyle="1" w:styleId="24">
    <w:name w:val="样式1"/>
    <w:basedOn w:val="1"/>
    <w:qFormat/>
    <w:uiPriority w:val="0"/>
    <w:rPr>
      <w:rFonts w:eastAsia="仿宋_GB2312"/>
      <w:sz w:val="44"/>
      <w:szCs w:val="44"/>
    </w:rPr>
  </w:style>
  <w:style w:type="paragraph" w:customStyle="1" w:styleId="25">
    <w:name w:val="TOC Heading"/>
    <w:basedOn w:val="2"/>
    <w:next w:val="1"/>
    <w:unhideWhenUsed/>
    <w:qFormat/>
    <w:uiPriority w:val="39"/>
    <w:pPr>
      <w:widowControl/>
      <w:spacing w:before="240" w:after="0" w:line="259" w:lineRule="auto"/>
      <w:jc w:val="left"/>
      <w:outlineLvl w:val="9"/>
    </w:pPr>
    <w:rPr>
      <w:rFonts w:ascii="Cambria" w:hAnsi="Cambria" w:eastAsia="宋体" w:cs="Times New Roman"/>
      <w:b w:val="0"/>
      <w:color w:val="366091"/>
      <w:kern w:val="0"/>
      <w:sz w:val="32"/>
      <w:szCs w:val="32"/>
    </w:rPr>
  </w:style>
  <w:style w:type="paragraph" w:customStyle="1" w:styleId="26">
    <w:name w:val="Table Text"/>
    <w:basedOn w:val="1"/>
    <w:semiHidden/>
    <w:qFormat/>
    <w:uiPriority w:val="0"/>
    <w:rPr>
      <w:rFonts w:ascii="微软雅黑" w:hAnsi="微软雅黑" w:eastAsia="微软雅黑" w:cs="微软雅黑"/>
      <w:sz w:val="24"/>
      <w:lang w:eastAsia="en-US"/>
    </w:rPr>
  </w:style>
  <w:style w:type="table" w:customStyle="1" w:styleId="2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106</Pages>
  <Words>8172</Words>
  <Characters>8317</Characters>
  <Lines>30</Lines>
  <Paragraphs>8</Paragraphs>
  <TotalTime>0</TotalTime>
  <ScaleCrop>false</ScaleCrop>
  <LinksUpToDate>false</LinksUpToDate>
  <CharactersWithSpaces>8548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2021-06-04T17:21:00Z</dcterms:created>
  <dc:creator>lidaxia</dc:creator>
  <cp:lastModifiedBy>通州林业工作总站</cp:lastModifiedBy>
  <cp:lastPrinted>2025-06-08T08:25:00Z</cp:lastPrinted>
  <dcterms:modified xsi:type="dcterms:W3CDTF">2025-06-27T02:08:06Z</dcterms:modified>
  <dc:title>北京市通州区人民政府办公室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9ED2D9B467254C0A9639BFAF674D56F9_13</vt:lpwstr>
  </property>
  <property fmtid="{D5CDD505-2E9C-101B-9397-08002B2CF9AE}" pid="4" name="KSOTemplateDocerSaveRecord">
    <vt:lpwstr>eyJoZGlkIjoiY2UzNGZlMjVhNDViZDFhMjE4NmZkNTE0NjM2NmY0NTkiLCJ1c2VySWQiOiIxMTQ1OTA2MTY1In0=</vt:lpwstr>
  </property>
</Properties>
</file>