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北京市通州区农业农村局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2024年度逾期尚未支付中小企业款项  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情况的公示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</w:rPr>
        <w:t>根据《保障中小企业款项支付条例》第十六条要求，经认真梳理，现将我单位202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</w:rPr>
        <w:t>年逾期尚未支付中小企业款项情况公示如下：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</w:rPr>
        <w:t>我单位202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</w:rPr>
        <w:t>逾期尚未支付中小企业款项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特此公示。</w:t>
      </w:r>
      <w:bookmarkStart w:id="0" w:name="_GoBack"/>
      <w:bookmarkEnd w:id="0"/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北京市通州区农业农村局</w:t>
      </w: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7F7D"/>
    <w:rsid w:val="1467757E"/>
    <w:rsid w:val="2FCE4FAF"/>
    <w:rsid w:val="5BF62B69"/>
    <w:rsid w:val="698E1238"/>
    <w:rsid w:val="7D2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2023-05-24T02:54:00Z</dcterms:created>
  <dc:creator>Administrator</dc:creator>
  <cp:lastModifiedBy>Administrator</cp:lastModifiedBy>
  <cp:lastPrinted>2025-03-26T02:16:27Z</cp:lastPrinted>
  <dcterms:modified xsi:type="dcterms:W3CDTF">2025-03-26T02:16:29Z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DC0875A6D00D4F73A62E940A22FDD089</vt:lpwstr>
  </property>
</Properties>
</file>