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Lines="50" w:line="560" w:lineRule="atLeast"/>
        <w:rPr>
          <w:rFonts w:ascii="仿宋_GB2312" w:eastAsia="仿宋_GB2312"/>
          <w:color w:val="000000" w:themeColor="text1"/>
          <w:sz w:val="36"/>
          <w:szCs w:val="36"/>
        </w:rPr>
      </w:pPr>
      <w:r>
        <w:rPr>
          <w:rFonts w:hint="eastAsia" w:ascii="仿宋_GB2312" w:eastAsia="仿宋_GB2312"/>
          <w:color w:val="000000" w:themeColor="text1"/>
          <w:sz w:val="36"/>
          <w:szCs w:val="36"/>
        </w:rPr>
        <w:t>附件1：</w:t>
      </w:r>
    </w:p>
    <w:p>
      <w:pPr>
        <w:spacing w:before="156" w:afterLines="50" w:line="560" w:lineRule="atLeast"/>
        <w:jc w:val="center"/>
        <w:rPr>
          <w:rFonts w:ascii="黑体" w:eastAsia="黑体"/>
          <w:color w:val="000000" w:themeColor="text1"/>
          <w:sz w:val="44"/>
          <w:szCs w:val="44"/>
        </w:rPr>
      </w:pPr>
    </w:p>
    <w:p>
      <w:pPr>
        <w:spacing w:before="156" w:afterLines="50" w:line="560" w:lineRule="atLeast"/>
        <w:jc w:val="center"/>
        <w:rPr>
          <w:rFonts w:ascii="黑体" w:eastAsia="黑体"/>
          <w:color w:val="000000" w:themeColor="text1"/>
          <w:sz w:val="44"/>
          <w:szCs w:val="44"/>
        </w:rPr>
      </w:pPr>
    </w:p>
    <w:p>
      <w:pPr>
        <w:spacing w:before="156" w:afterLines="50" w:line="560" w:lineRule="atLeast"/>
        <w:jc w:val="center"/>
        <w:rPr>
          <w:rFonts w:ascii="黑体" w:eastAsia="黑体"/>
          <w:color w:val="000000" w:themeColor="text1"/>
          <w:sz w:val="44"/>
          <w:szCs w:val="44"/>
        </w:rPr>
      </w:pPr>
      <w:r>
        <w:rPr>
          <w:rFonts w:hint="eastAsia" w:ascii="黑体" w:eastAsia="黑体"/>
          <w:color w:val="000000" w:themeColor="text1"/>
          <w:sz w:val="44"/>
          <w:szCs w:val="44"/>
        </w:rPr>
        <w:t>北京城市副中心（通州区）“十四五”</w:t>
      </w:r>
    </w:p>
    <w:p>
      <w:pPr>
        <w:spacing w:before="156" w:afterLines="50" w:line="560" w:lineRule="atLeast"/>
        <w:jc w:val="center"/>
        <w:rPr>
          <w:rFonts w:ascii="黑体" w:eastAsia="黑体"/>
          <w:color w:val="000000" w:themeColor="text1"/>
          <w:sz w:val="44"/>
          <w:szCs w:val="44"/>
        </w:rPr>
      </w:pPr>
      <w:r>
        <w:rPr>
          <w:rFonts w:hint="eastAsia" w:ascii="黑体" w:eastAsia="黑体"/>
          <w:color w:val="000000" w:themeColor="text1"/>
          <w:sz w:val="44"/>
          <w:szCs w:val="44"/>
        </w:rPr>
        <w:t>时期人力资源和社会保障事业发展规划</w:t>
      </w:r>
    </w:p>
    <w:p>
      <w:pPr>
        <w:spacing w:afterLines="50" w:line="560" w:lineRule="atLeast"/>
        <w:rPr>
          <w:rFonts w:eastAsiaTheme="minorEastAsia"/>
          <w:color w:val="000000" w:themeColor="text1"/>
        </w:rPr>
      </w:pPr>
      <w:r>
        <w:rPr>
          <w:rFonts w:hint="eastAsia" w:eastAsiaTheme="minorEastAsia"/>
          <w:color w:val="000000" w:themeColor="text1"/>
        </w:rPr>
        <w:t xml:space="preserve">                                        </w:t>
      </w:r>
      <w:r>
        <w:rPr>
          <w:rFonts w:hint="eastAsia" w:ascii="仿宋_GB2312" w:eastAsia="仿宋_GB2312"/>
          <w:color w:val="000000" w:themeColor="text1"/>
          <w:sz w:val="36"/>
          <w:szCs w:val="36"/>
        </w:rPr>
        <w:t xml:space="preserve">   </w:t>
      </w:r>
    </w:p>
    <w:p>
      <w:pPr>
        <w:spacing w:afterLines="50" w:line="560" w:lineRule="atLeast"/>
        <w:rPr>
          <w:color w:val="000000" w:themeColor="text1"/>
        </w:rPr>
      </w:pPr>
    </w:p>
    <w:p>
      <w:pPr>
        <w:spacing w:afterLines="50" w:line="560" w:lineRule="atLeast"/>
        <w:rPr>
          <w:color w:val="000000" w:themeColor="text1"/>
        </w:rPr>
      </w:pPr>
    </w:p>
    <w:p>
      <w:pPr>
        <w:spacing w:afterLines="50" w:line="560" w:lineRule="atLeast"/>
        <w:jc w:val="center"/>
        <w:rPr>
          <w:color w:val="000000" w:themeColor="text1"/>
        </w:rPr>
      </w:pPr>
    </w:p>
    <w:p>
      <w:pPr>
        <w:spacing w:afterLines="50" w:line="560" w:lineRule="atLeast"/>
        <w:jc w:val="center"/>
        <w:rPr>
          <w:color w:val="000000" w:themeColor="text1"/>
        </w:rPr>
      </w:pPr>
    </w:p>
    <w:p>
      <w:pPr>
        <w:tabs>
          <w:tab w:val="left" w:pos="3105"/>
        </w:tabs>
        <w:spacing w:afterLines="50" w:line="560" w:lineRule="atLeast"/>
        <w:rPr>
          <w:color w:val="000000" w:themeColor="text1"/>
        </w:rPr>
      </w:pPr>
      <w:r>
        <w:rPr>
          <w:color w:val="000000" w:themeColor="text1"/>
        </w:rPr>
        <w:tab/>
      </w:r>
    </w:p>
    <w:p>
      <w:pPr>
        <w:spacing w:afterLines="50" w:line="560" w:lineRule="atLeast"/>
        <w:jc w:val="center"/>
        <w:rPr>
          <w:rFonts w:ascii="仿宋_GB2312" w:eastAsia="仿宋_GB2312"/>
          <w:color w:val="000000" w:themeColor="text1"/>
          <w:sz w:val="32"/>
          <w:szCs w:val="32"/>
        </w:rPr>
      </w:pPr>
    </w:p>
    <w:p>
      <w:pPr>
        <w:spacing w:afterLines="50" w:line="560" w:lineRule="atLeast"/>
        <w:jc w:val="center"/>
        <w:rPr>
          <w:rFonts w:ascii="仿宋_GB2312" w:eastAsia="仿宋_GB2312"/>
          <w:color w:val="000000" w:themeColor="text1"/>
          <w:sz w:val="36"/>
          <w:szCs w:val="36"/>
        </w:rPr>
      </w:pPr>
    </w:p>
    <w:p>
      <w:pPr>
        <w:spacing w:afterLines="50" w:line="560" w:lineRule="atLeast"/>
        <w:jc w:val="center"/>
        <w:rPr>
          <w:rFonts w:ascii="仿宋_GB2312" w:eastAsia="仿宋_GB2312"/>
          <w:color w:val="000000" w:themeColor="text1"/>
          <w:sz w:val="36"/>
          <w:szCs w:val="36"/>
        </w:rPr>
      </w:pPr>
    </w:p>
    <w:p>
      <w:pPr>
        <w:spacing w:afterLines="50" w:line="560" w:lineRule="atLeast"/>
        <w:jc w:val="center"/>
        <w:rPr>
          <w:rFonts w:ascii="仿宋_GB2312" w:eastAsia="仿宋_GB2312"/>
          <w:color w:val="000000" w:themeColor="text1"/>
          <w:sz w:val="36"/>
          <w:szCs w:val="36"/>
        </w:rPr>
      </w:pPr>
    </w:p>
    <w:p>
      <w:pPr>
        <w:spacing w:afterLines="50" w:line="560" w:lineRule="atLeast"/>
        <w:jc w:val="center"/>
        <w:rPr>
          <w:rFonts w:ascii="仿宋_GB2312" w:eastAsia="仿宋_GB2312"/>
          <w:color w:val="000000" w:themeColor="text1"/>
          <w:sz w:val="36"/>
          <w:szCs w:val="36"/>
        </w:rPr>
      </w:pPr>
      <w:r>
        <w:rPr>
          <w:rFonts w:hint="eastAsia" w:ascii="仿宋_GB2312" w:eastAsia="仿宋_GB2312"/>
          <w:color w:val="000000" w:themeColor="text1"/>
          <w:sz w:val="36"/>
          <w:szCs w:val="36"/>
        </w:rPr>
        <w:t>北京市通州区人力资源和社会保障局</w:t>
      </w:r>
    </w:p>
    <w:p>
      <w:pPr>
        <w:spacing w:before="156" w:afterLines="50" w:line="560" w:lineRule="atLeast"/>
        <w:jc w:val="center"/>
        <w:rPr>
          <w:rFonts w:ascii="仿宋_GB2312" w:eastAsia="仿宋_GB2312"/>
          <w:color w:val="000000" w:themeColor="text1"/>
          <w:sz w:val="36"/>
          <w:szCs w:val="36"/>
        </w:rPr>
      </w:pPr>
      <w:r>
        <w:rPr>
          <w:rFonts w:hint="eastAsia" w:ascii="仿宋_GB2312" w:eastAsia="仿宋_GB2312"/>
          <w:color w:val="000000" w:themeColor="text1"/>
          <w:sz w:val="36"/>
          <w:szCs w:val="36"/>
        </w:rPr>
        <w:t>2021年12月</w:t>
      </w:r>
    </w:p>
    <w:p>
      <w:pPr>
        <w:spacing w:before="156" w:afterLines="50" w:line="560" w:lineRule="atLeast"/>
        <w:jc w:val="center"/>
        <w:rPr>
          <w:rFonts w:ascii="仿宋_GB2312" w:eastAsia="仿宋_GB2312"/>
          <w:color w:val="000000" w:themeColor="text1"/>
          <w:sz w:val="32"/>
          <w:szCs w:val="32"/>
        </w:rPr>
      </w:pPr>
    </w:p>
    <w:p>
      <w:pPr>
        <w:spacing w:before="156" w:afterLines="50" w:line="560" w:lineRule="atLeast"/>
        <w:jc w:val="center"/>
        <w:rPr>
          <w:rFonts w:ascii="仿宋_GB2312" w:eastAsia="仿宋_GB2312"/>
          <w:color w:val="000000" w:themeColor="text1"/>
          <w:sz w:val="32"/>
          <w:szCs w:val="32"/>
        </w:rPr>
      </w:pPr>
    </w:p>
    <w:p>
      <w:pPr>
        <w:spacing w:beforeLines="50" w:afterLines="50" w:line="420" w:lineRule="exact"/>
        <w:jc w:val="center"/>
        <w:rPr>
          <w:rFonts w:ascii="仿宋_GB2312" w:eastAsia="仿宋_GB2312"/>
          <w:color w:val="000000" w:themeColor="text1"/>
          <w:sz w:val="32"/>
          <w:szCs w:val="32"/>
        </w:rPr>
      </w:pPr>
    </w:p>
    <w:p>
      <w:pPr>
        <w:spacing w:beforeLines="50" w:afterLines="50" w:line="420" w:lineRule="exact"/>
        <w:jc w:val="center"/>
        <w:rPr>
          <w:rFonts w:ascii="黑体" w:eastAsia="黑体"/>
          <w:color w:val="000000" w:themeColor="text1"/>
          <w:sz w:val="44"/>
          <w:szCs w:val="44"/>
        </w:rPr>
      </w:pPr>
      <w:r>
        <w:rPr>
          <w:rFonts w:hint="eastAsia" w:ascii="黑体" w:eastAsia="黑体"/>
          <w:color w:val="000000" w:themeColor="text1"/>
          <w:sz w:val="44"/>
          <w:szCs w:val="44"/>
        </w:rPr>
        <w:t>目     录</w:t>
      </w:r>
    </w:p>
    <w:p>
      <w:pPr>
        <w:pStyle w:val="10"/>
        <w:spacing w:line="400" w:lineRule="exact"/>
        <w:rPr>
          <w:rFonts w:eastAsiaTheme="minorEastAsia"/>
          <w:color w:val="000000" w:themeColor="text1"/>
          <w:kern w:val="2"/>
        </w:rPr>
      </w:pPr>
      <w:bookmarkStart w:id="0" w:name="_Toc40091958"/>
      <w:r>
        <w:rPr>
          <w:color w:val="000000" w:themeColor="text1"/>
        </w:rPr>
        <w:fldChar w:fldCharType="begin"/>
      </w:r>
      <w:r>
        <w:rPr>
          <w:color w:val="000000" w:themeColor="text1"/>
        </w:rPr>
        <w:instrText xml:space="preserve"> TOC \o "1-4" \h \z \u </w:instrText>
      </w:r>
      <w:r>
        <w:rPr>
          <w:color w:val="000000" w:themeColor="text1"/>
        </w:rPr>
        <w:fldChar w:fldCharType="separate"/>
      </w:r>
      <w:r>
        <w:fldChar w:fldCharType="begin"/>
      </w:r>
      <w:r>
        <w:instrText xml:space="preserve"> HYPERLINK \l "_Toc72933167" </w:instrText>
      </w:r>
      <w:r>
        <w:fldChar w:fldCharType="separate"/>
      </w:r>
      <w:r>
        <w:rPr>
          <w:rStyle w:val="18"/>
          <w:rFonts w:hint="eastAsia"/>
          <w:color w:val="000000" w:themeColor="text1"/>
        </w:rPr>
        <w:t>第一部分：发展成就</w:t>
      </w:r>
      <w:r>
        <w:rPr>
          <w:color w:val="000000" w:themeColor="text1"/>
        </w:rPr>
        <w:tab/>
      </w:r>
      <w:r>
        <w:rPr>
          <w:color w:val="000000" w:themeColor="text1"/>
        </w:rPr>
        <w:fldChar w:fldCharType="begin"/>
      </w:r>
      <w:r>
        <w:rPr>
          <w:color w:val="000000" w:themeColor="text1"/>
        </w:rPr>
        <w:instrText xml:space="preserve"> PAGEREF _Toc72933167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10"/>
        <w:spacing w:line="400" w:lineRule="exact"/>
        <w:rPr>
          <w:rFonts w:eastAsiaTheme="minorEastAsia"/>
          <w:color w:val="000000" w:themeColor="text1"/>
          <w:kern w:val="2"/>
        </w:rPr>
      </w:pPr>
      <w:r>
        <w:fldChar w:fldCharType="begin"/>
      </w:r>
      <w:r>
        <w:instrText xml:space="preserve"> HYPERLINK \l "_Toc72933168" </w:instrText>
      </w:r>
      <w:r>
        <w:fldChar w:fldCharType="separate"/>
      </w:r>
      <w:r>
        <w:rPr>
          <w:rStyle w:val="18"/>
          <w:rFonts w:hint="eastAsia"/>
          <w:color w:val="000000" w:themeColor="text1"/>
        </w:rPr>
        <w:t>第二部分：面临形势</w:t>
      </w:r>
      <w:r>
        <w:rPr>
          <w:color w:val="000000" w:themeColor="text1"/>
        </w:rPr>
        <w:tab/>
      </w:r>
      <w:r>
        <w:rPr>
          <w:color w:val="000000" w:themeColor="text1"/>
        </w:rPr>
        <w:fldChar w:fldCharType="begin"/>
      </w:r>
      <w:r>
        <w:rPr>
          <w:color w:val="000000" w:themeColor="text1"/>
        </w:rPr>
        <w:instrText xml:space="preserve"> PAGEREF _Toc72933168 \h </w:instrText>
      </w:r>
      <w:r>
        <w:rPr>
          <w:color w:val="000000" w:themeColor="text1"/>
        </w:rPr>
        <w:fldChar w:fldCharType="separate"/>
      </w:r>
      <w:r>
        <w:rPr>
          <w:color w:val="000000" w:themeColor="text1"/>
        </w:rPr>
        <w:t>8</w:t>
      </w:r>
      <w:r>
        <w:rPr>
          <w:color w:val="000000" w:themeColor="text1"/>
        </w:rPr>
        <w:fldChar w:fldCharType="end"/>
      </w:r>
      <w:r>
        <w:rPr>
          <w:color w:val="000000" w:themeColor="text1"/>
        </w:rPr>
        <w:fldChar w:fldCharType="end"/>
      </w:r>
    </w:p>
    <w:p>
      <w:pPr>
        <w:pStyle w:val="10"/>
        <w:spacing w:line="400" w:lineRule="exact"/>
        <w:rPr>
          <w:rFonts w:eastAsiaTheme="minorEastAsia"/>
          <w:color w:val="000000" w:themeColor="text1"/>
          <w:kern w:val="2"/>
        </w:rPr>
      </w:pPr>
      <w:r>
        <w:fldChar w:fldCharType="begin"/>
      </w:r>
      <w:r>
        <w:instrText xml:space="preserve"> HYPERLINK \l "_Toc72933169" </w:instrText>
      </w:r>
      <w:r>
        <w:fldChar w:fldCharType="separate"/>
      </w:r>
      <w:r>
        <w:rPr>
          <w:rStyle w:val="18"/>
          <w:rFonts w:hint="eastAsia"/>
          <w:color w:val="000000" w:themeColor="text1"/>
        </w:rPr>
        <w:t>第三部分：指导思想、发展原则</w:t>
      </w:r>
      <w:r>
        <w:rPr>
          <w:color w:val="000000" w:themeColor="text1"/>
        </w:rPr>
        <w:tab/>
      </w:r>
      <w:r>
        <w:rPr>
          <w:color w:val="000000" w:themeColor="text1"/>
        </w:rPr>
        <w:fldChar w:fldCharType="begin"/>
      </w:r>
      <w:r>
        <w:rPr>
          <w:color w:val="000000" w:themeColor="text1"/>
        </w:rPr>
        <w:instrText xml:space="preserve"> PAGEREF _Toc72933169 \h </w:instrText>
      </w:r>
      <w:r>
        <w:rPr>
          <w:color w:val="000000" w:themeColor="text1"/>
        </w:rPr>
        <w:fldChar w:fldCharType="separate"/>
      </w:r>
      <w:r>
        <w:rPr>
          <w:color w:val="000000" w:themeColor="text1"/>
        </w:rPr>
        <w:t>10</w:t>
      </w:r>
      <w:r>
        <w:rPr>
          <w:color w:val="000000" w:themeColor="text1"/>
        </w:rPr>
        <w:fldChar w:fldCharType="end"/>
      </w:r>
      <w:r>
        <w:rPr>
          <w:color w:val="000000" w:themeColor="text1"/>
        </w:rPr>
        <w:fldChar w:fldCharType="end"/>
      </w:r>
    </w:p>
    <w:p>
      <w:pPr>
        <w:pStyle w:val="12"/>
        <w:spacing w:line="400" w:lineRule="exact"/>
        <w:ind w:firstLine="360" w:firstLineChars="150"/>
        <w:rPr>
          <w:rFonts w:asciiTheme="minorHAnsi" w:hAnsiTheme="minorHAnsi" w:eastAsiaTheme="minorEastAsia"/>
          <w:color w:val="000000" w:themeColor="text1"/>
          <w:kern w:val="2"/>
          <w:sz w:val="28"/>
          <w:szCs w:val="28"/>
        </w:rPr>
      </w:pPr>
      <w:r>
        <w:fldChar w:fldCharType="begin"/>
      </w:r>
      <w:r>
        <w:instrText xml:space="preserve"> HYPERLINK \l "_Toc72933170" </w:instrText>
      </w:r>
      <w:r>
        <w:fldChar w:fldCharType="separate"/>
      </w:r>
      <w:r>
        <w:rPr>
          <w:rStyle w:val="18"/>
          <w:rFonts w:hint="eastAsia"/>
          <w:color w:val="000000" w:themeColor="text1"/>
          <w:sz w:val="28"/>
          <w:szCs w:val="28"/>
        </w:rPr>
        <w:t>一、指导思想</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_Toc72933170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10</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2"/>
        <w:spacing w:line="400" w:lineRule="exact"/>
        <w:ind w:firstLine="360" w:firstLineChars="150"/>
        <w:rPr>
          <w:rFonts w:asciiTheme="minorHAnsi" w:hAnsiTheme="minorHAnsi" w:eastAsiaTheme="minorEastAsia"/>
          <w:color w:val="000000" w:themeColor="text1"/>
          <w:kern w:val="2"/>
          <w:sz w:val="28"/>
          <w:szCs w:val="28"/>
        </w:rPr>
      </w:pPr>
      <w:r>
        <w:fldChar w:fldCharType="begin"/>
      </w:r>
      <w:r>
        <w:instrText xml:space="preserve"> HYPERLINK \l "_Toc72933171" </w:instrText>
      </w:r>
      <w:r>
        <w:fldChar w:fldCharType="separate"/>
      </w:r>
      <w:r>
        <w:rPr>
          <w:rStyle w:val="18"/>
          <w:rFonts w:hint="eastAsia"/>
          <w:color w:val="000000" w:themeColor="text1"/>
          <w:sz w:val="28"/>
          <w:szCs w:val="28"/>
        </w:rPr>
        <w:t>二、发展原则</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_Toc72933171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10</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0"/>
        <w:spacing w:line="400" w:lineRule="exact"/>
        <w:rPr>
          <w:rFonts w:eastAsiaTheme="minorEastAsia"/>
          <w:color w:val="000000" w:themeColor="text1"/>
          <w:kern w:val="2"/>
        </w:rPr>
      </w:pPr>
      <w:r>
        <w:fldChar w:fldCharType="begin"/>
      </w:r>
      <w:r>
        <w:instrText xml:space="preserve"> HYPERLINK \l "_Toc72933172" </w:instrText>
      </w:r>
      <w:r>
        <w:fldChar w:fldCharType="separate"/>
      </w:r>
      <w:r>
        <w:rPr>
          <w:rStyle w:val="18"/>
          <w:rFonts w:hint="eastAsia"/>
          <w:color w:val="000000" w:themeColor="text1"/>
        </w:rPr>
        <w:t>第四部分：发展目标、重点指标、重点任务</w:t>
      </w:r>
      <w:r>
        <w:rPr>
          <w:color w:val="000000" w:themeColor="text1"/>
        </w:rPr>
        <w:tab/>
      </w:r>
      <w:r>
        <w:rPr>
          <w:color w:val="000000" w:themeColor="text1"/>
        </w:rPr>
        <w:fldChar w:fldCharType="begin"/>
      </w:r>
      <w:r>
        <w:rPr>
          <w:color w:val="000000" w:themeColor="text1"/>
        </w:rPr>
        <w:instrText xml:space="preserve"> PAGEREF _Toc72933172 \h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12"/>
        <w:spacing w:line="400" w:lineRule="exact"/>
        <w:ind w:firstLine="360" w:firstLineChars="150"/>
        <w:rPr>
          <w:rFonts w:asciiTheme="minorHAnsi" w:hAnsiTheme="minorHAnsi" w:eastAsiaTheme="minorEastAsia"/>
          <w:color w:val="000000" w:themeColor="text1"/>
          <w:kern w:val="2"/>
          <w:sz w:val="28"/>
          <w:szCs w:val="28"/>
        </w:rPr>
      </w:pPr>
      <w:r>
        <w:fldChar w:fldCharType="begin"/>
      </w:r>
      <w:r>
        <w:instrText xml:space="preserve"> HYPERLINK \l "_Toc72933173" </w:instrText>
      </w:r>
      <w:r>
        <w:fldChar w:fldCharType="separate"/>
      </w:r>
      <w:r>
        <w:rPr>
          <w:rStyle w:val="18"/>
          <w:rFonts w:hint="eastAsia"/>
          <w:color w:val="000000" w:themeColor="text1"/>
          <w:sz w:val="28"/>
          <w:szCs w:val="28"/>
        </w:rPr>
        <w:t>一、实现更充分更高质量就业</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_Toc72933173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12</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"_Toc72933174" </w:instrText>
      </w:r>
      <w:r>
        <w:fldChar w:fldCharType="separate"/>
      </w:r>
      <w:r>
        <w:rPr>
          <w:rStyle w:val="18"/>
          <w:rFonts w:hint="eastAsia" w:ascii="仿宋_GB2312" w:eastAsia="仿宋_GB2312"/>
          <w:color w:val="000000" w:themeColor="text1"/>
          <w:sz w:val="28"/>
          <w:szCs w:val="28"/>
        </w:rPr>
        <w:t>（一）发展目标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_Toc72933174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12</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"_Toc72933175" </w:instrText>
      </w:r>
      <w:r>
        <w:fldChar w:fldCharType="separate"/>
      </w:r>
      <w:r>
        <w:rPr>
          <w:rStyle w:val="18"/>
          <w:rFonts w:hint="eastAsia" w:ascii="仿宋_GB2312" w:eastAsia="仿宋_GB2312"/>
          <w:color w:val="000000" w:themeColor="text1"/>
          <w:sz w:val="28"/>
          <w:szCs w:val="28"/>
        </w:rPr>
        <w:t>（二）重点指标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_Toc72933175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12</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"_Toc72933176" </w:instrText>
      </w:r>
      <w:r>
        <w:fldChar w:fldCharType="separate"/>
      </w:r>
      <w:r>
        <w:rPr>
          <w:rStyle w:val="18"/>
          <w:rFonts w:hint="eastAsia" w:ascii="仿宋_GB2312" w:eastAsia="仿宋_GB2312"/>
          <w:color w:val="000000" w:themeColor="text1"/>
          <w:sz w:val="28"/>
          <w:szCs w:val="28"/>
        </w:rPr>
        <w:t>（三）重点任务</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_Toc72933176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12</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"_Toc72933177" </w:instrText>
      </w:r>
      <w:r>
        <w:fldChar w:fldCharType="separate"/>
      </w:r>
      <w:r>
        <w:rPr>
          <w:rStyle w:val="18"/>
          <w:rFonts w:ascii="仿宋_GB2312" w:eastAsia="仿宋_GB2312"/>
          <w:color w:val="000000" w:themeColor="text1"/>
          <w:sz w:val="28"/>
          <w:szCs w:val="28"/>
        </w:rPr>
        <w:t>1.</w:t>
      </w:r>
      <w:r>
        <w:rPr>
          <w:rStyle w:val="18"/>
          <w:rFonts w:hint="eastAsia" w:ascii="仿宋_GB2312" w:eastAsia="仿宋_GB2312"/>
          <w:color w:val="000000" w:themeColor="text1"/>
          <w:sz w:val="28"/>
          <w:szCs w:val="28"/>
        </w:rPr>
        <w:t>培育新业态新模式扩大就业</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_Toc72933177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13</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"_Toc72933178" </w:instrText>
      </w:r>
      <w:r>
        <w:fldChar w:fldCharType="separate"/>
      </w:r>
      <w:r>
        <w:rPr>
          <w:rStyle w:val="18"/>
          <w:rFonts w:ascii="仿宋_GB2312" w:eastAsia="仿宋_GB2312"/>
          <w:color w:val="000000" w:themeColor="text1"/>
          <w:sz w:val="28"/>
          <w:szCs w:val="28"/>
        </w:rPr>
        <w:t>2.</w:t>
      </w:r>
      <w:r>
        <w:rPr>
          <w:rStyle w:val="18"/>
          <w:rFonts w:hint="eastAsia" w:ascii="仿宋_GB2312" w:eastAsia="仿宋_GB2312"/>
          <w:color w:val="000000" w:themeColor="text1"/>
          <w:sz w:val="28"/>
          <w:szCs w:val="28"/>
        </w:rPr>
        <w:t>激发创新创业活力带动就业</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_Toc72933178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13</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"_Toc72933179" </w:instrText>
      </w:r>
      <w:r>
        <w:fldChar w:fldCharType="separate"/>
      </w:r>
      <w:r>
        <w:rPr>
          <w:rStyle w:val="18"/>
          <w:rFonts w:ascii="仿宋_GB2312" w:eastAsia="仿宋_GB2312"/>
          <w:color w:val="000000" w:themeColor="text1"/>
          <w:sz w:val="28"/>
          <w:szCs w:val="28"/>
        </w:rPr>
        <w:t>3.</w:t>
      </w:r>
      <w:r>
        <w:rPr>
          <w:rStyle w:val="18"/>
          <w:rFonts w:hint="eastAsia" w:ascii="仿宋_GB2312" w:eastAsia="仿宋_GB2312"/>
          <w:color w:val="000000" w:themeColor="text1"/>
          <w:sz w:val="28"/>
          <w:szCs w:val="28"/>
        </w:rPr>
        <w:t>瞄准重点群体精准施策帮扶就业</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_Toc72933179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14</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"_Toc72933180" </w:instrText>
      </w:r>
      <w:r>
        <w:fldChar w:fldCharType="separate"/>
      </w:r>
      <w:r>
        <w:rPr>
          <w:rStyle w:val="18"/>
          <w:rFonts w:ascii="仿宋_GB2312" w:eastAsia="仿宋_GB2312"/>
          <w:color w:val="000000" w:themeColor="text1"/>
          <w:sz w:val="28"/>
          <w:szCs w:val="28"/>
        </w:rPr>
        <w:t>4.</w:t>
      </w:r>
      <w:r>
        <w:rPr>
          <w:rStyle w:val="18"/>
          <w:rFonts w:hint="eastAsia" w:ascii="仿宋_GB2312" w:eastAsia="仿宋_GB2312"/>
          <w:color w:val="000000" w:themeColor="text1"/>
          <w:sz w:val="28"/>
          <w:szCs w:val="28"/>
        </w:rPr>
        <w:t>助力乡村振兴战略促进农村劳动力就业</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_Toc72933180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14</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"_Toc72933181" </w:instrText>
      </w:r>
      <w:r>
        <w:fldChar w:fldCharType="separate"/>
      </w:r>
      <w:r>
        <w:rPr>
          <w:rStyle w:val="18"/>
          <w:rFonts w:ascii="仿宋_GB2312" w:eastAsia="仿宋_GB2312"/>
          <w:color w:val="000000" w:themeColor="text1"/>
          <w:sz w:val="28"/>
          <w:szCs w:val="28"/>
        </w:rPr>
        <w:t>5.</w:t>
      </w:r>
      <w:r>
        <w:rPr>
          <w:rStyle w:val="18"/>
          <w:rFonts w:hint="eastAsia" w:ascii="仿宋_GB2312" w:eastAsia="仿宋_GB2312"/>
          <w:color w:val="000000" w:themeColor="text1"/>
          <w:sz w:val="28"/>
          <w:szCs w:val="28"/>
        </w:rPr>
        <w:t>强化职业能力培训促进就业</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_Toc72933181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15</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"_Toc72933182" </w:instrText>
      </w:r>
      <w:r>
        <w:fldChar w:fldCharType="separate"/>
      </w:r>
      <w:r>
        <w:rPr>
          <w:rStyle w:val="18"/>
          <w:rFonts w:ascii="仿宋_GB2312" w:eastAsia="仿宋_GB2312"/>
          <w:color w:val="000000" w:themeColor="text1"/>
          <w:sz w:val="28"/>
          <w:szCs w:val="28"/>
        </w:rPr>
        <w:t>6.</w:t>
      </w:r>
      <w:r>
        <w:rPr>
          <w:rStyle w:val="18"/>
          <w:rFonts w:hint="eastAsia" w:ascii="仿宋_GB2312" w:eastAsia="仿宋_GB2312"/>
          <w:color w:val="000000" w:themeColor="text1"/>
          <w:sz w:val="28"/>
          <w:szCs w:val="28"/>
        </w:rPr>
        <w:t>完善全方位就业公共服务助推就业</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_Toc72933182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15</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"_Toc72933183" </w:instrText>
      </w:r>
      <w:r>
        <w:fldChar w:fldCharType="separate"/>
      </w:r>
      <w:r>
        <w:rPr>
          <w:rStyle w:val="18"/>
          <w:rFonts w:ascii="仿宋_GB2312" w:eastAsia="仿宋_GB2312"/>
          <w:color w:val="000000" w:themeColor="text1"/>
          <w:sz w:val="28"/>
          <w:szCs w:val="28"/>
        </w:rPr>
        <w:t>7.</w:t>
      </w:r>
      <w:r>
        <w:rPr>
          <w:rStyle w:val="18"/>
          <w:rFonts w:hint="eastAsia" w:ascii="仿宋_GB2312" w:eastAsia="仿宋_GB2312"/>
          <w:color w:val="000000" w:themeColor="text1"/>
          <w:sz w:val="28"/>
          <w:szCs w:val="28"/>
        </w:rPr>
        <w:t>防范化解规模性失业稳就业</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_Toc72933183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16</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2"/>
        <w:spacing w:line="400" w:lineRule="exact"/>
        <w:ind w:firstLine="360" w:firstLineChars="150"/>
        <w:rPr>
          <w:rFonts w:asciiTheme="minorHAnsi" w:hAnsiTheme="minorHAnsi" w:eastAsiaTheme="minorEastAsia"/>
          <w:color w:val="000000" w:themeColor="text1"/>
          <w:kern w:val="2"/>
          <w:sz w:val="28"/>
          <w:szCs w:val="28"/>
        </w:rPr>
      </w:pPr>
      <w:r>
        <w:fldChar w:fldCharType="begin"/>
      </w:r>
      <w:r>
        <w:instrText xml:space="preserve"> HYPERLINK \l "_Toc72933184" </w:instrText>
      </w:r>
      <w:r>
        <w:fldChar w:fldCharType="separate"/>
      </w:r>
      <w:r>
        <w:rPr>
          <w:rStyle w:val="18"/>
          <w:rFonts w:hint="eastAsia"/>
          <w:color w:val="000000" w:themeColor="text1"/>
          <w:sz w:val="28"/>
          <w:szCs w:val="28"/>
        </w:rPr>
        <w:t>二、完善公平可持续的社会保障制度体系</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_Toc72933184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16</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"_Toc72933185" </w:instrText>
      </w:r>
      <w:r>
        <w:fldChar w:fldCharType="separate"/>
      </w:r>
      <w:r>
        <w:rPr>
          <w:rStyle w:val="18"/>
          <w:rFonts w:hint="eastAsia" w:ascii="仿宋_GB2312" w:eastAsia="仿宋_GB2312"/>
          <w:color w:val="000000" w:themeColor="text1"/>
          <w:sz w:val="28"/>
          <w:szCs w:val="28"/>
        </w:rPr>
        <w:t>（一）发展目标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_Toc72933185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16</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"_Toc72933186" </w:instrText>
      </w:r>
      <w:r>
        <w:fldChar w:fldCharType="separate"/>
      </w:r>
      <w:r>
        <w:rPr>
          <w:rStyle w:val="18"/>
          <w:rFonts w:hint="eastAsia" w:ascii="仿宋_GB2312" w:eastAsia="仿宋_GB2312"/>
          <w:color w:val="000000" w:themeColor="text1"/>
          <w:sz w:val="28"/>
          <w:szCs w:val="28"/>
        </w:rPr>
        <w:t>（二）重点指标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_Toc72933186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17</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"_Toc72933187" </w:instrText>
      </w:r>
      <w:r>
        <w:fldChar w:fldCharType="separate"/>
      </w:r>
      <w:r>
        <w:rPr>
          <w:rStyle w:val="18"/>
          <w:rFonts w:hint="eastAsia" w:ascii="仿宋_GB2312" w:eastAsia="仿宋_GB2312"/>
          <w:color w:val="000000" w:themeColor="text1"/>
          <w:sz w:val="28"/>
          <w:szCs w:val="28"/>
        </w:rPr>
        <w:t>（三）重点任务</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_Toc72933187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17</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"_Toc72933188" </w:instrText>
      </w:r>
      <w:r>
        <w:fldChar w:fldCharType="separate"/>
      </w:r>
      <w:r>
        <w:rPr>
          <w:rStyle w:val="18"/>
          <w:rFonts w:ascii="仿宋_GB2312" w:eastAsia="仿宋_GB2312"/>
          <w:color w:val="000000" w:themeColor="text1"/>
          <w:sz w:val="28"/>
          <w:szCs w:val="28"/>
        </w:rPr>
        <w:t>1.</w:t>
      </w:r>
      <w:r>
        <w:rPr>
          <w:rStyle w:val="18"/>
          <w:rFonts w:hint="eastAsia" w:ascii="仿宋_GB2312" w:eastAsia="仿宋_GB2312"/>
          <w:color w:val="000000" w:themeColor="text1"/>
          <w:sz w:val="28"/>
          <w:szCs w:val="28"/>
        </w:rPr>
        <w:t>加快推进多层次养老保险体系建设</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_Toc72933188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17</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"_Toc72933189" </w:instrText>
      </w:r>
      <w:r>
        <w:fldChar w:fldCharType="separate"/>
      </w:r>
      <w:r>
        <w:rPr>
          <w:rStyle w:val="18"/>
          <w:rFonts w:ascii="仿宋_GB2312" w:eastAsia="仿宋_GB2312"/>
          <w:color w:val="000000" w:themeColor="text1"/>
          <w:sz w:val="28"/>
          <w:szCs w:val="28"/>
        </w:rPr>
        <w:t>2.</w:t>
      </w:r>
      <w:r>
        <w:rPr>
          <w:rStyle w:val="18"/>
          <w:rFonts w:hint="eastAsia" w:ascii="仿宋_GB2312" w:eastAsia="仿宋_GB2312"/>
          <w:color w:val="000000" w:themeColor="text1"/>
          <w:sz w:val="28"/>
          <w:szCs w:val="28"/>
        </w:rPr>
        <w:t>确保社保待遇及时足额发放</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_Toc72933189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17</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"_Toc72933190" </w:instrText>
      </w:r>
      <w:r>
        <w:fldChar w:fldCharType="separate"/>
      </w:r>
      <w:r>
        <w:rPr>
          <w:rStyle w:val="18"/>
          <w:rFonts w:ascii="仿宋_GB2312" w:eastAsia="仿宋_GB2312"/>
          <w:color w:val="000000" w:themeColor="text1"/>
          <w:sz w:val="28"/>
          <w:szCs w:val="28"/>
        </w:rPr>
        <w:t>3.</w:t>
      </w:r>
      <w:r>
        <w:rPr>
          <w:rStyle w:val="18"/>
          <w:rFonts w:hint="eastAsia" w:ascii="仿宋_GB2312" w:eastAsia="仿宋_GB2312"/>
          <w:color w:val="000000" w:themeColor="text1"/>
          <w:sz w:val="28"/>
          <w:szCs w:val="28"/>
        </w:rPr>
        <w:t>建立社会保险基金风险防控体系</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_Toc72933190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17</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"_Toc72933191" </w:instrText>
      </w:r>
      <w:r>
        <w:fldChar w:fldCharType="separate"/>
      </w:r>
      <w:r>
        <w:rPr>
          <w:rStyle w:val="18"/>
          <w:rFonts w:ascii="仿宋_GB2312" w:eastAsia="仿宋_GB2312"/>
          <w:color w:val="000000" w:themeColor="text1"/>
          <w:sz w:val="28"/>
          <w:szCs w:val="28"/>
        </w:rPr>
        <w:t>4.</w:t>
      </w:r>
      <w:r>
        <w:rPr>
          <w:rStyle w:val="18"/>
          <w:rFonts w:hint="eastAsia" w:ascii="仿宋_GB2312" w:eastAsia="仿宋_GB2312"/>
          <w:color w:val="000000" w:themeColor="text1"/>
          <w:sz w:val="28"/>
          <w:szCs w:val="28"/>
        </w:rPr>
        <w:t>提升社会保险经办服务效能</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_Toc72933191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18</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2"/>
        <w:spacing w:line="400" w:lineRule="exact"/>
        <w:ind w:firstLine="360" w:firstLineChars="150"/>
        <w:rPr>
          <w:rFonts w:asciiTheme="minorHAnsi" w:hAnsiTheme="minorHAnsi" w:eastAsiaTheme="minorEastAsia"/>
          <w:color w:val="000000" w:themeColor="text1"/>
          <w:kern w:val="2"/>
          <w:sz w:val="28"/>
          <w:szCs w:val="28"/>
        </w:rPr>
      </w:pPr>
      <w:r>
        <w:fldChar w:fldCharType="begin"/>
      </w:r>
      <w:r>
        <w:instrText xml:space="preserve"> HYPERLINK \l "_Toc72933192" </w:instrText>
      </w:r>
      <w:r>
        <w:fldChar w:fldCharType="separate"/>
      </w:r>
      <w:r>
        <w:rPr>
          <w:rStyle w:val="18"/>
          <w:rFonts w:hint="eastAsia"/>
          <w:color w:val="000000" w:themeColor="text1"/>
          <w:sz w:val="28"/>
          <w:szCs w:val="28"/>
        </w:rPr>
        <w:t>三、形成充满生机与活力的用人育人机制</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_Toc72933192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18</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"_Toc72933193" </w:instrText>
      </w:r>
      <w:r>
        <w:fldChar w:fldCharType="separate"/>
      </w:r>
      <w:r>
        <w:rPr>
          <w:rStyle w:val="18"/>
          <w:rFonts w:hint="eastAsia" w:ascii="仿宋_GB2312" w:eastAsia="仿宋_GB2312"/>
          <w:color w:val="000000" w:themeColor="text1"/>
          <w:sz w:val="28"/>
          <w:szCs w:val="28"/>
        </w:rPr>
        <w:t>（一）发展目标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_Toc72933193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18</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"_Toc72933194" </w:instrText>
      </w:r>
      <w:r>
        <w:fldChar w:fldCharType="separate"/>
      </w:r>
      <w:r>
        <w:rPr>
          <w:rStyle w:val="18"/>
          <w:rFonts w:hint="eastAsia" w:ascii="仿宋_GB2312" w:eastAsia="仿宋_GB2312"/>
          <w:color w:val="000000" w:themeColor="text1"/>
          <w:sz w:val="28"/>
          <w:szCs w:val="28"/>
        </w:rPr>
        <w:t>（二）重点指标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_Toc72933194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18</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"_Toc72933195" </w:instrText>
      </w:r>
      <w:r>
        <w:fldChar w:fldCharType="separate"/>
      </w:r>
      <w:r>
        <w:rPr>
          <w:rStyle w:val="18"/>
          <w:rFonts w:hint="eastAsia" w:ascii="仿宋_GB2312" w:eastAsia="仿宋_GB2312"/>
          <w:color w:val="000000" w:themeColor="text1"/>
          <w:sz w:val="28"/>
          <w:szCs w:val="28"/>
        </w:rPr>
        <w:t>（三）重点任务</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_Toc72933195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19</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"_Toc72933196" </w:instrText>
      </w:r>
      <w:r>
        <w:fldChar w:fldCharType="separate"/>
      </w:r>
      <w:r>
        <w:rPr>
          <w:rStyle w:val="18"/>
          <w:rFonts w:ascii="仿宋_GB2312" w:eastAsia="仿宋_GB2312"/>
          <w:color w:val="000000" w:themeColor="text1"/>
          <w:sz w:val="28"/>
          <w:szCs w:val="28"/>
        </w:rPr>
        <w:t>1.</w:t>
      </w:r>
      <w:r>
        <w:rPr>
          <w:rStyle w:val="18"/>
          <w:rFonts w:hint="eastAsia" w:ascii="仿宋_GB2312" w:eastAsia="仿宋_GB2312"/>
          <w:color w:val="000000" w:themeColor="text1"/>
          <w:sz w:val="28"/>
          <w:szCs w:val="28"/>
        </w:rPr>
        <w:t>优化人才发展布局，加大人才引进力度</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_Toc72933196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19</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"_Toc72933197" </w:instrText>
      </w:r>
      <w:r>
        <w:fldChar w:fldCharType="separate"/>
      </w:r>
      <w:r>
        <w:rPr>
          <w:rStyle w:val="18"/>
          <w:rFonts w:ascii="仿宋_GB2312" w:eastAsia="仿宋_GB2312"/>
          <w:color w:val="000000" w:themeColor="text1"/>
          <w:sz w:val="28"/>
          <w:szCs w:val="28"/>
        </w:rPr>
        <w:t>2.</w:t>
      </w:r>
      <w:r>
        <w:rPr>
          <w:rStyle w:val="18"/>
          <w:rFonts w:hint="eastAsia" w:ascii="仿宋_GB2312" w:eastAsia="仿宋_GB2312"/>
          <w:color w:val="000000" w:themeColor="text1"/>
          <w:sz w:val="28"/>
          <w:szCs w:val="28"/>
        </w:rPr>
        <w:t>完善人才培养体系</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_Toc72933197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19</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500" w:firstLineChars="250"/>
        <w:rPr>
          <w:rFonts w:asciiTheme="minorHAnsi" w:hAnsiTheme="minorHAnsi" w:eastAsiaTheme="minorEastAsia" w:cstheme="minorBidi"/>
          <w:color w:val="000000" w:themeColor="text1"/>
          <w:kern w:val="2"/>
          <w:sz w:val="28"/>
          <w:szCs w:val="28"/>
        </w:rPr>
      </w:pPr>
      <w:r>
        <w:fldChar w:fldCharType="begin"/>
      </w:r>
      <w:r>
        <w:instrText xml:space="preserve"> HYPERLINK \l "_Toc72933198" </w:instrText>
      </w:r>
      <w:r>
        <w:fldChar w:fldCharType="separate"/>
      </w:r>
      <w:r>
        <w:rPr>
          <w:rStyle w:val="18"/>
          <w:rFonts w:ascii="仿宋_GB2312" w:eastAsia="仿宋_GB2312"/>
          <w:color w:val="000000" w:themeColor="text1"/>
          <w:sz w:val="28"/>
          <w:szCs w:val="28"/>
        </w:rPr>
        <w:t>3.</w:t>
      </w:r>
      <w:r>
        <w:rPr>
          <w:rStyle w:val="18"/>
          <w:rFonts w:hint="eastAsia" w:ascii="仿宋_GB2312" w:eastAsia="仿宋_GB2312"/>
          <w:color w:val="000000" w:themeColor="text1"/>
          <w:sz w:val="28"/>
          <w:szCs w:val="28"/>
        </w:rPr>
        <w:t>健全人事管理和人才评价激励体系</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_Toc72933198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20</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"_Toc72933199" </w:instrText>
      </w:r>
      <w:r>
        <w:fldChar w:fldCharType="separate"/>
      </w:r>
      <w:r>
        <w:rPr>
          <w:rStyle w:val="18"/>
          <w:rFonts w:ascii="仿宋_GB2312" w:eastAsia="仿宋_GB2312"/>
          <w:color w:val="000000" w:themeColor="text1"/>
          <w:sz w:val="28"/>
          <w:szCs w:val="28"/>
        </w:rPr>
        <w:t>4.</w:t>
      </w:r>
      <w:r>
        <w:rPr>
          <w:rStyle w:val="18"/>
          <w:rFonts w:hint="eastAsia" w:ascii="仿宋_GB2312" w:eastAsia="仿宋_GB2312"/>
          <w:color w:val="000000" w:themeColor="text1"/>
          <w:sz w:val="28"/>
          <w:szCs w:val="28"/>
        </w:rPr>
        <w:t>深入推进政府聘用人员规范管理</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_Toc72933199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21</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"_Toc72933200" </w:instrText>
      </w:r>
      <w:r>
        <w:fldChar w:fldCharType="separate"/>
      </w:r>
      <w:r>
        <w:rPr>
          <w:rStyle w:val="18"/>
          <w:rFonts w:ascii="仿宋_GB2312" w:eastAsia="仿宋_GB2312"/>
          <w:color w:val="000000" w:themeColor="text1"/>
          <w:sz w:val="28"/>
          <w:szCs w:val="28"/>
        </w:rPr>
        <w:t>5.</w:t>
      </w:r>
      <w:r>
        <w:rPr>
          <w:rStyle w:val="18"/>
          <w:rFonts w:hint="eastAsia" w:ascii="仿宋_GB2312" w:eastAsia="仿宋_GB2312"/>
          <w:color w:val="000000" w:themeColor="text1"/>
          <w:sz w:val="28"/>
          <w:szCs w:val="28"/>
        </w:rPr>
        <w:t>着力打造高素质“支农”队伍</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_Toc72933200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21</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"_Toc72933201" </w:instrText>
      </w:r>
      <w:r>
        <w:fldChar w:fldCharType="separate"/>
      </w:r>
      <w:r>
        <w:rPr>
          <w:rStyle w:val="18"/>
          <w:rFonts w:ascii="仿宋_GB2312" w:eastAsia="仿宋_GB2312"/>
          <w:color w:val="000000" w:themeColor="text1"/>
          <w:sz w:val="28"/>
          <w:szCs w:val="28"/>
        </w:rPr>
        <w:t>6.</w:t>
      </w:r>
      <w:r>
        <w:rPr>
          <w:rStyle w:val="18"/>
          <w:rFonts w:hint="eastAsia" w:ascii="仿宋_GB2312" w:eastAsia="仿宋_GB2312"/>
          <w:color w:val="000000" w:themeColor="text1"/>
          <w:sz w:val="28"/>
          <w:szCs w:val="28"/>
        </w:rPr>
        <w:t>提升人事考试安全性和公正性</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_Toc72933201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21</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2"/>
        <w:spacing w:line="400" w:lineRule="exact"/>
        <w:ind w:firstLine="240" w:firstLineChars="100"/>
        <w:rPr>
          <w:rFonts w:asciiTheme="minorHAnsi" w:hAnsiTheme="minorHAnsi" w:eastAsiaTheme="minorEastAsia"/>
          <w:color w:val="000000" w:themeColor="text1"/>
          <w:kern w:val="2"/>
          <w:sz w:val="28"/>
          <w:szCs w:val="28"/>
        </w:rPr>
      </w:pPr>
      <w:r>
        <w:fldChar w:fldCharType="begin"/>
      </w:r>
      <w:r>
        <w:instrText xml:space="preserve"> HYPERLINK \l "_Toc72933202" </w:instrText>
      </w:r>
      <w:r>
        <w:fldChar w:fldCharType="separate"/>
      </w:r>
      <w:r>
        <w:rPr>
          <w:rStyle w:val="18"/>
          <w:rFonts w:hint="eastAsia"/>
          <w:color w:val="000000" w:themeColor="text1"/>
          <w:sz w:val="28"/>
          <w:szCs w:val="28"/>
        </w:rPr>
        <w:t>四、构建新型和谐劳动关系</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_Toc72933202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22</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"_Toc72933203" </w:instrText>
      </w:r>
      <w:r>
        <w:fldChar w:fldCharType="separate"/>
      </w:r>
      <w:r>
        <w:rPr>
          <w:rStyle w:val="18"/>
          <w:rFonts w:hint="eastAsia" w:ascii="仿宋_GB2312" w:eastAsia="仿宋_GB2312"/>
          <w:color w:val="000000" w:themeColor="text1"/>
          <w:sz w:val="28"/>
          <w:szCs w:val="28"/>
        </w:rPr>
        <w:t>（一）发展目标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_Toc72933203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22</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"_Toc72933204" </w:instrText>
      </w:r>
      <w:r>
        <w:fldChar w:fldCharType="separate"/>
      </w:r>
      <w:r>
        <w:rPr>
          <w:rStyle w:val="18"/>
          <w:rFonts w:hint="eastAsia" w:ascii="仿宋_GB2312" w:eastAsia="仿宋_GB2312"/>
          <w:color w:val="000000" w:themeColor="text1"/>
          <w:sz w:val="28"/>
          <w:szCs w:val="28"/>
        </w:rPr>
        <w:t>（二）重点指标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_Toc72933204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22</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"_Toc72933205" </w:instrText>
      </w:r>
      <w:r>
        <w:fldChar w:fldCharType="separate"/>
      </w:r>
      <w:r>
        <w:rPr>
          <w:rStyle w:val="18"/>
          <w:rFonts w:hint="eastAsia" w:ascii="仿宋_GB2312" w:eastAsia="仿宋_GB2312"/>
          <w:color w:val="000000" w:themeColor="text1"/>
          <w:sz w:val="28"/>
          <w:szCs w:val="28"/>
        </w:rPr>
        <w:t>（三）重点任务</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_Toc72933205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22</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"_Toc72933206" </w:instrText>
      </w:r>
      <w:r>
        <w:fldChar w:fldCharType="separate"/>
      </w:r>
      <w:r>
        <w:rPr>
          <w:rStyle w:val="18"/>
          <w:rFonts w:ascii="仿宋_GB2312" w:eastAsia="仿宋_GB2312"/>
          <w:color w:val="000000" w:themeColor="text1"/>
          <w:sz w:val="28"/>
          <w:szCs w:val="28"/>
        </w:rPr>
        <w:t>1.</w:t>
      </w:r>
      <w:r>
        <w:rPr>
          <w:rStyle w:val="18"/>
          <w:rFonts w:hint="eastAsia" w:ascii="仿宋_GB2312" w:eastAsia="仿宋_GB2312"/>
          <w:color w:val="000000" w:themeColor="text1"/>
          <w:sz w:val="28"/>
          <w:szCs w:val="28"/>
        </w:rPr>
        <w:t>构建和谐劳动关系建设平台</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_Toc72933206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23</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"_Toc72933207" </w:instrText>
      </w:r>
      <w:r>
        <w:fldChar w:fldCharType="separate"/>
      </w:r>
      <w:r>
        <w:rPr>
          <w:rStyle w:val="18"/>
          <w:rFonts w:ascii="仿宋_GB2312" w:eastAsia="仿宋_GB2312"/>
          <w:color w:val="000000" w:themeColor="text1"/>
          <w:sz w:val="28"/>
          <w:szCs w:val="28"/>
        </w:rPr>
        <w:t>2.</w:t>
      </w:r>
      <w:r>
        <w:rPr>
          <w:rStyle w:val="18"/>
          <w:rFonts w:hint="eastAsia" w:ascii="仿宋_GB2312" w:eastAsia="仿宋_GB2312"/>
          <w:color w:val="000000" w:themeColor="text1"/>
          <w:sz w:val="28"/>
          <w:szCs w:val="28"/>
        </w:rPr>
        <w:t>健全劳动关系多元调处机制</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_Toc72933207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23</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"_Toc72933208" </w:instrText>
      </w:r>
      <w:r>
        <w:fldChar w:fldCharType="separate"/>
      </w:r>
      <w:r>
        <w:rPr>
          <w:rStyle w:val="18"/>
          <w:rFonts w:ascii="仿宋_GB2312" w:eastAsia="仿宋_GB2312"/>
          <w:color w:val="000000" w:themeColor="text1"/>
          <w:sz w:val="28"/>
          <w:szCs w:val="28"/>
        </w:rPr>
        <w:t>3.</w:t>
      </w:r>
      <w:r>
        <w:rPr>
          <w:rStyle w:val="18"/>
          <w:rFonts w:hint="eastAsia" w:ascii="仿宋_GB2312" w:eastAsia="仿宋_GB2312"/>
          <w:color w:val="000000" w:themeColor="text1"/>
          <w:sz w:val="28"/>
          <w:szCs w:val="28"/>
        </w:rPr>
        <w:t>完善工伤认定、劳动能力鉴定工作机制</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_Toc72933208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24</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2"/>
        <w:spacing w:line="400" w:lineRule="exact"/>
        <w:ind w:firstLine="240" w:firstLineChars="100"/>
        <w:rPr>
          <w:rFonts w:asciiTheme="minorHAnsi" w:hAnsiTheme="minorHAnsi" w:eastAsiaTheme="minorEastAsia"/>
          <w:color w:val="000000" w:themeColor="text1"/>
          <w:kern w:val="2"/>
          <w:sz w:val="28"/>
          <w:szCs w:val="28"/>
        </w:rPr>
      </w:pPr>
      <w:r>
        <w:fldChar w:fldCharType="begin"/>
      </w:r>
      <w:r>
        <w:instrText xml:space="preserve"> HYPERLINK \l "_Toc72933209" </w:instrText>
      </w:r>
      <w:r>
        <w:fldChar w:fldCharType="separate"/>
      </w:r>
      <w:r>
        <w:rPr>
          <w:rStyle w:val="18"/>
          <w:rFonts w:hint="eastAsia"/>
          <w:color w:val="000000" w:themeColor="text1"/>
          <w:sz w:val="28"/>
          <w:szCs w:val="28"/>
        </w:rPr>
        <w:t>五、推动人力资源服务业发展</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_Toc72933209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24</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"_Toc72933210" </w:instrText>
      </w:r>
      <w:r>
        <w:fldChar w:fldCharType="separate"/>
      </w:r>
      <w:r>
        <w:rPr>
          <w:rStyle w:val="18"/>
          <w:rFonts w:hint="eastAsia" w:ascii="仿宋_GB2312" w:eastAsia="仿宋_GB2312"/>
          <w:color w:val="000000" w:themeColor="text1"/>
          <w:sz w:val="28"/>
          <w:szCs w:val="28"/>
        </w:rPr>
        <w:t>（一）发展目标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_Toc72933210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24</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"_Toc72933211" </w:instrText>
      </w:r>
      <w:r>
        <w:fldChar w:fldCharType="separate"/>
      </w:r>
      <w:r>
        <w:rPr>
          <w:rStyle w:val="18"/>
          <w:rFonts w:hint="eastAsia" w:ascii="仿宋_GB2312" w:eastAsia="仿宋_GB2312"/>
          <w:color w:val="000000" w:themeColor="text1"/>
          <w:sz w:val="28"/>
          <w:szCs w:val="28"/>
        </w:rPr>
        <w:t>（二）重点指标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_Toc72933211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25</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"_Toc72933212" </w:instrText>
      </w:r>
      <w:r>
        <w:fldChar w:fldCharType="separate"/>
      </w:r>
      <w:r>
        <w:rPr>
          <w:rStyle w:val="18"/>
          <w:rFonts w:hint="eastAsia" w:ascii="仿宋_GB2312" w:eastAsia="仿宋_GB2312"/>
          <w:color w:val="000000" w:themeColor="text1"/>
          <w:sz w:val="28"/>
          <w:szCs w:val="28"/>
        </w:rPr>
        <w:t>（三）重点任务</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_Toc72933212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25</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"_Toc72933213" </w:instrText>
      </w:r>
      <w:r>
        <w:fldChar w:fldCharType="separate"/>
      </w:r>
      <w:r>
        <w:rPr>
          <w:rStyle w:val="18"/>
          <w:rFonts w:ascii="仿宋_GB2312" w:eastAsia="仿宋_GB2312"/>
          <w:color w:val="000000" w:themeColor="text1"/>
          <w:sz w:val="28"/>
          <w:szCs w:val="28"/>
        </w:rPr>
        <w:t>1.</w:t>
      </w:r>
      <w:r>
        <w:rPr>
          <w:rStyle w:val="18"/>
          <w:rFonts w:hint="eastAsia" w:ascii="仿宋_GB2312" w:eastAsia="仿宋_GB2312"/>
          <w:color w:val="000000" w:themeColor="text1"/>
          <w:sz w:val="28"/>
          <w:szCs w:val="28"/>
        </w:rPr>
        <w:t>优化人力资源服务业生态集聚</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_Toc72933213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25</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"_Toc72933214" </w:instrText>
      </w:r>
      <w:r>
        <w:fldChar w:fldCharType="separate"/>
      </w:r>
      <w:r>
        <w:rPr>
          <w:rStyle w:val="18"/>
          <w:rFonts w:ascii="仿宋_GB2312" w:hAnsi="仿宋_GB2312" w:eastAsia="仿宋_GB2312" w:cs="仿宋_GB2312"/>
          <w:color w:val="000000" w:themeColor="text1"/>
          <w:sz w:val="28"/>
          <w:szCs w:val="28"/>
        </w:rPr>
        <w:t>2.</w:t>
      </w:r>
      <w:r>
        <w:rPr>
          <w:rStyle w:val="18"/>
          <w:rFonts w:hint="eastAsia" w:ascii="仿宋_GB2312" w:eastAsia="仿宋_GB2312"/>
          <w:color w:val="000000" w:themeColor="text1"/>
          <w:sz w:val="28"/>
          <w:szCs w:val="28"/>
        </w:rPr>
        <w:t>保障“两区”的人力资源服务建设</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_Toc72933214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25</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"_Toc72933215" </w:instrText>
      </w:r>
      <w:r>
        <w:fldChar w:fldCharType="separate"/>
      </w:r>
      <w:r>
        <w:rPr>
          <w:rStyle w:val="18"/>
          <w:rFonts w:ascii="仿宋_GB2312" w:eastAsia="仿宋_GB2312"/>
          <w:color w:val="000000" w:themeColor="text1"/>
          <w:sz w:val="28"/>
          <w:szCs w:val="28"/>
        </w:rPr>
        <w:t>3.</w:t>
      </w:r>
      <w:r>
        <w:rPr>
          <w:rStyle w:val="18"/>
          <w:rFonts w:hint="eastAsia" w:ascii="仿宋_GB2312" w:eastAsia="仿宋_GB2312"/>
          <w:color w:val="000000" w:themeColor="text1"/>
          <w:sz w:val="28"/>
          <w:szCs w:val="28"/>
        </w:rPr>
        <w:t>提高对外开放和国际化水平</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_Toc72933215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26</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"_Toc72933216" </w:instrText>
      </w:r>
      <w:r>
        <w:fldChar w:fldCharType="separate"/>
      </w:r>
      <w:r>
        <w:rPr>
          <w:rStyle w:val="18"/>
          <w:rFonts w:ascii="仿宋_GB2312" w:eastAsia="仿宋_GB2312"/>
          <w:color w:val="000000" w:themeColor="text1"/>
          <w:sz w:val="28"/>
          <w:szCs w:val="28"/>
        </w:rPr>
        <w:t>4.</w:t>
      </w:r>
      <w:r>
        <w:rPr>
          <w:rStyle w:val="18"/>
          <w:rFonts w:hint="eastAsia" w:ascii="仿宋_GB2312" w:eastAsia="仿宋_GB2312"/>
          <w:color w:val="000000" w:themeColor="text1"/>
          <w:sz w:val="28"/>
          <w:szCs w:val="28"/>
        </w:rPr>
        <w:t>借助智能化技术推进人力资本增值</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_Toc72933216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26</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2"/>
        <w:spacing w:line="400" w:lineRule="exact"/>
        <w:ind w:firstLine="240" w:firstLineChars="100"/>
        <w:rPr>
          <w:rFonts w:asciiTheme="minorHAnsi" w:hAnsiTheme="minorHAnsi" w:eastAsiaTheme="minorEastAsia"/>
          <w:color w:val="000000" w:themeColor="text1"/>
          <w:kern w:val="2"/>
          <w:sz w:val="28"/>
          <w:szCs w:val="28"/>
        </w:rPr>
      </w:pPr>
      <w:r>
        <w:fldChar w:fldCharType="begin"/>
      </w:r>
      <w:r>
        <w:instrText xml:space="preserve"> HYPERLINK \l "_Toc72933217" </w:instrText>
      </w:r>
      <w:r>
        <w:fldChar w:fldCharType="separate"/>
      </w:r>
      <w:r>
        <w:rPr>
          <w:rStyle w:val="18"/>
          <w:rFonts w:hint="eastAsia"/>
          <w:color w:val="000000" w:themeColor="text1"/>
          <w:sz w:val="28"/>
          <w:szCs w:val="28"/>
        </w:rPr>
        <w:t>六、提升管理服务的标准化、精细化水平</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_Toc72933217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27</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"_Toc72933218" </w:instrText>
      </w:r>
      <w:r>
        <w:fldChar w:fldCharType="separate"/>
      </w:r>
      <w:r>
        <w:rPr>
          <w:rStyle w:val="18"/>
          <w:rFonts w:hint="eastAsia" w:ascii="仿宋_GB2312" w:eastAsia="仿宋_GB2312"/>
          <w:color w:val="000000" w:themeColor="text1"/>
          <w:sz w:val="28"/>
          <w:szCs w:val="28"/>
        </w:rPr>
        <w:t>（一）发展目标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_Toc72933218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27</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"_Toc72933219" </w:instrText>
      </w:r>
      <w:r>
        <w:fldChar w:fldCharType="separate"/>
      </w:r>
      <w:r>
        <w:rPr>
          <w:rStyle w:val="18"/>
          <w:rFonts w:hint="eastAsia" w:ascii="仿宋_GB2312" w:eastAsia="仿宋_GB2312"/>
          <w:color w:val="000000" w:themeColor="text1"/>
          <w:sz w:val="28"/>
          <w:szCs w:val="28"/>
        </w:rPr>
        <w:t>（二）重点指标</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_Toc72933219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27</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"_Toc72933220" </w:instrText>
      </w:r>
      <w:r>
        <w:fldChar w:fldCharType="separate"/>
      </w:r>
      <w:r>
        <w:rPr>
          <w:rStyle w:val="18"/>
          <w:rFonts w:hint="eastAsia" w:ascii="仿宋_GB2312" w:eastAsia="仿宋_GB2312"/>
          <w:color w:val="000000" w:themeColor="text1"/>
          <w:sz w:val="28"/>
          <w:szCs w:val="28"/>
        </w:rPr>
        <w:t>（三）重点任务</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_Toc72933220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27</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"_Toc72933221" </w:instrText>
      </w:r>
      <w:r>
        <w:fldChar w:fldCharType="separate"/>
      </w:r>
      <w:r>
        <w:rPr>
          <w:rStyle w:val="18"/>
          <w:rFonts w:ascii="仿宋_GB2312" w:eastAsia="仿宋_GB2312"/>
          <w:color w:val="000000" w:themeColor="text1"/>
          <w:sz w:val="28"/>
          <w:szCs w:val="28"/>
        </w:rPr>
        <w:t>1.</w:t>
      </w:r>
      <w:r>
        <w:rPr>
          <w:rStyle w:val="18"/>
          <w:rFonts w:hint="eastAsia" w:ascii="仿宋_GB2312" w:eastAsia="仿宋_GB2312"/>
          <w:color w:val="000000" w:themeColor="text1"/>
          <w:sz w:val="28"/>
          <w:szCs w:val="28"/>
        </w:rPr>
        <w:t>推进经办服务体系建设</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_Toc72933221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28</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"_Toc72933222" </w:instrText>
      </w:r>
      <w:r>
        <w:fldChar w:fldCharType="separate"/>
      </w:r>
      <w:r>
        <w:rPr>
          <w:rStyle w:val="18"/>
          <w:rFonts w:ascii="仿宋_GB2312" w:eastAsia="仿宋_GB2312"/>
          <w:color w:val="000000" w:themeColor="text1"/>
          <w:sz w:val="28"/>
          <w:szCs w:val="28"/>
        </w:rPr>
        <w:t>2.</w:t>
      </w:r>
      <w:r>
        <w:rPr>
          <w:rStyle w:val="18"/>
          <w:rFonts w:hint="eastAsia" w:ascii="仿宋_GB2312" w:eastAsia="仿宋_GB2312"/>
          <w:color w:val="000000" w:themeColor="text1"/>
          <w:sz w:val="28"/>
          <w:szCs w:val="28"/>
        </w:rPr>
        <w:t>完善法规政策体系</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_Toc72933222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28</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1"/>
        <w:spacing w:line="400" w:lineRule="exact"/>
        <w:ind w:left="0" w:leftChars="0" w:firstLine="400" w:firstLineChars="200"/>
        <w:rPr>
          <w:rFonts w:asciiTheme="minorHAnsi" w:hAnsiTheme="minorHAnsi" w:eastAsiaTheme="minorEastAsia" w:cstheme="minorBidi"/>
          <w:color w:val="000000" w:themeColor="text1"/>
          <w:kern w:val="2"/>
          <w:sz w:val="28"/>
          <w:szCs w:val="28"/>
        </w:rPr>
      </w:pPr>
      <w:r>
        <w:fldChar w:fldCharType="begin"/>
      </w:r>
      <w:r>
        <w:instrText xml:space="preserve"> HYPERLINK \l "_Toc72933223" </w:instrText>
      </w:r>
      <w:r>
        <w:fldChar w:fldCharType="separate"/>
      </w:r>
      <w:r>
        <w:rPr>
          <w:rStyle w:val="18"/>
          <w:rFonts w:ascii="仿宋_GB2312" w:eastAsia="仿宋_GB2312"/>
          <w:color w:val="000000" w:themeColor="text1"/>
          <w:sz w:val="28"/>
          <w:szCs w:val="28"/>
        </w:rPr>
        <w:t>3.</w:t>
      </w:r>
      <w:r>
        <w:rPr>
          <w:rStyle w:val="18"/>
          <w:rFonts w:hint="eastAsia" w:ascii="仿宋_GB2312" w:eastAsia="仿宋_GB2312"/>
          <w:color w:val="000000" w:themeColor="text1"/>
          <w:sz w:val="28"/>
          <w:szCs w:val="28"/>
        </w:rPr>
        <w:t>推动“接诉即办”向“未诉先办”转变</w:t>
      </w:r>
      <w:r>
        <w:rPr>
          <w:color w:val="000000" w:themeColor="text1"/>
          <w:sz w:val="28"/>
          <w:szCs w:val="28"/>
        </w:rPr>
        <w:tab/>
      </w:r>
      <w:r>
        <w:rPr>
          <w:rFonts w:eastAsia="黑体" w:asciiTheme="minorHAnsi" w:hAnsiTheme="minorHAnsi" w:cstheme="minorBidi"/>
          <w:color w:val="000000" w:themeColor="text1"/>
          <w:sz w:val="28"/>
          <w:szCs w:val="28"/>
        </w:rPr>
        <w:fldChar w:fldCharType="begin"/>
      </w:r>
      <w:r>
        <w:rPr>
          <w:rFonts w:eastAsia="黑体" w:asciiTheme="minorHAnsi" w:hAnsiTheme="minorHAnsi" w:cstheme="minorBidi"/>
          <w:color w:val="000000" w:themeColor="text1"/>
          <w:sz w:val="28"/>
          <w:szCs w:val="28"/>
        </w:rPr>
        <w:instrText xml:space="preserve"> PAGEREF _Toc72933223 \h </w:instrText>
      </w:r>
      <w:r>
        <w:rPr>
          <w:rFonts w:eastAsia="黑体" w:asciiTheme="minorHAnsi" w:hAnsiTheme="minorHAnsi" w:cstheme="minorBidi"/>
          <w:color w:val="000000" w:themeColor="text1"/>
          <w:sz w:val="28"/>
          <w:szCs w:val="28"/>
        </w:rPr>
        <w:fldChar w:fldCharType="separate"/>
      </w:r>
      <w:r>
        <w:rPr>
          <w:rFonts w:eastAsia="黑体" w:asciiTheme="minorHAnsi" w:hAnsiTheme="minorHAnsi" w:cstheme="minorBidi"/>
          <w:color w:val="000000" w:themeColor="text1"/>
          <w:sz w:val="28"/>
          <w:szCs w:val="28"/>
        </w:rPr>
        <w:t>28</w:t>
      </w:r>
      <w:r>
        <w:rPr>
          <w:rFonts w:eastAsia="黑体" w:asciiTheme="minorHAnsi" w:hAnsiTheme="minorHAnsi" w:cstheme="minorBidi"/>
          <w:color w:val="000000" w:themeColor="text1"/>
          <w:sz w:val="28"/>
          <w:szCs w:val="28"/>
        </w:rPr>
        <w:fldChar w:fldCharType="end"/>
      </w:r>
      <w:r>
        <w:rPr>
          <w:rFonts w:eastAsia="黑体" w:asciiTheme="minorHAnsi" w:hAnsiTheme="minorHAnsi" w:cstheme="minorBidi"/>
          <w:color w:val="000000" w:themeColor="text1"/>
          <w:sz w:val="28"/>
          <w:szCs w:val="28"/>
        </w:rPr>
        <w:fldChar w:fldCharType="end"/>
      </w:r>
    </w:p>
    <w:p>
      <w:pPr>
        <w:pStyle w:val="10"/>
        <w:spacing w:beforeLines="50" w:after="0" w:line="400" w:lineRule="exact"/>
        <w:ind w:firstLine="420" w:firstLineChars="150"/>
        <w:rPr>
          <w:rFonts w:eastAsiaTheme="minorEastAsia"/>
          <w:color w:val="000000" w:themeColor="text1"/>
          <w:kern w:val="2"/>
        </w:rPr>
      </w:pPr>
      <w:r>
        <w:fldChar w:fldCharType="begin"/>
      </w:r>
      <w:r>
        <w:instrText xml:space="preserve"> HYPERLINK \l "_Toc72933224" </w:instrText>
      </w:r>
      <w:r>
        <w:fldChar w:fldCharType="separate"/>
      </w:r>
      <w:r>
        <w:rPr>
          <w:rStyle w:val="18"/>
          <w:rFonts w:hint="eastAsia"/>
          <w:color w:val="000000" w:themeColor="text1"/>
        </w:rPr>
        <w:t>第五部分：重大项目</w:t>
      </w:r>
      <w:r>
        <w:rPr>
          <w:color w:val="000000" w:themeColor="text1"/>
        </w:rPr>
        <w:tab/>
      </w:r>
      <w:r>
        <w:rPr>
          <w:color w:val="000000" w:themeColor="text1"/>
        </w:rPr>
        <w:fldChar w:fldCharType="begin"/>
      </w:r>
      <w:r>
        <w:rPr>
          <w:color w:val="000000" w:themeColor="text1"/>
        </w:rPr>
        <w:instrText xml:space="preserve"> PAGEREF _Toc72933224 \h </w:instrText>
      </w:r>
      <w:r>
        <w:rPr>
          <w:color w:val="000000" w:themeColor="text1"/>
        </w:rPr>
        <w:fldChar w:fldCharType="separate"/>
      </w:r>
      <w:r>
        <w:rPr>
          <w:color w:val="000000" w:themeColor="text1"/>
        </w:rPr>
        <w:t>29</w:t>
      </w:r>
      <w:r>
        <w:rPr>
          <w:color w:val="000000" w:themeColor="text1"/>
        </w:rPr>
        <w:fldChar w:fldCharType="end"/>
      </w:r>
      <w:r>
        <w:rPr>
          <w:color w:val="000000" w:themeColor="text1"/>
        </w:rPr>
        <w:fldChar w:fldCharType="end"/>
      </w:r>
    </w:p>
    <w:p>
      <w:pPr>
        <w:pStyle w:val="12"/>
        <w:spacing w:line="400" w:lineRule="exact"/>
        <w:ind w:firstLine="240" w:firstLineChars="100"/>
        <w:rPr>
          <w:rFonts w:asciiTheme="minorHAnsi" w:hAnsiTheme="minorHAnsi" w:eastAsiaTheme="minorEastAsia"/>
          <w:color w:val="000000" w:themeColor="text1"/>
          <w:kern w:val="2"/>
          <w:sz w:val="28"/>
          <w:szCs w:val="28"/>
        </w:rPr>
      </w:pPr>
      <w:r>
        <w:fldChar w:fldCharType="begin"/>
      </w:r>
      <w:r>
        <w:instrText xml:space="preserve"> HYPERLINK \l "_Toc72933225" </w:instrText>
      </w:r>
      <w:r>
        <w:fldChar w:fldCharType="separate"/>
      </w:r>
      <w:r>
        <w:rPr>
          <w:rStyle w:val="18"/>
          <w:rFonts w:hint="eastAsia"/>
          <w:color w:val="000000" w:themeColor="text1"/>
          <w:sz w:val="28"/>
          <w:szCs w:val="28"/>
        </w:rPr>
        <w:t>一、人力资源服务产业园发展</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_Toc72933225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29</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2"/>
        <w:spacing w:line="400" w:lineRule="exact"/>
        <w:ind w:firstLine="240" w:firstLineChars="100"/>
        <w:rPr>
          <w:rFonts w:asciiTheme="minorHAnsi" w:hAnsiTheme="minorHAnsi" w:eastAsiaTheme="minorEastAsia"/>
          <w:color w:val="000000" w:themeColor="text1"/>
          <w:kern w:val="2"/>
          <w:sz w:val="28"/>
          <w:szCs w:val="28"/>
        </w:rPr>
      </w:pPr>
      <w:r>
        <w:fldChar w:fldCharType="begin"/>
      </w:r>
      <w:r>
        <w:instrText xml:space="preserve"> HYPERLINK \l "_Toc72933226" </w:instrText>
      </w:r>
      <w:r>
        <w:fldChar w:fldCharType="separate"/>
      </w:r>
      <w:r>
        <w:rPr>
          <w:rStyle w:val="18"/>
          <w:rFonts w:hint="eastAsia"/>
          <w:color w:val="000000" w:themeColor="text1"/>
          <w:sz w:val="28"/>
          <w:szCs w:val="28"/>
        </w:rPr>
        <w:t>二、城市副中心“智慧人社系统”建设</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_Toc72933226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32</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2"/>
        <w:spacing w:line="400" w:lineRule="exact"/>
        <w:ind w:firstLine="240" w:firstLineChars="100"/>
        <w:rPr>
          <w:rFonts w:asciiTheme="minorHAnsi" w:hAnsiTheme="minorHAnsi" w:eastAsiaTheme="minorEastAsia"/>
          <w:color w:val="000000" w:themeColor="text1"/>
          <w:kern w:val="2"/>
          <w:sz w:val="28"/>
          <w:szCs w:val="28"/>
        </w:rPr>
      </w:pPr>
      <w:r>
        <w:fldChar w:fldCharType="begin"/>
      </w:r>
      <w:r>
        <w:instrText xml:space="preserve"> HYPERLINK \l "_Toc72933227" </w:instrText>
      </w:r>
      <w:r>
        <w:fldChar w:fldCharType="separate"/>
      </w:r>
      <w:r>
        <w:rPr>
          <w:rStyle w:val="18"/>
          <w:rFonts w:hint="eastAsia"/>
          <w:color w:val="000000" w:themeColor="text1"/>
          <w:sz w:val="28"/>
          <w:szCs w:val="28"/>
        </w:rPr>
        <w:t>三、京津冀人社协同发展</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_Toc72933227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33</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0"/>
        <w:spacing w:beforeLines="50" w:after="0" w:line="400" w:lineRule="exact"/>
        <w:ind w:firstLine="420" w:firstLineChars="150"/>
        <w:rPr>
          <w:rFonts w:eastAsiaTheme="minorEastAsia"/>
          <w:color w:val="000000" w:themeColor="text1"/>
          <w:kern w:val="2"/>
        </w:rPr>
      </w:pPr>
      <w:r>
        <w:fldChar w:fldCharType="begin"/>
      </w:r>
      <w:r>
        <w:instrText xml:space="preserve"> HYPERLINK \l "_Toc72933228" </w:instrText>
      </w:r>
      <w:r>
        <w:fldChar w:fldCharType="separate"/>
      </w:r>
      <w:r>
        <w:rPr>
          <w:rStyle w:val="18"/>
          <w:rFonts w:hint="eastAsia"/>
          <w:color w:val="000000" w:themeColor="text1"/>
        </w:rPr>
        <w:t>第六部分：保障措施</w:t>
      </w:r>
      <w:r>
        <w:rPr>
          <w:color w:val="000000" w:themeColor="text1"/>
        </w:rPr>
        <w:tab/>
      </w:r>
      <w:r>
        <w:rPr>
          <w:color w:val="000000" w:themeColor="text1"/>
        </w:rPr>
        <w:fldChar w:fldCharType="begin"/>
      </w:r>
      <w:r>
        <w:rPr>
          <w:color w:val="000000" w:themeColor="text1"/>
        </w:rPr>
        <w:instrText xml:space="preserve"> PAGEREF _Toc72933228 \h </w:instrText>
      </w:r>
      <w:r>
        <w:rPr>
          <w:color w:val="000000" w:themeColor="text1"/>
        </w:rPr>
        <w:fldChar w:fldCharType="separate"/>
      </w:r>
      <w:r>
        <w:rPr>
          <w:color w:val="000000" w:themeColor="text1"/>
        </w:rPr>
        <w:t>34</w:t>
      </w:r>
      <w:r>
        <w:rPr>
          <w:color w:val="000000" w:themeColor="text1"/>
        </w:rPr>
        <w:fldChar w:fldCharType="end"/>
      </w:r>
      <w:r>
        <w:rPr>
          <w:color w:val="000000" w:themeColor="text1"/>
        </w:rPr>
        <w:fldChar w:fldCharType="end"/>
      </w:r>
    </w:p>
    <w:p>
      <w:pPr>
        <w:pStyle w:val="12"/>
        <w:spacing w:line="400" w:lineRule="exact"/>
        <w:ind w:firstLine="240" w:firstLineChars="100"/>
        <w:rPr>
          <w:rFonts w:asciiTheme="minorHAnsi" w:hAnsiTheme="minorHAnsi" w:eastAsiaTheme="minorEastAsia"/>
          <w:color w:val="000000" w:themeColor="text1"/>
          <w:kern w:val="2"/>
          <w:sz w:val="28"/>
          <w:szCs w:val="28"/>
        </w:rPr>
      </w:pPr>
      <w:r>
        <w:fldChar w:fldCharType="begin"/>
      </w:r>
      <w:r>
        <w:instrText xml:space="preserve"> HYPERLINK \l "_Toc72933229" </w:instrText>
      </w:r>
      <w:r>
        <w:fldChar w:fldCharType="separate"/>
      </w:r>
      <w:r>
        <w:rPr>
          <w:rStyle w:val="18"/>
          <w:rFonts w:hint="eastAsia"/>
          <w:color w:val="000000" w:themeColor="text1"/>
          <w:sz w:val="28"/>
          <w:szCs w:val="28"/>
        </w:rPr>
        <w:t>一、党建引领</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_Toc72933229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35</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2"/>
        <w:spacing w:line="400" w:lineRule="exact"/>
        <w:ind w:firstLine="240" w:firstLineChars="100"/>
        <w:rPr>
          <w:rFonts w:asciiTheme="minorHAnsi" w:hAnsiTheme="minorHAnsi" w:eastAsiaTheme="minorEastAsia"/>
          <w:color w:val="000000" w:themeColor="text1"/>
          <w:kern w:val="2"/>
          <w:sz w:val="28"/>
          <w:szCs w:val="28"/>
        </w:rPr>
      </w:pPr>
      <w:r>
        <w:fldChar w:fldCharType="begin"/>
      </w:r>
      <w:r>
        <w:instrText xml:space="preserve"> HYPERLINK \l "_Toc72933230" </w:instrText>
      </w:r>
      <w:r>
        <w:fldChar w:fldCharType="separate"/>
      </w:r>
      <w:r>
        <w:rPr>
          <w:rStyle w:val="18"/>
          <w:rFonts w:hint="eastAsia"/>
          <w:color w:val="000000" w:themeColor="text1"/>
          <w:sz w:val="28"/>
          <w:szCs w:val="28"/>
        </w:rPr>
        <w:t>二、依法行政</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_Toc72933230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35</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pStyle w:val="12"/>
        <w:spacing w:line="400" w:lineRule="exact"/>
        <w:ind w:firstLine="240" w:firstLineChars="100"/>
        <w:rPr>
          <w:rFonts w:asciiTheme="minorHAnsi" w:hAnsiTheme="minorHAnsi" w:eastAsiaTheme="minorEastAsia"/>
          <w:color w:val="000000" w:themeColor="text1"/>
          <w:kern w:val="2"/>
          <w:sz w:val="21"/>
          <w:szCs w:val="22"/>
        </w:rPr>
      </w:pPr>
      <w:r>
        <w:fldChar w:fldCharType="begin"/>
      </w:r>
      <w:r>
        <w:instrText xml:space="preserve"> HYPERLINK \l "_Toc72933231" </w:instrText>
      </w:r>
      <w:r>
        <w:fldChar w:fldCharType="separate"/>
      </w:r>
      <w:r>
        <w:rPr>
          <w:rStyle w:val="18"/>
          <w:rFonts w:hint="eastAsia"/>
          <w:color w:val="000000" w:themeColor="text1"/>
          <w:sz w:val="28"/>
          <w:szCs w:val="28"/>
        </w:rPr>
        <w:t>三、组织保障</w:t>
      </w:r>
      <w:r>
        <w:rPr>
          <w:color w:val="000000" w:themeColor="text1"/>
          <w:sz w:val="28"/>
          <w:szCs w:val="28"/>
        </w:rPr>
        <w:tab/>
      </w:r>
      <w:r>
        <w:rPr>
          <w:rFonts w:asciiTheme="minorHAnsi" w:hAnsiTheme="minorHAnsi"/>
          <w:color w:val="000000" w:themeColor="text1"/>
          <w:sz w:val="28"/>
          <w:szCs w:val="28"/>
        </w:rPr>
        <w:fldChar w:fldCharType="begin"/>
      </w:r>
      <w:r>
        <w:rPr>
          <w:rFonts w:asciiTheme="minorHAnsi" w:hAnsiTheme="minorHAnsi"/>
          <w:color w:val="000000" w:themeColor="text1"/>
          <w:sz w:val="28"/>
          <w:szCs w:val="28"/>
        </w:rPr>
        <w:instrText xml:space="preserve"> PAGEREF _Toc72933231 \h </w:instrText>
      </w:r>
      <w:r>
        <w:rPr>
          <w:rFonts w:asciiTheme="minorHAnsi" w:hAnsiTheme="minorHAnsi"/>
          <w:color w:val="000000" w:themeColor="text1"/>
          <w:sz w:val="28"/>
          <w:szCs w:val="28"/>
        </w:rPr>
        <w:fldChar w:fldCharType="separate"/>
      </w:r>
      <w:r>
        <w:rPr>
          <w:rFonts w:asciiTheme="minorHAnsi" w:hAnsiTheme="minorHAnsi"/>
          <w:color w:val="000000" w:themeColor="text1"/>
          <w:sz w:val="28"/>
          <w:szCs w:val="28"/>
        </w:rPr>
        <w:t>36</w:t>
      </w:r>
      <w:r>
        <w:rPr>
          <w:rFonts w:asciiTheme="minorHAnsi" w:hAnsiTheme="minorHAnsi"/>
          <w:color w:val="000000" w:themeColor="text1"/>
          <w:sz w:val="28"/>
          <w:szCs w:val="28"/>
        </w:rPr>
        <w:fldChar w:fldCharType="end"/>
      </w:r>
      <w:r>
        <w:rPr>
          <w:rFonts w:asciiTheme="minorHAnsi" w:hAnsiTheme="minorHAnsi"/>
          <w:color w:val="000000" w:themeColor="text1"/>
          <w:sz w:val="28"/>
          <w:szCs w:val="28"/>
        </w:rPr>
        <w:fldChar w:fldCharType="end"/>
      </w:r>
    </w:p>
    <w:p>
      <w:pPr>
        <w:widowControl/>
        <w:adjustRightInd/>
        <w:snapToGrid/>
        <w:spacing w:after="200" w:line="400" w:lineRule="exact"/>
        <w:jc w:val="left"/>
        <w:textAlignment w:val="auto"/>
        <w:rPr>
          <w:rFonts w:eastAsia="黑体"/>
          <w:color w:val="000000" w:themeColor="text1"/>
          <w:sz w:val="24"/>
          <w:szCs w:val="24"/>
        </w:rPr>
        <w:sectPr>
          <w:footerReference r:id="rId3" w:type="default"/>
          <w:pgSz w:w="11906" w:h="16838"/>
          <w:pgMar w:top="1440" w:right="1800" w:bottom="1440" w:left="1800" w:header="708" w:footer="708" w:gutter="0"/>
          <w:cols w:space="708" w:num="1"/>
          <w:docGrid w:linePitch="360" w:charSpace="0"/>
        </w:sectPr>
      </w:pPr>
      <w:r>
        <w:rPr>
          <w:rFonts w:eastAsia="黑体"/>
          <w:color w:val="000000" w:themeColor="text1"/>
          <w:sz w:val="28"/>
          <w:szCs w:val="28"/>
        </w:rPr>
        <w:fldChar w:fldCharType="end"/>
      </w:r>
      <w:bookmarkStart w:id="1" w:name="_Toc40110496"/>
    </w:p>
    <w:bookmarkEnd w:id="0"/>
    <w:bookmarkEnd w:id="1"/>
    <w:p>
      <w:pPr>
        <w:pStyle w:val="2"/>
        <w:spacing w:before="0" w:after="0" w:line="560" w:lineRule="exact"/>
        <w:jc w:val="center"/>
        <w:rPr>
          <w:rFonts w:eastAsia="黑体"/>
          <w:b w:val="0"/>
          <w:color w:val="000000" w:themeColor="text1"/>
          <w:sz w:val="36"/>
          <w:szCs w:val="36"/>
        </w:rPr>
      </w:pPr>
      <w:bookmarkStart w:id="2" w:name="_Toc72933167"/>
      <w:r>
        <w:rPr>
          <w:rFonts w:hint="eastAsia" w:eastAsia="黑体"/>
          <w:b w:val="0"/>
          <w:color w:val="000000" w:themeColor="text1"/>
          <w:sz w:val="36"/>
          <w:szCs w:val="36"/>
        </w:rPr>
        <w:t>第一部分：发展成就</w:t>
      </w:r>
      <w:bookmarkEnd w:id="2"/>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“十三五”时期</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随着北京城市副中心建设不断加快，通州区全面深化制度改革，人力资源和社会保障事业取得了显著成效和重大突破。五年来，我们坚决贯彻市委市政府部署及区委区政府要求，人力资源和社会保障工作牢牢把握“围绕中心、服务大局、民生为本、人才优先”的工作主线，坚持党建引领，树立以人为本的理念，努力保障和改善民生，确保多项工作走在全市前列，全面完成了“十三五”时期主要目标任务。</w:t>
      </w:r>
    </w:p>
    <w:p>
      <w:pPr>
        <w:spacing w:line="560" w:lineRule="exact"/>
        <w:ind w:firstLine="643" w:firstLineChars="200"/>
        <w:rPr>
          <w:rFonts w:ascii="仿宋_GB2312" w:hAnsi="黑体" w:eastAsia="仿宋_GB2312"/>
          <w:color w:val="000000" w:themeColor="text1"/>
          <w:sz w:val="32"/>
          <w:szCs w:val="32"/>
        </w:rPr>
      </w:pPr>
      <w:r>
        <w:rPr>
          <w:rFonts w:hint="eastAsia" w:ascii="仿宋_GB2312" w:hAnsi="黑体" w:eastAsia="仿宋_GB2312"/>
          <w:b/>
          <w:color w:val="000000" w:themeColor="text1"/>
          <w:sz w:val="32"/>
          <w:szCs w:val="32"/>
        </w:rPr>
        <w:t>实施积极的就业政策，稳定和促进就业成效显著。</w:t>
      </w:r>
      <w:r>
        <w:rPr>
          <w:rFonts w:hint="eastAsia" w:ascii="仿宋_GB2312" w:hAnsi="黑体" w:eastAsia="仿宋_GB2312"/>
          <w:color w:val="000000" w:themeColor="text1"/>
          <w:sz w:val="32"/>
          <w:szCs w:val="32"/>
        </w:rPr>
        <w:t>“十三五”期间将就业工作列为重中之重，全力促进实现更充分更高质量就业。</w:t>
      </w:r>
      <w:r>
        <w:rPr>
          <w:rFonts w:ascii="仿宋_GB2312" w:hAnsi="黑体" w:eastAsia="仿宋_GB2312"/>
          <w:color w:val="000000" w:themeColor="text1"/>
          <w:sz w:val="32"/>
          <w:szCs w:val="32"/>
        </w:rPr>
        <w:t>5</w:t>
      </w:r>
      <w:r>
        <w:rPr>
          <w:rFonts w:hint="eastAsia" w:ascii="仿宋_GB2312" w:hAnsi="黑体" w:eastAsia="仿宋_GB2312"/>
          <w:color w:val="000000" w:themeColor="text1"/>
          <w:sz w:val="32"/>
          <w:szCs w:val="32"/>
        </w:rPr>
        <w:t>年来，全区累计实现城乡劳动力就业</w:t>
      </w:r>
      <w:r>
        <w:rPr>
          <w:rFonts w:ascii="仿宋_GB2312" w:hAnsi="黑体" w:eastAsia="仿宋_GB2312"/>
          <w:color w:val="000000" w:themeColor="text1"/>
          <w:sz w:val="32"/>
          <w:szCs w:val="32"/>
        </w:rPr>
        <w:t>9.</w:t>
      </w:r>
      <w:r>
        <w:rPr>
          <w:rFonts w:hint="eastAsia" w:ascii="仿宋_GB2312" w:hAnsi="黑体" w:eastAsia="仿宋_GB2312"/>
          <w:color w:val="000000" w:themeColor="text1"/>
          <w:sz w:val="32"/>
          <w:szCs w:val="32"/>
        </w:rPr>
        <w:t>65万人，其中就业困难人员</w:t>
      </w:r>
      <w:r>
        <w:rPr>
          <w:rFonts w:ascii="仿宋_GB2312" w:hAnsi="黑体" w:eastAsia="仿宋_GB2312"/>
          <w:color w:val="000000" w:themeColor="text1"/>
          <w:sz w:val="32"/>
          <w:szCs w:val="32"/>
        </w:rPr>
        <w:t>6.5</w:t>
      </w:r>
      <w:r>
        <w:rPr>
          <w:rFonts w:hint="eastAsia" w:ascii="仿宋_GB2312" w:hAnsi="黑体" w:eastAsia="仿宋_GB2312"/>
          <w:color w:val="000000" w:themeColor="text1"/>
          <w:sz w:val="32"/>
          <w:szCs w:val="32"/>
        </w:rPr>
        <w:t>万人，城镇登记失业率控制在</w:t>
      </w:r>
      <w:r>
        <w:rPr>
          <w:rFonts w:ascii="仿宋_GB2312" w:hAnsi="黑体" w:eastAsia="仿宋_GB2312"/>
          <w:color w:val="000000" w:themeColor="text1"/>
          <w:sz w:val="32"/>
          <w:szCs w:val="32"/>
        </w:rPr>
        <w:t>3.50%</w:t>
      </w:r>
      <w:r>
        <w:rPr>
          <w:rFonts w:hint="eastAsia" w:ascii="仿宋_GB2312" w:hAnsi="黑体" w:eastAsia="仿宋_GB2312"/>
          <w:color w:val="000000" w:themeColor="text1"/>
          <w:sz w:val="32"/>
          <w:szCs w:val="32"/>
        </w:rPr>
        <w:t>以内。职业技能培训力度持续增强，成立区级职业培训联席会，制定了《通州区城乡劳动力技能提升培训三年行动实施方案》、《通州区职工岗位技能提升专项培训管理办法（试行）》，积极开展城乡劳动力政策性培训，累计已完成培训</w:t>
      </w:r>
      <w:r>
        <w:rPr>
          <w:rFonts w:ascii="仿宋_GB2312" w:hAnsi="黑体" w:eastAsia="仿宋_GB2312"/>
          <w:color w:val="000000" w:themeColor="text1"/>
          <w:sz w:val="32"/>
          <w:szCs w:val="32"/>
        </w:rPr>
        <w:t>13.32</w:t>
      </w:r>
      <w:r>
        <w:rPr>
          <w:rFonts w:hint="eastAsia" w:ascii="仿宋_GB2312" w:hAnsi="黑体" w:eastAsia="仿宋_GB2312"/>
          <w:color w:val="000000" w:themeColor="text1"/>
          <w:sz w:val="32"/>
          <w:szCs w:val="32"/>
        </w:rPr>
        <w:t>万人次。创业扶持范围进一步扩大，出台了创业一次性补贴、创业场地房租补贴、创业带动就业一次性奖励、创业孵化基地运作补贴等</w:t>
      </w:r>
      <w:r>
        <w:rPr>
          <w:rFonts w:ascii="仿宋_GB2312" w:hAnsi="黑体" w:eastAsia="仿宋_GB2312"/>
          <w:color w:val="000000" w:themeColor="text1"/>
          <w:sz w:val="32"/>
          <w:szCs w:val="32"/>
        </w:rPr>
        <w:t>9</w:t>
      </w:r>
      <w:r>
        <w:rPr>
          <w:rFonts w:hint="eastAsia" w:ascii="仿宋_GB2312" w:hAnsi="黑体" w:eastAsia="仿宋_GB2312"/>
          <w:color w:val="000000" w:themeColor="text1"/>
          <w:sz w:val="32"/>
          <w:szCs w:val="32"/>
        </w:rPr>
        <w:t>项政策，逐步构建起比较完备的创业政策扶持体系。构建统一规范的人力资源市场体系，充分发挥人力资源市场促进就业的主渠道作用，加强监督管理，机构数量由</w:t>
      </w:r>
      <w:r>
        <w:rPr>
          <w:rFonts w:ascii="仿宋_GB2312" w:hAnsi="黑体" w:eastAsia="仿宋_GB2312"/>
          <w:color w:val="000000" w:themeColor="text1"/>
          <w:sz w:val="32"/>
          <w:szCs w:val="32"/>
        </w:rPr>
        <w:t>2016</w:t>
      </w:r>
      <w:r>
        <w:rPr>
          <w:rFonts w:hint="eastAsia" w:ascii="仿宋_GB2312" w:hAnsi="黑体" w:eastAsia="仿宋_GB2312"/>
          <w:color w:val="000000" w:themeColor="text1"/>
          <w:sz w:val="32"/>
          <w:szCs w:val="32"/>
        </w:rPr>
        <w:t>年的</w:t>
      </w:r>
      <w:r>
        <w:rPr>
          <w:rFonts w:ascii="仿宋_GB2312" w:hAnsi="黑体" w:eastAsia="仿宋_GB2312"/>
          <w:color w:val="000000" w:themeColor="text1"/>
          <w:sz w:val="32"/>
          <w:szCs w:val="32"/>
        </w:rPr>
        <w:t>30</w:t>
      </w:r>
      <w:r>
        <w:rPr>
          <w:rFonts w:hint="eastAsia" w:ascii="仿宋_GB2312" w:hAnsi="黑体" w:eastAsia="仿宋_GB2312"/>
          <w:color w:val="000000" w:themeColor="text1"/>
          <w:sz w:val="32"/>
          <w:szCs w:val="32"/>
        </w:rPr>
        <w:t>家增加到</w:t>
      </w:r>
      <w:r>
        <w:rPr>
          <w:rFonts w:ascii="仿宋_GB2312" w:hAnsi="黑体" w:eastAsia="仿宋_GB2312"/>
          <w:color w:val="000000" w:themeColor="text1"/>
          <w:sz w:val="32"/>
          <w:szCs w:val="32"/>
        </w:rPr>
        <w:t>138</w:t>
      </w:r>
      <w:r>
        <w:rPr>
          <w:rFonts w:hint="eastAsia" w:ascii="仿宋_GB2312" w:hAnsi="黑体" w:eastAsia="仿宋_GB2312"/>
          <w:color w:val="000000" w:themeColor="text1"/>
          <w:sz w:val="32"/>
          <w:szCs w:val="32"/>
        </w:rPr>
        <w:t>家，有效提高人力资源优化配置效率。落实精准扶贫任务，与支援合作地区建立劳务协作精准对接机制，搭建合作交流、供需交流、素质提升三个平台。针对全区低收入农户劳动力，开展帮扶活动，实现了有就业意愿的低收入农户劳动力百分百就业。</w:t>
      </w:r>
    </w:p>
    <w:p>
      <w:pPr>
        <w:spacing w:line="560" w:lineRule="exact"/>
        <w:ind w:firstLine="643" w:firstLineChars="200"/>
        <w:rPr>
          <w:rFonts w:ascii="仿宋_GB2312" w:hAnsi="黑体" w:eastAsia="仿宋_GB2312"/>
          <w:color w:val="000000" w:themeColor="text1"/>
          <w:sz w:val="32"/>
          <w:szCs w:val="32"/>
        </w:rPr>
      </w:pPr>
      <w:r>
        <w:rPr>
          <w:rFonts w:hint="eastAsia" w:ascii="仿宋_GB2312" w:hAnsi="黑体" w:eastAsia="仿宋_GB2312"/>
          <w:b/>
          <w:color w:val="000000" w:themeColor="text1"/>
          <w:sz w:val="32"/>
          <w:szCs w:val="32"/>
        </w:rPr>
        <w:t>发挥人力资源产业园功能，人才集聚效应不断凸显。</w:t>
      </w:r>
      <w:r>
        <w:rPr>
          <w:rFonts w:hint="eastAsia" w:ascii="仿宋_GB2312" w:hAnsi="黑体" w:eastAsia="仿宋_GB2312"/>
          <w:color w:val="000000" w:themeColor="text1"/>
          <w:sz w:val="32"/>
          <w:szCs w:val="32"/>
        </w:rPr>
        <w:t>按照“政府公共服务</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人力资源产业发展”的定位思路，</w:t>
      </w:r>
      <w:r>
        <w:rPr>
          <w:rFonts w:ascii="仿宋_GB2312" w:hAnsi="黑体" w:eastAsia="仿宋_GB2312"/>
          <w:color w:val="000000" w:themeColor="text1"/>
          <w:sz w:val="32"/>
          <w:szCs w:val="32"/>
        </w:rPr>
        <w:t>2019</w:t>
      </w:r>
      <w:r>
        <w:rPr>
          <w:rFonts w:hint="eastAsia" w:ascii="仿宋_GB2312" w:hAnsi="黑体" w:eastAsia="仿宋_GB2312"/>
          <w:color w:val="000000" w:themeColor="text1"/>
          <w:sz w:val="32"/>
          <w:szCs w:val="32"/>
        </w:rPr>
        <w:t>年顺利开园，正式签约入驻</w:t>
      </w:r>
      <w:r>
        <w:rPr>
          <w:rFonts w:ascii="仿宋_GB2312" w:hAnsi="黑体" w:eastAsia="仿宋_GB2312"/>
          <w:color w:val="000000" w:themeColor="text1"/>
          <w:sz w:val="32"/>
          <w:szCs w:val="32"/>
        </w:rPr>
        <w:t>5</w:t>
      </w:r>
      <w:r>
        <w:rPr>
          <w:rFonts w:hint="eastAsia" w:ascii="仿宋_GB2312" w:hAnsi="黑体" w:eastAsia="仿宋_GB2312"/>
          <w:color w:val="000000" w:themeColor="text1"/>
          <w:sz w:val="32"/>
          <w:szCs w:val="32"/>
        </w:rPr>
        <w:t>1家，</w:t>
      </w:r>
      <w:r>
        <w:rPr>
          <w:rFonts w:ascii="仿宋_GB2312" w:hAnsi="黑体" w:eastAsia="仿宋_GB2312"/>
          <w:color w:val="000000" w:themeColor="text1"/>
          <w:sz w:val="32"/>
          <w:szCs w:val="32"/>
        </w:rPr>
        <w:t>46</w:t>
      </w:r>
      <w:r>
        <w:rPr>
          <w:rFonts w:hint="eastAsia" w:ascii="仿宋_GB2312" w:hAnsi="黑体" w:eastAsia="仿宋_GB2312"/>
          <w:color w:val="000000" w:themeColor="text1"/>
          <w:sz w:val="32"/>
          <w:szCs w:val="32"/>
        </w:rPr>
        <w:t>家实现正式办公。全国前</w:t>
      </w:r>
      <w:r>
        <w:rPr>
          <w:rFonts w:ascii="仿宋_GB2312" w:hAnsi="黑体" w:eastAsia="仿宋_GB2312"/>
          <w:color w:val="000000" w:themeColor="text1"/>
          <w:sz w:val="32"/>
          <w:szCs w:val="32"/>
        </w:rPr>
        <w:t>10</w:t>
      </w:r>
      <w:r>
        <w:rPr>
          <w:rFonts w:hint="eastAsia" w:ascii="仿宋_GB2312" w:hAnsi="黑体" w:eastAsia="仿宋_GB2312"/>
          <w:color w:val="000000" w:themeColor="text1"/>
          <w:sz w:val="32"/>
          <w:szCs w:val="32"/>
        </w:rPr>
        <w:t>名人力资源企业中已有</w:t>
      </w:r>
      <w:r>
        <w:rPr>
          <w:rFonts w:ascii="仿宋_GB2312" w:hAnsi="黑体" w:eastAsia="仿宋_GB2312"/>
          <w:color w:val="000000" w:themeColor="text1"/>
          <w:sz w:val="32"/>
          <w:szCs w:val="32"/>
        </w:rPr>
        <w:t>5</w:t>
      </w:r>
      <w:r>
        <w:rPr>
          <w:rFonts w:hint="eastAsia" w:ascii="仿宋_GB2312" w:hAnsi="黑体" w:eastAsia="仿宋_GB2312"/>
          <w:color w:val="000000" w:themeColor="text1"/>
          <w:sz w:val="32"/>
          <w:szCs w:val="32"/>
        </w:rPr>
        <w:t>家落户通州，园区第一年税收规模就达到</w:t>
      </w:r>
      <w:r>
        <w:rPr>
          <w:rFonts w:ascii="仿宋_GB2312" w:hAnsi="黑体" w:eastAsia="仿宋_GB2312"/>
          <w:color w:val="000000" w:themeColor="text1"/>
          <w:sz w:val="32"/>
          <w:szCs w:val="32"/>
        </w:rPr>
        <w:t>1.2</w:t>
      </w:r>
      <w:r>
        <w:rPr>
          <w:rFonts w:hint="eastAsia" w:ascii="仿宋_GB2312" w:hAnsi="黑体" w:eastAsia="仿宋_GB2312"/>
          <w:color w:val="000000" w:themeColor="text1"/>
          <w:sz w:val="32"/>
          <w:szCs w:val="32"/>
        </w:rPr>
        <w:t>亿元。依托园区定期举办人力资源服务高端研讨、品牌峰会、招聘会、培训会等各类活动，为区域内有需求的单位及个人，提供人才服务管理、定向培养、战略咨询、职业规划等覆盖人力资源服务各类业态的产品，充分发挥产业园集聚产业、培育市场、优化人才配置等功能，促进了人力资源服务企业规模化发展，产生了辐射效应。</w:t>
      </w:r>
    </w:p>
    <w:p>
      <w:pPr>
        <w:spacing w:line="560" w:lineRule="exact"/>
        <w:ind w:firstLine="643" w:firstLineChars="200"/>
        <w:rPr>
          <w:rFonts w:ascii="仿宋_GB2312" w:hAnsi="黑体" w:eastAsia="仿宋_GB2312"/>
          <w:color w:val="000000" w:themeColor="text1"/>
          <w:sz w:val="32"/>
          <w:szCs w:val="32"/>
        </w:rPr>
      </w:pPr>
      <w:r>
        <w:rPr>
          <w:rFonts w:hint="eastAsia" w:ascii="仿宋_GB2312" w:hAnsi="黑体" w:eastAsia="仿宋_GB2312"/>
          <w:b/>
          <w:color w:val="000000" w:themeColor="text1"/>
          <w:sz w:val="32"/>
          <w:szCs w:val="32"/>
        </w:rPr>
        <w:t>深化社会保险制度改革，社会保障水平稳步提高。</w:t>
      </w:r>
      <w:r>
        <w:rPr>
          <w:rFonts w:hint="eastAsia" w:ascii="仿宋_GB2312" w:hAnsi="黑体" w:eastAsia="仿宋_GB2312"/>
          <w:color w:val="000000" w:themeColor="text1"/>
          <w:sz w:val="32"/>
          <w:szCs w:val="32"/>
        </w:rPr>
        <w:t>“十三五”时期，认真贯彻落实市、区决策部署，社会保险改革任务有序推进，各项惠民政策有效落实，兜底保障功能得到强化，着力构建统一规范、便民快捷的社会保险经办服务管理体系，提高管理效率和服务水平。“十三五”末，城镇职工各项社会保险参保单位</w:t>
      </w:r>
      <w:r>
        <w:rPr>
          <w:rFonts w:ascii="仿宋_GB2312" w:hAnsi="黑体" w:eastAsia="仿宋_GB2312"/>
          <w:color w:val="000000" w:themeColor="text1"/>
          <w:sz w:val="32"/>
          <w:szCs w:val="32"/>
        </w:rPr>
        <w:t>5.</w:t>
      </w:r>
      <w:r>
        <w:rPr>
          <w:rFonts w:hint="eastAsia" w:ascii="仿宋_GB2312" w:hAnsi="黑体" w:eastAsia="仿宋_GB2312"/>
          <w:color w:val="000000" w:themeColor="text1"/>
          <w:sz w:val="32"/>
          <w:szCs w:val="32"/>
        </w:rPr>
        <w:t>2万家，同比“十二五”末增长</w:t>
      </w:r>
      <w:r>
        <w:rPr>
          <w:rFonts w:ascii="仿宋_GB2312" w:hAnsi="黑体" w:eastAsia="仿宋_GB2312"/>
          <w:color w:val="000000" w:themeColor="text1"/>
          <w:sz w:val="32"/>
          <w:szCs w:val="32"/>
        </w:rPr>
        <w:t>13</w:t>
      </w:r>
      <w:r>
        <w:rPr>
          <w:rFonts w:hint="eastAsia" w:ascii="仿宋_GB2312" w:hAnsi="黑体" w:eastAsia="仿宋_GB2312"/>
          <w:color w:val="000000" w:themeColor="text1"/>
          <w:sz w:val="32"/>
          <w:szCs w:val="32"/>
        </w:rPr>
        <w:t>1.2</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；养老、失业和工伤保险规模分别达92.27万人、50.26万人和46.69万人，同比“十二五”末分别增长</w:t>
      </w:r>
      <w:r>
        <w:rPr>
          <w:rFonts w:ascii="仿宋_GB2312" w:hAnsi="黑体" w:eastAsia="仿宋_GB2312"/>
          <w:color w:val="000000" w:themeColor="text1"/>
          <w:sz w:val="32"/>
          <w:szCs w:val="32"/>
        </w:rPr>
        <w:t>2</w:t>
      </w:r>
      <w:r>
        <w:rPr>
          <w:rFonts w:hint="eastAsia" w:ascii="仿宋_GB2312" w:hAnsi="黑体" w:eastAsia="仿宋_GB2312"/>
          <w:color w:val="000000" w:themeColor="text1"/>
          <w:sz w:val="32"/>
          <w:szCs w:val="32"/>
        </w:rPr>
        <w:t>6.3</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、50.5</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和</w:t>
      </w:r>
      <w:r>
        <w:rPr>
          <w:rFonts w:ascii="仿宋_GB2312" w:hAnsi="黑体" w:eastAsia="仿宋_GB2312"/>
          <w:color w:val="000000" w:themeColor="text1"/>
          <w:sz w:val="32"/>
          <w:szCs w:val="32"/>
        </w:rPr>
        <w:t>4</w:t>
      </w:r>
      <w:r>
        <w:rPr>
          <w:rFonts w:hint="eastAsia" w:ascii="仿宋_GB2312" w:hAnsi="黑体" w:eastAsia="仿宋_GB2312"/>
          <w:color w:val="000000" w:themeColor="text1"/>
          <w:sz w:val="32"/>
          <w:szCs w:val="32"/>
        </w:rPr>
        <w:t>2.3</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；三险基金累计收缴411.48亿元，为“十二五”期间的</w:t>
      </w:r>
      <w:r>
        <w:rPr>
          <w:rFonts w:ascii="仿宋_GB2312" w:hAnsi="黑体" w:eastAsia="仿宋_GB2312"/>
          <w:color w:val="000000" w:themeColor="text1"/>
          <w:sz w:val="32"/>
          <w:szCs w:val="32"/>
        </w:rPr>
        <w:t>2.1</w:t>
      </w:r>
      <w:r>
        <w:rPr>
          <w:rFonts w:hint="eastAsia" w:ascii="仿宋_GB2312" w:hAnsi="黑体" w:eastAsia="仿宋_GB2312"/>
          <w:color w:val="000000" w:themeColor="text1"/>
          <w:sz w:val="32"/>
          <w:szCs w:val="32"/>
        </w:rPr>
        <w:t>倍。优化机关事业单位养老保险参保经办服务，实现业务“网上办理”。社会保险待遇水平逐步提高，社会保险基金运行安全有效，经办管理服务体系日趋完善。“十三五”期间，全区企业离退休人员的养老金、福利养老金补贴、失业保险金、农民合同制工人一次性生活补助费、工伤保险伤残津贴、护理费、供养亲属抚恤金均有较大幅度的提升。建立健全实时监控、主动预警的防控系统，推行“前端受理、中端复核、后端监督”的三级监控机制和“前端受理，中端经办、后端复核”的工作新模式，实现业务档案电子化和实时移交，建立起统一规范、便民快捷的社会保险经办管理服务体系，让“数据多跑路、百姓少跑腿”。</w:t>
      </w:r>
    </w:p>
    <w:p>
      <w:pPr>
        <w:spacing w:line="560" w:lineRule="exact"/>
        <w:ind w:firstLine="643" w:firstLineChars="200"/>
        <w:rPr>
          <w:rFonts w:ascii="仿宋_GB2312" w:hAnsi="黑体" w:eastAsia="仿宋_GB2312"/>
          <w:color w:val="000000" w:themeColor="text1"/>
          <w:sz w:val="32"/>
          <w:szCs w:val="32"/>
        </w:rPr>
      </w:pPr>
      <w:r>
        <w:rPr>
          <w:rFonts w:hint="eastAsia" w:ascii="仿宋_GB2312" w:hAnsi="黑体" w:eastAsia="仿宋_GB2312"/>
          <w:b/>
          <w:color w:val="000000" w:themeColor="text1"/>
          <w:sz w:val="32"/>
          <w:szCs w:val="32"/>
        </w:rPr>
        <w:t>推进管理制度改革，人事人才工作持续加强。</w:t>
      </w:r>
      <w:r>
        <w:rPr>
          <w:rFonts w:hint="eastAsia" w:ascii="仿宋_GB2312" w:hAnsi="黑体" w:eastAsia="仿宋_GB2312"/>
          <w:color w:val="000000" w:themeColor="text1"/>
          <w:sz w:val="32"/>
          <w:szCs w:val="32"/>
        </w:rPr>
        <w:t>以服务创新驱动发展为核心，深化机关事业单位人事制度改革，积极探索事业单位人事管理新模式，畅通人员队伍成长通道，形成公平公正、监督到位、灵活有效、充满活力的人事管理制度。事业单位人事制度改革稳步推进，建立聘用合同签订制度，进一步完善公开招聘制度，健全考核奖惩制度，初步形成比较完善的符合不同行业特点的事业单位管理体制、用人机制和政策体系，进一步优化事业单位工作人员队伍结构。“十三五”期间共招聘事业单位工作人员</w:t>
      </w:r>
      <w:r>
        <w:rPr>
          <w:rFonts w:ascii="仿宋_GB2312" w:hAnsi="黑体" w:eastAsia="仿宋_GB2312"/>
          <w:color w:val="000000" w:themeColor="text1"/>
          <w:sz w:val="32"/>
          <w:szCs w:val="32"/>
        </w:rPr>
        <w:t>4172</w:t>
      </w:r>
      <w:r>
        <w:rPr>
          <w:rFonts w:hint="eastAsia" w:ascii="仿宋_GB2312" w:hAnsi="黑体" w:eastAsia="仿宋_GB2312"/>
          <w:color w:val="000000" w:themeColor="text1"/>
          <w:sz w:val="32"/>
          <w:szCs w:val="32"/>
        </w:rPr>
        <w:t>人，其中研究生占比达</w:t>
      </w:r>
      <w:r>
        <w:rPr>
          <w:rFonts w:ascii="仿宋_GB2312" w:hAnsi="黑体" w:eastAsia="仿宋_GB2312"/>
          <w:color w:val="000000" w:themeColor="text1"/>
          <w:sz w:val="32"/>
          <w:szCs w:val="32"/>
        </w:rPr>
        <w:t>36.3%</w:t>
      </w:r>
      <w:r>
        <w:rPr>
          <w:rFonts w:hint="eastAsia" w:ascii="仿宋_GB2312" w:hAnsi="黑体" w:eastAsia="仿宋_GB2312"/>
          <w:color w:val="000000" w:themeColor="text1"/>
          <w:sz w:val="32"/>
          <w:szCs w:val="32"/>
        </w:rPr>
        <w:t>。工资和收入分配制度改革稳步推进，落实本市事业单位绩效工资总量动态调整相关政策，完成公立医院薪酬制度改革工作，工资政策逐一落实，工资管理规范到位。政府聘用人员管理逐步规范化，建立了精准动态的人员数据库，实现政府聘用人员精细化管理，通过重塑协管员管理体系，在各街道、乡镇组建城市治理、公共服务两支综合协管队伍，实现“一专多能、统筹使用”，使其职能履行更加简洁高效。大学生村官管理服务呈现新常态，通过岗前培训、专题培训、外出学习等方式对大学生村官进行培训，增强教育培训实效性，加大扶持乡村振兴协理员创业富民力度，助推“三支一扶”计划。人事考试服务水平进一步提升，以人事考试公平公正安全为主线，以考场管理为重点，拓宽服务领域，全面提升办考能力、服务水平。</w:t>
      </w:r>
    </w:p>
    <w:p>
      <w:pPr>
        <w:spacing w:line="560" w:lineRule="exact"/>
        <w:ind w:firstLine="643" w:firstLineChars="200"/>
        <w:rPr>
          <w:rFonts w:ascii="仿宋_GB2312" w:hAnsi="黑体" w:eastAsia="仿宋_GB2312"/>
          <w:color w:val="000000" w:themeColor="text1"/>
          <w:sz w:val="32"/>
          <w:szCs w:val="32"/>
        </w:rPr>
      </w:pPr>
      <w:r>
        <w:rPr>
          <w:rFonts w:hint="eastAsia" w:ascii="仿宋_GB2312" w:hAnsi="黑体" w:eastAsia="仿宋_GB2312"/>
          <w:b/>
          <w:color w:val="000000" w:themeColor="text1"/>
          <w:sz w:val="32"/>
          <w:szCs w:val="32"/>
        </w:rPr>
        <w:t>完善劳动关系处理机制，总体劳动关系和谐平稳。</w:t>
      </w:r>
      <w:r>
        <w:rPr>
          <w:rFonts w:hint="eastAsia" w:ascii="仿宋_GB2312" w:hAnsi="黑体" w:eastAsia="仿宋_GB2312"/>
          <w:color w:val="000000" w:themeColor="text1"/>
          <w:sz w:val="32"/>
          <w:szCs w:val="32"/>
        </w:rPr>
        <w:t>坚持以人为本，以促进企业和谐发展为主题，以维护职工权益为根本，完善劳动关系协调机制，强化劳动监察执法效能，优化劳动人事争议仲裁制度，规范有序、和谐稳定的劳动关系新格局基本建立。劳动合同和集体合同制度覆盖面持续扩大，逐步完善以企业集体协商为主体，以行业性、区域性集体协商为重要补充，以工资集体协商为重要内容的集体协商机制。“十三五”期间，全区监测各类企业</w:t>
      </w:r>
      <w:r>
        <w:rPr>
          <w:rFonts w:ascii="仿宋_GB2312" w:hAnsi="黑体" w:eastAsia="仿宋_GB2312"/>
          <w:color w:val="000000" w:themeColor="text1"/>
          <w:sz w:val="32"/>
          <w:szCs w:val="32"/>
        </w:rPr>
        <w:t>1098</w:t>
      </w:r>
      <w:r>
        <w:rPr>
          <w:rFonts w:hint="eastAsia" w:ascii="仿宋_GB2312" w:hAnsi="黑体" w:eastAsia="仿宋_GB2312"/>
          <w:color w:val="000000" w:themeColor="text1"/>
          <w:sz w:val="32"/>
          <w:szCs w:val="32"/>
        </w:rPr>
        <w:t>户，覆盖职工</w:t>
      </w:r>
      <w:r>
        <w:rPr>
          <w:rFonts w:ascii="仿宋_GB2312" w:hAnsi="黑体" w:eastAsia="仿宋_GB2312"/>
          <w:color w:val="000000" w:themeColor="text1"/>
          <w:sz w:val="32"/>
          <w:szCs w:val="32"/>
        </w:rPr>
        <w:t>5</w:t>
      </w:r>
      <w:r>
        <w:rPr>
          <w:rFonts w:hint="eastAsia" w:ascii="仿宋_GB2312" w:hAnsi="黑体" w:eastAsia="仿宋_GB2312"/>
          <w:color w:val="000000" w:themeColor="text1"/>
          <w:sz w:val="32"/>
          <w:szCs w:val="32"/>
        </w:rPr>
        <w:t>.</w:t>
      </w:r>
      <w:r>
        <w:rPr>
          <w:rFonts w:ascii="仿宋_GB2312" w:hAnsi="黑体" w:eastAsia="仿宋_GB2312"/>
          <w:color w:val="000000" w:themeColor="text1"/>
          <w:sz w:val="32"/>
          <w:szCs w:val="32"/>
        </w:rPr>
        <w:t>7</w:t>
      </w:r>
      <w:r>
        <w:rPr>
          <w:rFonts w:hint="eastAsia" w:ascii="仿宋_GB2312" w:hAnsi="黑体" w:eastAsia="仿宋_GB2312"/>
          <w:color w:val="000000" w:themeColor="text1"/>
          <w:sz w:val="32"/>
          <w:szCs w:val="32"/>
        </w:rPr>
        <w:t>2万人，劳动合同签订率达到</w:t>
      </w:r>
      <w:r>
        <w:rPr>
          <w:rFonts w:ascii="仿宋_GB2312" w:hAnsi="黑体" w:eastAsia="仿宋_GB2312"/>
          <w:color w:val="000000" w:themeColor="text1"/>
          <w:sz w:val="32"/>
          <w:szCs w:val="32"/>
        </w:rPr>
        <w:t>99%</w:t>
      </w:r>
      <w:r>
        <w:rPr>
          <w:rFonts w:hint="eastAsia" w:ascii="仿宋_GB2312" w:hAnsi="黑体" w:eastAsia="仿宋_GB2312"/>
          <w:color w:val="000000" w:themeColor="text1"/>
          <w:sz w:val="32"/>
          <w:szCs w:val="32"/>
        </w:rPr>
        <w:t>以上，集体合同覆盖企业</w:t>
      </w:r>
      <w:r>
        <w:rPr>
          <w:rFonts w:ascii="仿宋_GB2312" w:hAnsi="黑体" w:eastAsia="仿宋_GB2312"/>
          <w:color w:val="000000" w:themeColor="text1"/>
          <w:sz w:val="32"/>
          <w:szCs w:val="32"/>
        </w:rPr>
        <w:t>1083</w:t>
      </w:r>
      <w:r>
        <w:rPr>
          <w:rFonts w:hint="eastAsia" w:ascii="仿宋_GB2312" w:hAnsi="黑体" w:eastAsia="仿宋_GB2312"/>
          <w:color w:val="000000" w:themeColor="text1"/>
          <w:sz w:val="32"/>
          <w:szCs w:val="32"/>
        </w:rPr>
        <w:t>户，涉及职工</w:t>
      </w:r>
      <w:r>
        <w:rPr>
          <w:rFonts w:ascii="仿宋_GB2312" w:hAnsi="黑体" w:eastAsia="仿宋_GB2312"/>
          <w:color w:val="000000" w:themeColor="text1"/>
          <w:sz w:val="32"/>
          <w:szCs w:val="32"/>
        </w:rPr>
        <w:t>7.64</w:t>
      </w:r>
      <w:r>
        <w:rPr>
          <w:rFonts w:hint="eastAsia" w:ascii="仿宋_GB2312" w:hAnsi="黑体" w:eastAsia="仿宋_GB2312"/>
          <w:color w:val="000000" w:themeColor="text1"/>
          <w:sz w:val="32"/>
          <w:szCs w:val="32"/>
        </w:rPr>
        <w:t>万人。推进劳动监察执法体制改革，推动执法重心下移，进一步加强劳动保障监察执法力度，建立以属地街镇为依托，住建、人社、公安等部门齐抓共管的重大、突发性、群体性事件应急联动处置机制，形成立体化、全方位、高效率的社会稳定防控格局。“十三五”期间，共办结各类案件</w:t>
      </w:r>
      <w:r>
        <w:rPr>
          <w:rFonts w:ascii="仿宋_GB2312" w:hAnsi="黑体" w:eastAsia="仿宋_GB2312"/>
          <w:color w:val="000000" w:themeColor="text1"/>
          <w:sz w:val="32"/>
          <w:szCs w:val="32"/>
        </w:rPr>
        <w:t>8368</w:t>
      </w:r>
      <w:r>
        <w:rPr>
          <w:rFonts w:hint="eastAsia" w:ascii="仿宋_GB2312" w:hAnsi="黑体" w:eastAsia="仿宋_GB2312"/>
          <w:color w:val="000000" w:themeColor="text1"/>
          <w:sz w:val="32"/>
          <w:szCs w:val="32"/>
        </w:rPr>
        <w:t>件，涉及各类款项</w:t>
      </w:r>
      <w:r>
        <w:rPr>
          <w:rFonts w:ascii="仿宋_GB2312" w:hAnsi="黑体" w:eastAsia="仿宋_GB2312"/>
          <w:color w:val="000000" w:themeColor="text1"/>
          <w:sz w:val="32"/>
          <w:szCs w:val="32"/>
        </w:rPr>
        <w:t>4.72</w:t>
      </w:r>
      <w:r>
        <w:rPr>
          <w:rFonts w:hint="eastAsia" w:ascii="仿宋_GB2312" w:hAnsi="黑体" w:eastAsia="仿宋_GB2312"/>
          <w:color w:val="000000" w:themeColor="text1"/>
          <w:sz w:val="32"/>
          <w:szCs w:val="32"/>
        </w:rPr>
        <w:t>亿元。做出行政处罚</w:t>
      </w:r>
      <w:r>
        <w:rPr>
          <w:rFonts w:ascii="仿宋_GB2312" w:hAnsi="黑体" w:eastAsia="仿宋_GB2312"/>
          <w:color w:val="000000" w:themeColor="text1"/>
          <w:sz w:val="32"/>
          <w:szCs w:val="32"/>
        </w:rPr>
        <w:t>296</w:t>
      </w:r>
      <w:r>
        <w:rPr>
          <w:rFonts w:hint="eastAsia" w:ascii="仿宋_GB2312" w:hAnsi="黑体" w:eastAsia="仿宋_GB2312"/>
          <w:color w:val="000000" w:themeColor="text1"/>
          <w:sz w:val="32"/>
          <w:szCs w:val="32"/>
        </w:rPr>
        <w:t>起，处罚金额共计</w:t>
      </w:r>
      <w:r>
        <w:rPr>
          <w:rFonts w:ascii="仿宋_GB2312" w:hAnsi="黑体" w:eastAsia="仿宋_GB2312"/>
          <w:color w:val="000000" w:themeColor="text1"/>
          <w:sz w:val="32"/>
          <w:szCs w:val="32"/>
        </w:rPr>
        <w:t>145.94</w:t>
      </w:r>
      <w:r>
        <w:rPr>
          <w:rFonts w:hint="eastAsia" w:ascii="仿宋_GB2312" w:hAnsi="黑体" w:eastAsia="仿宋_GB2312"/>
          <w:color w:val="000000" w:themeColor="text1"/>
          <w:sz w:val="32"/>
          <w:szCs w:val="32"/>
        </w:rPr>
        <w:t>万元。劳动人事争议调解仲裁机制持续优化，建立联席会议、重大案件沟通、信息资源共享、业务学习等四项长效工作机制，统一裁审尺度，提升办案质量。“十三五”期间，全区共有基层调解组织</w:t>
      </w:r>
      <w:r>
        <w:rPr>
          <w:rFonts w:ascii="仿宋_GB2312" w:hAnsi="黑体" w:eastAsia="仿宋_GB2312"/>
          <w:color w:val="000000" w:themeColor="text1"/>
          <w:sz w:val="32"/>
          <w:szCs w:val="32"/>
        </w:rPr>
        <w:t>155</w:t>
      </w:r>
      <w:r>
        <w:rPr>
          <w:rFonts w:hint="eastAsia" w:ascii="仿宋_GB2312" w:hAnsi="黑体" w:eastAsia="仿宋_GB2312"/>
          <w:color w:val="000000" w:themeColor="text1"/>
          <w:sz w:val="32"/>
          <w:szCs w:val="32"/>
        </w:rPr>
        <w:t>家，比“十二五”期间增加</w:t>
      </w:r>
      <w:r>
        <w:rPr>
          <w:rFonts w:ascii="仿宋_GB2312" w:hAnsi="黑体" w:eastAsia="仿宋_GB2312"/>
          <w:color w:val="000000" w:themeColor="text1"/>
          <w:sz w:val="32"/>
          <w:szCs w:val="32"/>
        </w:rPr>
        <w:t>90</w:t>
      </w:r>
      <w:r>
        <w:rPr>
          <w:rFonts w:hint="eastAsia" w:ascii="仿宋_GB2312" w:hAnsi="黑体" w:eastAsia="仿宋_GB2312"/>
          <w:color w:val="000000" w:themeColor="text1"/>
          <w:sz w:val="32"/>
          <w:szCs w:val="32"/>
        </w:rPr>
        <w:t>家，基层调解员</w:t>
      </w:r>
      <w:r>
        <w:rPr>
          <w:rFonts w:ascii="仿宋_GB2312" w:hAnsi="黑体" w:eastAsia="仿宋_GB2312"/>
          <w:color w:val="000000" w:themeColor="text1"/>
          <w:sz w:val="32"/>
          <w:szCs w:val="32"/>
        </w:rPr>
        <w:t>289</w:t>
      </w:r>
      <w:r>
        <w:rPr>
          <w:rFonts w:hint="eastAsia" w:ascii="仿宋_GB2312" w:hAnsi="黑体" w:eastAsia="仿宋_GB2312"/>
          <w:color w:val="000000" w:themeColor="text1"/>
          <w:sz w:val="32"/>
          <w:szCs w:val="32"/>
        </w:rPr>
        <w:t>名，比“十二五”期间增加</w:t>
      </w:r>
      <w:r>
        <w:rPr>
          <w:rFonts w:ascii="仿宋_GB2312" w:hAnsi="黑体" w:eastAsia="仿宋_GB2312"/>
          <w:color w:val="000000" w:themeColor="text1"/>
          <w:sz w:val="32"/>
          <w:szCs w:val="32"/>
        </w:rPr>
        <w:t>200</w:t>
      </w:r>
      <w:r>
        <w:rPr>
          <w:rFonts w:hint="eastAsia" w:ascii="仿宋_GB2312" w:hAnsi="黑体" w:eastAsia="仿宋_GB2312"/>
          <w:color w:val="000000" w:themeColor="text1"/>
          <w:sz w:val="32"/>
          <w:szCs w:val="32"/>
        </w:rPr>
        <w:t>名。建立工伤保险认定、劳动能力鉴定、业务经办“三位一体”的管理体制，规范工伤认定和劳动能力鉴定程序，劳动能力鉴定和工伤认定方式更加多元化。</w:t>
      </w:r>
    </w:p>
    <w:p>
      <w:pPr>
        <w:spacing w:line="560" w:lineRule="exact"/>
        <w:ind w:firstLine="643" w:firstLineChars="200"/>
        <w:rPr>
          <w:rFonts w:ascii="仿宋_GB2312" w:hAnsi="黑体" w:eastAsia="仿宋_GB2312"/>
          <w:color w:val="000000" w:themeColor="text1"/>
          <w:sz w:val="32"/>
          <w:szCs w:val="32"/>
        </w:rPr>
      </w:pPr>
      <w:r>
        <w:rPr>
          <w:rFonts w:hint="eastAsia" w:ascii="仿宋_GB2312" w:hAnsi="黑体" w:eastAsia="仿宋_GB2312"/>
          <w:b/>
          <w:color w:val="000000" w:themeColor="text1"/>
          <w:sz w:val="32"/>
          <w:szCs w:val="32"/>
        </w:rPr>
        <w:t>落实京津冀协同发展战略，初步形成三地人力社保服务体系。</w:t>
      </w:r>
      <w:r>
        <w:rPr>
          <w:rFonts w:hint="eastAsia" w:ascii="仿宋_GB2312" w:hAnsi="黑体" w:eastAsia="仿宋_GB2312"/>
          <w:color w:val="000000" w:themeColor="text1"/>
          <w:sz w:val="32"/>
          <w:szCs w:val="32"/>
        </w:rPr>
        <w:t>积极搭建联通、联动、联合的跨区域交流合作平台，努力实现重点领域深度协同、发展优势不断叠加，与京津冀协同发展要求相一致、与副中心战略定位相契合的人力资源和社会保障体系。加强与北三县就业协同发展，建立工作同研究、服务同标准、用工同招聘、人才同培训、矛盾同调处的“五同”工作机制，充分发挥人力资源服务产业园区的集聚辐射带动作用，共同成立“通武廊人力资源服务企业联盟”，在人力资源服务信息、服务政策、服务提供和服务升级一体化等方面三地进行深入合作。研究制定《通宝唐人力资源服务共享平台建设意见》，推进三地人力资源的交流与合作。“十三五”期间，三地共同举办“通武廊”大型专场招聘活动</w:t>
      </w:r>
      <w:r>
        <w:rPr>
          <w:rFonts w:ascii="仿宋_GB2312" w:hAnsi="黑体" w:eastAsia="仿宋_GB2312"/>
          <w:color w:val="000000" w:themeColor="text1"/>
          <w:sz w:val="32"/>
          <w:szCs w:val="32"/>
        </w:rPr>
        <w:t>10</w:t>
      </w:r>
      <w:r>
        <w:rPr>
          <w:rFonts w:hint="eastAsia" w:ascii="仿宋_GB2312" w:hAnsi="黑体" w:eastAsia="仿宋_GB2312"/>
          <w:color w:val="000000" w:themeColor="text1"/>
          <w:sz w:val="32"/>
          <w:szCs w:val="32"/>
        </w:rPr>
        <w:t>场，共提供就业机会</w:t>
      </w:r>
      <w:r>
        <w:rPr>
          <w:rFonts w:ascii="仿宋_GB2312" w:hAnsi="黑体" w:eastAsia="仿宋_GB2312"/>
          <w:color w:val="000000" w:themeColor="text1"/>
          <w:sz w:val="32"/>
          <w:szCs w:val="32"/>
        </w:rPr>
        <w:t>4.4</w:t>
      </w:r>
      <w:r>
        <w:rPr>
          <w:rFonts w:hint="eastAsia" w:ascii="仿宋_GB2312" w:hAnsi="黑体" w:eastAsia="仿宋_GB2312"/>
          <w:color w:val="000000" w:themeColor="text1"/>
          <w:sz w:val="32"/>
          <w:szCs w:val="32"/>
        </w:rPr>
        <w:t>万余个，</w:t>
      </w:r>
      <w:r>
        <w:rPr>
          <w:rFonts w:ascii="仿宋_GB2312" w:hAnsi="黑体" w:eastAsia="仿宋_GB2312"/>
          <w:color w:val="000000" w:themeColor="text1"/>
          <w:sz w:val="32"/>
          <w:szCs w:val="32"/>
        </w:rPr>
        <w:t>2.1</w:t>
      </w:r>
      <w:r>
        <w:rPr>
          <w:rFonts w:hint="eastAsia" w:ascii="仿宋_GB2312" w:hAnsi="黑体" w:eastAsia="仿宋_GB2312"/>
          <w:color w:val="000000" w:themeColor="text1"/>
          <w:sz w:val="32"/>
          <w:szCs w:val="32"/>
        </w:rPr>
        <w:t>万余名求职者与用人单位达成就业意向。社保关系接转进一步顺畅，不断优化社会保险经办服务，共享社会保险经办服务资源，“十三五”期间，共办结涉及京津冀社保转移</w:t>
      </w:r>
      <w:r>
        <w:rPr>
          <w:rFonts w:ascii="仿宋_GB2312" w:hAnsi="黑体" w:eastAsia="仿宋_GB2312"/>
          <w:color w:val="000000" w:themeColor="text1"/>
          <w:sz w:val="32"/>
          <w:szCs w:val="32"/>
        </w:rPr>
        <w:t>18378</w:t>
      </w:r>
      <w:r>
        <w:rPr>
          <w:rFonts w:hint="eastAsia" w:ascii="仿宋_GB2312" w:hAnsi="黑体" w:eastAsia="仿宋_GB2312"/>
          <w:color w:val="000000" w:themeColor="text1"/>
          <w:sz w:val="32"/>
          <w:szCs w:val="32"/>
        </w:rPr>
        <w:t>件，约占全区转移接续总业务量四分之一。技能技术人才队伍不断壮大，以三地高技能领域人才互联、互认、互享为目标，优先在创业资金、创业项目、经营场地等方面提供支持，享受当地相关扶持就业创业政策，促进京津冀地区人才交流合作及优化配置。协同处置机制日趋完善，通过建立完善调解仲裁和劳动保障监察区域协作机制，实现劳动维权“一点投诉、联动受理”。“十三五”期间，联合处理劳动人事争议及劳动监察案件</w:t>
      </w:r>
      <w:r>
        <w:rPr>
          <w:rFonts w:ascii="仿宋_GB2312" w:hAnsi="黑体" w:eastAsia="仿宋_GB2312"/>
          <w:color w:val="000000" w:themeColor="text1"/>
          <w:sz w:val="32"/>
          <w:szCs w:val="32"/>
        </w:rPr>
        <w:t>410</w:t>
      </w:r>
      <w:r>
        <w:rPr>
          <w:rFonts w:hint="eastAsia" w:ascii="仿宋_GB2312" w:hAnsi="黑体" w:eastAsia="仿宋_GB2312"/>
          <w:color w:val="000000" w:themeColor="text1"/>
          <w:sz w:val="32"/>
          <w:szCs w:val="32"/>
        </w:rPr>
        <w:t>件，实现了就近或跨区域维权。</w:t>
      </w:r>
    </w:p>
    <w:p>
      <w:pPr>
        <w:spacing w:line="560" w:lineRule="exact"/>
        <w:ind w:firstLine="643" w:firstLineChars="200"/>
        <w:rPr>
          <w:rFonts w:ascii="仿宋_GB2312" w:hAnsi="黑体" w:eastAsia="仿宋_GB2312"/>
          <w:color w:val="000000" w:themeColor="text1"/>
          <w:sz w:val="32"/>
          <w:szCs w:val="32"/>
        </w:rPr>
      </w:pPr>
      <w:r>
        <w:rPr>
          <w:rFonts w:hint="eastAsia" w:ascii="仿宋_GB2312" w:hAnsi="黑体" w:eastAsia="仿宋_GB2312"/>
          <w:b/>
          <w:color w:val="000000" w:themeColor="text1"/>
          <w:sz w:val="32"/>
          <w:szCs w:val="32"/>
        </w:rPr>
        <w:t>实施惠企利民政策，统筹推进疫情防控和保就业工作。</w:t>
      </w:r>
      <w:r>
        <w:rPr>
          <w:rFonts w:hint="eastAsia" w:ascii="仿宋_GB2312" w:hAnsi="黑体" w:eastAsia="仿宋_GB2312"/>
          <w:color w:val="000000" w:themeColor="text1"/>
          <w:sz w:val="32"/>
          <w:szCs w:val="32"/>
        </w:rPr>
        <w:t>积极推进落实疫情防控期间各项优惠政策，制定了《中国北京人力资源服务产业园通州园区疫情防控期业务补贴办法》《通州区职业技能培训经费补贴实施细则》，对疫情期间为区内企业提供劳务派遣及人员招聘服务的园区人力资源服务机构给予资金补贴，将市级培训政策未覆盖的通州区户籍正在享受自谋职业、灵活就业等保险补贴人员、个人缴纳社会保险的自由职业者纳入补贴范围。实施社保费“减、免、缓”政策，</w:t>
      </w:r>
      <w:r>
        <w:rPr>
          <w:rFonts w:ascii="仿宋_GB2312" w:hAnsi="黑体" w:eastAsia="仿宋_GB2312"/>
          <w:color w:val="000000" w:themeColor="text1"/>
          <w:sz w:val="32"/>
          <w:szCs w:val="32"/>
        </w:rPr>
        <w:t>2020</w:t>
      </w:r>
      <w:r>
        <w:rPr>
          <w:rFonts w:hint="eastAsia" w:ascii="仿宋_GB2312" w:hAnsi="黑体" w:eastAsia="仿宋_GB2312"/>
          <w:color w:val="000000" w:themeColor="text1"/>
          <w:sz w:val="32"/>
          <w:szCs w:val="32"/>
        </w:rPr>
        <w:t>年</w:t>
      </w:r>
      <w:r>
        <w:rPr>
          <w:rFonts w:ascii="仿宋_GB2312" w:hAnsi="黑体" w:eastAsia="仿宋_GB2312"/>
          <w:color w:val="000000" w:themeColor="text1"/>
          <w:sz w:val="32"/>
          <w:szCs w:val="32"/>
        </w:rPr>
        <w:t>2-11</w:t>
      </w:r>
      <w:r>
        <w:rPr>
          <w:rFonts w:hint="eastAsia" w:ascii="仿宋_GB2312" w:hAnsi="黑体" w:eastAsia="仿宋_GB2312"/>
          <w:color w:val="000000" w:themeColor="text1"/>
          <w:sz w:val="32"/>
          <w:szCs w:val="32"/>
        </w:rPr>
        <w:t>月，共为辖区</w:t>
      </w:r>
      <w:r>
        <w:rPr>
          <w:rFonts w:ascii="仿宋_GB2312" w:hAnsi="黑体" w:eastAsia="仿宋_GB2312"/>
          <w:color w:val="000000" w:themeColor="text1"/>
          <w:sz w:val="32"/>
          <w:szCs w:val="32"/>
        </w:rPr>
        <w:t>4.9</w:t>
      </w:r>
      <w:r>
        <w:rPr>
          <w:rFonts w:hint="eastAsia" w:ascii="仿宋_GB2312" w:hAnsi="黑体" w:eastAsia="仿宋_GB2312"/>
          <w:color w:val="000000" w:themeColor="text1"/>
          <w:sz w:val="32"/>
          <w:szCs w:val="32"/>
        </w:rPr>
        <w:t>万家企业减免三项社会保险费</w:t>
      </w:r>
      <w:r>
        <w:rPr>
          <w:rFonts w:ascii="仿宋_GB2312" w:hAnsi="黑体" w:eastAsia="仿宋_GB2312"/>
          <w:color w:val="000000" w:themeColor="text1"/>
          <w:sz w:val="32"/>
          <w:szCs w:val="32"/>
        </w:rPr>
        <w:t>34.56</w:t>
      </w:r>
      <w:r>
        <w:rPr>
          <w:rFonts w:hint="eastAsia" w:ascii="仿宋_GB2312" w:hAnsi="黑体" w:eastAsia="仿宋_GB2312"/>
          <w:color w:val="000000" w:themeColor="text1"/>
          <w:sz w:val="32"/>
          <w:szCs w:val="32"/>
        </w:rPr>
        <w:t>亿元。其中，养老</w:t>
      </w:r>
      <w:r>
        <w:rPr>
          <w:rFonts w:ascii="仿宋_GB2312" w:hAnsi="黑体" w:eastAsia="仿宋_GB2312"/>
          <w:color w:val="000000" w:themeColor="text1"/>
          <w:sz w:val="32"/>
          <w:szCs w:val="32"/>
        </w:rPr>
        <w:t>31.91</w:t>
      </w:r>
      <w:r>
        <w:rPr>
          <w:rFonts w:hint="eastAsia" w:ascii="仿宋_GB2312" w:hAnsi="黑体" w:eastAsia="仿宋_GB2312"/>
          <w:color w:val="000000" w:themeColor="text1"/>
          <w:sz w:val="32"/>
          <w:szCs w:val="32"/>
        </w:rPr>
        <w:t>亿元，失业</w:t>
      </w:r>
      <w:r>
        <w:rPr>
          <w:rFonts w:ascii="仿宋_GB2312" w:hAnsi="黑体" w:eastAsia="仿宋_GB2312"/>
          <w:color w:val="000000" w:themeColor="text1"/>
          <w:sz w:val="32"/>
          <w:szCs w:val="32"/>
        </w:rPr>
        <w:t>1.60</w:t>
      </w:r>
      <w:r>
        <w:rPr>
          <w:rFonts w:hint="eastAsia" w:ascii="仿宋_GB2312" w:hAnsi="黑体" w:eastAsia="仿宋_GB2312"/>
          <w:color w:val="000000" w:themeColor="text1"/>
          <w:sz w:val="32"/>
          <w:szCs w:val="32"/>
        </w:rPr>
        <w:t>亿元，工伤</w:t>
      </w:r>
      <w:r>
        <w:rPr>
          <w:rFonts w:ascii="仿宋_GB2312" w:hAnsi="黑体" w:eastAsia="仿宋_GB2312"/>
          <w:color w:val="000000" w:themeColor="text1"/>
          <w:sz w:val="32"/>
          <w:szCs w:val="32"/>
        </w:rPr>
        <w:t>1.05</w:t>
      </w:r>
      <w:r>
        <w:rPr>
          <w:rFonts w:hint="eastAsia" w:ascii="仿宋_GB2312" w:hAnsi="黑体" w:eastAsia="仿宋_GB2312"/>
          <w:color w:val="000000" w:themeColor="text1"/>
          <w:sz w:val="32"/>
          <w:szCs w:val="32"/>
        </w:rPr>
        <w:t>亿元。助推企业壮大新动能，积极发挥就业工作领导小组作用，推出“全链条”服务模式，为医疗物资等重点企业有序复产复工提供有效指导。</w:t>
      </w:r>
      <w:r>
        <w:rPr>
          <w:rFonts w:ascii="仿宋_GB2312" w:hAnsi="黑体" w:eastAsia="仿宋_GB2312"/>
          <w:color w:val="000000" w:themeColor="text1"/>
          <w:sz w:val="32"/>
          <w:szCs w:val="32"/>
        </w:rPr>
        <w:t>2020</w:t>
      </w:r>
      <w:r>
        <w:rPr>
          <w:rFonts w:hint="eastAsia" w:ascii="仿宋_GB2312" w:hAnsi="黑体" w:eastAsia="仿宋_GB2312"/>
          <w:color w:val="000000" w:themeColor="text1"/>
          <w:sz w:val="32"/>
          <w:szCs w:val="32"/>
        </w:rPr>
        <w:t>年共举办网络招聘</w:t>
      </w:r>
      <w:r>
        <w:rPr>
          <w:rFonts w:ascii="仿宋_GB2312" w:hAnsi="黑体" w:eastAsia="仿宋_GB2312"/>
          <w:color w:val="000000" w:themeColor="text1"/>
          <w:sz w:val="32"/>
          <w:szCs w:val="32"/>
        </w:rPr>
        <w:t>513</w:t>
      </w:r>
      <w:r>
        <w:rPr>
          <w:rFonts w:hint="eastAsia" w:ascii="仿宋_GB2312" w:hAnsi="黑体" w:eastAsia="仿宋_GB2312"/>
          <w:color w:val="000000" w:themeColor="text1"/>
          <w:sz w:val="32"/>
          <w:szCs w:val="32"/>
        </w:rPr>
        <w:t>期，</w:t>
      </w:r>
      <w:r>
        <w:rPr>
          <w:rFonts w:ascii="仿宋_GB2312" w:hAnsi="黑体" w:eastAsia="仿宋_GB2312"/>
          <w:color w:val="000000" w:themeColor="text1"/>
          <w:sz w:val="32"/>
          <w:szCs w:val="32"/>
        </w:rPr>
        <w:t>2836</w:t>
      </w:r>
      <w:r>
        <w:rPr>
          <w:rFonts w:hint="eastAsia" w:ascii="仿宋_GB2312" w:hAnsi="黑体" w:eastAsia="仿宋_GB2312"/>
          <w:color w:val="000000" w:themeColor="text1"/>
          <w:sz w:val="32"/>
          <w:szCs w:val="32"/>
        </w:rPr>
        <w:t>家次企业提供就业岗位</w:t>
      </w:r>
      <w:r>
        <w:rPr>
          <w:rFonts w:ascii="仿宋_GB2312" w:hAnsi="黑体" w:eastAsia="仿宋_GB2312"/>
          <w:color w:val="000000" w:themeColor="text1"/>
          <w:sz w:val="32"/>
          <w:szCs w:val="32"/>
        </w:rPr>
        <w:t>7.2</w:t>
      </w:r>
      <w:r>
        <w:rPr>
          <w:rFonts w:hint="eastAsia" w:ascii="仿宋_GB2312" w:hAnsi="黑体" w:eastAsia="仿宋_GB2312"/>
          <w:color w:val="000000" w:themeColor="text1"/>
          <w:sz w:val="32"/>
          <w:szCs w:val="32"/>
        </w:rPr>
        <w:t>万个次，浏览量</w:t>
      </w:r>
      <w:r>
        <w:rPr>
          <w:rFonts w:ascii="仿宋_GB2312" w:hAnsi="黑体" w:eastAsia="仿宋_GB2312"/>
          <w:color w:val="000000" w:themeColor="text1"/>
          <w:sz w:val="32"/>
          <w:szCs w:val="32"/>
        </w:rPr>
        <w:t>168.7</w:t>
      </w:r>
      <w:r>
        <w:rPr>
          <w:rFonts w:hint="eastAsia" w:ascii="仿宋_GB2312" w:hAnsi="黑体" w:eastAsia="仿宋_GB2312"/>
          <w:color w:val="000000" w:themeColor="text1"/>
          <w:sz w:val="32"/>
          <w:szCs w:val="32"/>
        </w:rPr>
        <w:t>万次；推出</w:t>
      </w:r>
      <w:r>
        <w:rPr>
          <w:rFonts w:ascii="仿宋_GB2312" w:hAnsi="黑体" w:eastAsia="仿宋_GB2312"/>
          <w:color w:val="000000" w:themeColor="text1"/>
          <w:sz w:val="32"/>
          <w:szCs w:val="32"/>
        </w:rPr>
        <w:t>48</w:t>
      </w:r>
      <w:r>
        <w:rPr>
          <w:rFonts w:hint="eastAsia" w:ascii="仿宋_GB2312" w:hAnsi="黑体" w:eastAsia="仿宋_GB2312"/>
          <w:color w:val="000000" w:themeColor="text1"/>
          <w:sz w:val="32"/>
          <w:szCs w:val="32"/>
        </w:rPr>
        <w:t>期人力资源服务公益行网络微课堂，指导人数累计达</w:t>
      </w:r>
      <w:r>
        <w:rPr>
          <w:rFonts w:ascii="仿宋_GB2312" w:hAnsi="黑体" w:eastAsia="仿宋_GB2312"/>
          <w:color w:val="000000" w:themeColor="text1"/>
          <w:sz w:val="32"/>
          <w:szCs w:val="32"/>
        </w:rPr>
        <w:t>2.9</w:t>
      </w:r>
      <w:r>
        <w:rPr>
          <w:rFonts w:hint="eastAsia" w:ascii="仿宋_GB2312" w:hAnsi="黑体" w:eastAsia="仿宋_GB2312"/>
          <w:color w:val="000000" w:themeColor="text1"/>
          <w:sz w:val="32"/>
          <w:szCs w:val="32"/>
        </w:rPr>
        <w:t>万人。开辟农民工“点对点”返京渠道，服务农民工安全有序返岗，有效促进本地劳动力就业。打造业务经办新模式，依托“云仲裁”系统，完成仲裁案件线上全流程办理。</w:t>
      </w:r>
      <w:r>
        <w:rPr>
          <w:rFonts w:ascii="仿宋_GB2312" w:hAnsi="黑体" w:eastAsia="仿宋_GB2312"/>
          <w:color w:val="000000" w:themeColor="text1"/>
          <w:sz w:val="32"/>
          <w:szCs w:val="32"/>
        </w:rPr>
        <w:t>2020</w:t>
      </w:r>
      <w:r>
        <w:rPr>
          <w:rFonts w:hint="eastAsia" w:ascii="仿宋_GB2312" w:hAnsi="黑体" w:eastAsia="仿宋_GB2312"/>
          <w:color w:val="000000" w:themeColor="text1"/>
          <w:sz w:val="32"/>
          <w:szCs w:val="32"/>
        </w:rPr>
        <w:t>年，共受理社保业务</w:t>
      </w:r>
      <w:r>
        <w:rPr>
          <w:rFonts w:ascii="仿宋_GB2312" w:hAnsi="黑体" w:eastAsia="仿宋_GB2312"/>
          <w:color w:val="000000" w:themeColor="text1"/>
          <w:sz w:val="32"/>
          <w:szCs w:val="32"/>
        </w:rPr>
        <w:t>55.31</w:t>
      </w:r>
      <w:r>
        <w:rPr>
          <w:rFonts w:hint="eastAsia" w:ascii="仿宋_GB2312" w:hAnsi="黑体" w:eastAsia="仿宋_GB2312"/>
          <w:color w:val="000000" w:themeColor="text1"/>
          <w:sz w:val="32"/>
          <w:szCs w:val="32"/>
        </w:rPr>
        <w:t>万笔，其中网上办理业务</w:t>
      </w:r>
      <w:r>
        <w:rPr>
          <w:rFonts w:ascii="仿宋_GB2312" w:hAnsi="黑体" w:eastAsia="仿宋_GB2312"/>
          <w:color w:val="000000" w:themeColor="text1"/>
          <w:sz w:val="32"/>
          <w:szCs w:val="32"/>
        </w:rPr>
        <w:t>42.94</w:t>
      </w:r>
      <w:r>
        <w:rPr>
          <w:rFonts w:hint="eastAsia" w:ascii="仿宋_GB2312" w:hAnsi="黑体" w:eastAsia="仿宋_GB2312"/>
          <w:color w:val="000000" w:themeColor="text1"/>
          <w:sz w:val="32"/>
          <w:szCs w:val="32"/>
        </w:rPr>
        <w:t>万笔，占</w:t>
      </w:r>
      <w:r>
        <w:rPr>
          <w:rFonts w:ascii="仿宋_GB2312" w:hAnsi="黑体" w:eastAsia="仿宋_GB2312"/>
          <w:color w:val="000000" w:themeColor="text1"/>
          <w:sz w:val="32"/>
          <w:szCs w:val="32"/>
        </w:rPr>
        <w:t>77.64%</w:t>
      </w:r>
      <w:r>
        <w:rPr>
          <w:rFonts w:hint="eastAsia" w:ascii="仿宋_GB2312" w:hAnsi="黑体" w:eastAsia="仿宋_GB2312"/>
          <w:color w:val="000000" w:themeColor="text1"/>
          <w:sz w:val="32"/>
          <w:szCs w:val="32"/>
        </w:rPr>
        <w:t>；受理电话咨询</w:t>
      </w:r>
      <w:r>
        <w:rPr>
          <w:rFonts w:ascii="仿宋_GB2312" w:hAnsi="黑体" w:eastAsia="仿宋_GB2312"/>
          <w:color w:val="000000" w:themeColor="text1"/>
          <w:sz w:val="32"/>
          <w:szCs w:val="32"/>
        </w:rPr>
        <w:t>15.5</w:t>
      </w:r>
      <w:r>
        <w:rPr>
          <w:rFonts w:hint="eastAsia" w:ascii="仿宋_GB2312" w:hAnsi="黑体" w:eastAsia="仿宋_GB2312"/>
          <w:color w:val="000000" w:themeColor="text1"/>
          <w:sz w:val="32"/>
          <w:szCs w:val="32"/>
        </w:rPr>
        <w:t>万人次；累计支付福利养老待遇、工伤一次性待遇等各项社保待遇95.60亿元。拓展安全稳控新思路，动态关注重点领域、重点项目、重点企业，指导受疫情影响用人单位规范用工。</w:t>
      </w:r>
    </w:p>
    <w:p>
      <w:pPr>
        <w:spacing w:line="560" w:lineRule="exact"/>
        <w:ind w:firstLine="643" w:firstLineChars="200"/>
        <w:rPr>
          <w:rFonts w:ascii="仿宋_GB2312" w:hAnsi="黑体" w:eastAsia="仿宋_GB2312"/>
          <w:color w:val="000000" w:themeColor="text1"/>
          <w:sz w:val="32"/>
          <w:szCs w:val="32"/>
        </w:rPr>
      </w:pPr>
      <w:r>
        <w:rPr>
          <w:rFonts w:hint="eastAsia" w:ascii="仿宋_GB2312" w:hAnsi="黑体" w:eastAsia="仿宋_GB2312"/>
          <w:b/>
          <w:color w:val="000000" w:themeColor="text1"/>
          <w:sz w:val="32"/>
          <w:szCs w:val="32"/>
        </w:rPr>
        <w:t>充分发挥党建引领作用，推动综合管理创新发展。</w:t>
      </w:r>
      <w:r>
        <w:rPr>
          <w:rFonts w:hint="eastAsia" w:ascii="仿宋_GB2312" w:hAnsi="黑体" w:eastAsia="仿宋_GB2312"/>
          <w:color w:val="000000" w:themeColor="text1"/>
          <w:sz w:val="32"/>
          <w:szCs w:val="32"/>
        </w:rPr>
        <w:t>坚定不移深化全面从严治党，充分发挥局党组政治核心作用，以强有力的制度建设助推党的各项建设高质量发展，基层党建“换挡升级”，特色党建形成品牌，队伍建设夯实有力，以党建为引领不断推进人民满意的服务型政府建设。行风建设持续加强，推行审批服务“马上办、网上办、就近办、一次办”，落实</w:t>
      </w:r>
      <w:r>
        <w:rPr>
          <w:rFonts w:ascii="仿宋_GB2312" w:hAnsi="黑体" w:eastAsia="仿宋_GB2312"/>
          <w:color w:val="000000" w:themeColor="text1"/>
          <w:sz w:val="32"/>
          <w:szCs w:val="32"/>
        </w:rPr>
        <w:t xml:space="preserve"> “</w:t>
      </w:r>
      <w:r>
        <w:rPr>
          <w:rFonts w:hint="eastAsia" w:ascii="仿宋_GB2312" w:hAnsi="黑体" w:eastAsia="仿宋_GB2312"/>
          <w:color w:val="000000" w:themeColor="text1"/>
          <w:sz w:val="32"/>
          <w:szCs w:val="32"/>
        </w:rPr>
        <w:t>减证便民”服务措施，对</w:t>
      </w:r>
      <w:r>
        <w:rPr>
          <w:rFonts w:ascii="仿宋_GB2312" w:hAnsi="黑体" w:eastAsia="仿宋_GB2312"/>
          <w:color w:val="000000" w:themeColor="text1"/>
          <w:sz w:val="32"/>
          <w:szCs w:val="32"/>
        </w:rPr>
        <w:t>278</w:t>
      </w:r>
      <w:r>
        <w:rPr>
          <w:rFonts w:hint="eastAsia" w:ascii="仿宋_GB2312" w:hAnsi="黑体" w:eastAsia="仿宋_GB2312"/>
          <w:color w:val="000000" w:themeColor="text1"/>
          <w:sz w:val="32"/>
          <w:szCs w:val="32"/>
        </w:rPr>
        <w:t>项社会保险业务经办流程进行梳理优化，全局所有政务服务事项</w:t>
      </w:r>
      <w:r>
        <w:rPr>
          <w:rFonts w:ascii="仿宋_GB2312" w:hAnsi="黑体" w:eastAsia="仿宋_GB2312"/>
          <w:color w:val="000000" w:themeColor="text1"/>
          <w:sz w:val="32"/>
          <w:szCs w:val="32"/>
        </w:rPr>
        <w:t>100%</w:t>
      </w:r>
      <w:r>
        <w:rPr>
          <w:rFonts w:hint="eastAsia" w:ascii="仿宋_GB2312" w:hAnsi="黑体" w:eastAsia="仿宋_GB2312"/>
          <w:color w:val="000000" w:themeColor="text1"/>
          <w:sz w:val="32"/>
          <w:szCs w:val="32"/>
        </w:rPr>
        <w:t>完成“一网通办”，劳务派遣企业经营许可等</w:t>
      </w:r>
      <w:r>
        <w:rPr>
          <w:rFonts w:ascii="仿宋_GB2312" w:hAnsi="黑体" w:eastAsia="仿宋_GB2312"/>
          <w:color w:val="000000" w:themeColor="text1"/>
          <w:sz w:val="32"/>
          <w:szCs w:val="32"/>
        </w:rPr>
        <w:t>94</w:t>
      </w:r>
      <w:r>
        <w:rPr>
          <w:rFonts w:hint="eastAsia" w:ascii="仿宋_GB2312" w:hAnsi="黑体" w:eastAsia="仿宋_GB2312"/>
          <w:color w:val="000000" w:themeColor="text1"/>
          <w:sz w:val="32"/>
          <w:szCs w:val="32"/>
        </w:rPr>
        <w:t>项下沉事项已在</w:t>
      </w:r>
      <w:r>
        <w:rPr>
          <w:rFonts w:ascii="仿宋_GB2312" w:hAnsi="黑体" w:eastAsia="仿宋_GB2312"/>
          <w:color w:val="000000" w:themeColor="text1"/>
          <w:sz w:val="32"/>
          <w:szCs w:val="32"/>
        </w:rPr>
        <w:t>17</w:t>
      </w:r>
      <w:r>
        <w:rPr>
          <w:rFonts w:hint="eastAsia" w:ascii="仿宋_GB2312" w:hAnsi="黑体" w:eastAsia="仿宋_GB2312"/>
          <w:color w:val="000000" w:themeColor="text1"/>
          <w:sz w:val="32"/>
          <w:szCs w:val="32"/>
        </w:rPr>
        <w:t>个街道、乡镇社保所“落地”，实现重点领域和高频事项“一网一门一窗一次”办理。信息化建设快速推进，统筹推动跨业务、跨部门、跨层级信息共享和业务协同，建成集信息开发、应用、建设、管理与服务一体化，运转协调、便捷高效的信息化体系。以“互联网</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业务流程”、“互联网</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服务平台”、“互联网</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管理模式”为抓手，建设社会保险内控业务延伸、仲裁信息管理、劳动保障监察“双随机”等系统，开发“通州就业服务”、“北京通州人力社保”等微信公众号，为科学决策、精准施策、广泛宣传提供有效保障。广泛开展舆情宣传引导，加强线上舆情监控与线下协同处理，建立媒体通报会制度，构建起副中心人力社保大宣传格局。</w:t>
      </w:r>
    </w:p>
    <w:p>
      <w:pPr>
        <w:spacing w:line="560" w:lineRule="exact"/>
        <w:ind w:firstLine="640" w:firstLineChars="200"/>
        <w:rPr>
          <w:rFonts w:ascii="仿宋_GB2312" w:eastAsia="仿宋_GB2312"/>
          <w:color w:val="000000" w:themeColor="text1"/>
          <w:sz w:val="32"/>
          <w:szCs w:val="32"/>
        </w:rPr>
      </w:pPr>
    </w:p>
    <w:p>
      <w:pPr>
        <w:pStyle w:val="2"/>
        <w:spacing w:before="0" w:after="0" w:line="560" w:lineRule="exact"/>
        <w:jc w:val="center"/>
        <w:rPr>
          <w:rFonts w:eastAsia="黑体"/>
          <w:b w:val="0"/>
          <w:color w:val="000000" w:themeColor="text1"/>
          <w:sz w:val="36"/>
          <w:szCs w:val="36"/>
        </w:rPr>
      </w:pPr>
      <w:bookmarkStart w:id="3" w:name="_Toc72933168"/>
      <w:bookmarkStart w:id="4" w:name="_Toc40091991"/>
      <w:bookmarkStart w:id="5" w:name="_Toc40110528"/>
      <w:r>
        <w:rPr>
          <w:rFonts w:hint="eastAsia" w:eastAsia="黑体"/>
          <w:b w:val="0"/>
          <w:color w:val="000000" w:themeColor="text1"/>
          <w:sz w:val="36"/>
          <w:szCs w:val="36"/>
        </w:rPr>
        <w:t>第二部分：面临形势</w:t>
      </w:r>
      <w:bookmarkEnd w:id="3"/>
      <w:bookmarkEnd w:id="4"/>
      <w:bookmarkEnd w:id="5"/>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在世界疫情、百年变局与实现“两个一百年”奋斗目标交织之际，既要认识到中国处于近代以来最好的发展时期，也要充分认识到人力资源社会保障事业发展形势严峻复杂，需要适应新时代要求抓住改革发展机遇，以超常规思维应对风险挑战。“十四五”时期是实施北京城市整体规划、推进高质量发展的重要时期，作为</w:t>
      </w:r>
      <w:r>
        <w:rPr>
          <w:rFonts w:ascii="仿宋_GB2312" w:hAnsi="黑体" w:eastAsia="仿宋_GB2312"/>
          <w:color w:val="000000" w:themeColor="text1"/>
          <w:sz w:val="32"/>
          <w:szCs w:val="32"/>
        </w:rPr>
        <w:t>城市副中心</w:t>
      </w:r>
      <w:r>
        <w:rPr>
          <w:rFonts w:hint="eastAsia" w:ascii="仿宋_GB2312" w:hAnsi="黑体" w:eastAsia="仿宋_GB2312"/>
          <w:color w:val="000000" w:themeColor="text1"/>
          <w:sz w:val="32"/>
          <w:szCs w:val="32"/>
        </w:rPr>
        <w:t>，立足京津冀协同发展的前沿阵地和桥头堡，立足北京重要一翼的战略定位，要</w:t>
      </w:r>
      <w:r>
        <w:rPr>
          <w:rFonts w:ascii="仿宋_GB2312" w:hAnsi="黑体" w:eastAsia="仿宋_GB2312"/>
          <w:color w:val="000000" w:themeColor="text1"/>
          <w:sz w:val="32"/>
          <w:szCs w:val="32"/>
        </w:rPr>
        <w:t>建设好国家服务业扩大开放综合示范区和自由贸易试验区，</w:t>
      </w:r>
      <w:r>
        <w:rPr>
          <w:rFonts w:hint="eastAsia" w:ascii="仿宋_GB2312" w:hAnsi="黑体" w:eastAsia="仿宋_GB2312"/>
          <w:color w:val="000000" w:themeColor="text1"/>
          <w:sz w:val="32"/>
          <w:szCs w:val="32"/>
        </w:rPr>
        <w:t>本区将加快向科技创新和产业发展新高地的转型升级，培育产业融合发展的新模式。</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在新信息革命的推动下，配套的人力资源服务结构也将向国际化、高端化、智能化转变，通州区人力资源和社会保障工作面临着探索、创新、转型、升级的巨大挑战</w:t>
      </w:r>
      <w:r>
        <w:rPr>
          <w:rFonts w:hint="eastAsia" w:ascii="仿宋_GB2312" w:hAnsi="华文仿宋" w:eastAsia="仿宋_GB2312"/>
          <w:color w:val="000000" w:themeColor="text1"/>
          <w:sz w:val="32"/>
          <w:szCs w:val="32"/>
        </w:rPr>
        <w:t>，</w:t>
      </w:r>
      <w:r>
        <w:rPr>
          <w:rFonts w:hint="eastAsia" w:ascii="仿宋_GB2312" w:hAnsi="黑体" w:eastAsia="仿宋_GB2312"/>
          <w:color w:val="000000" w:themeColor="text1"/>
          <w:sz w:val="32"/>
          <w:szCs w:val="32"/>
        </w:rPr>
        <w:t>亟需提升管理服务人才队伍素质</w:t>
      </w:r>
      <w:r>
        <w:rPr>
          <w:rFonts w:hint="eastAsia" w:ascii="仿宋_GB2312" w:hAnsi="华文仿宋" w:eastAsia="仿宋_GB2312"/>
          <w:color w:val="000000" w:themeColor="text1"/>
          <w:sz w:val="32"/>
          <w:szCs w:val="32"/>
        </w:rPr>
        <w:t>，</w:t>
      </w:r>
      <w:r>
        <w:rPr>
          <w:rFonts w:hint="eastAsia" w:ascii="仿宋_GB2312" w:hAnsi="华文仿宋" w:eastAsia="仿宋_GB2312" w:cs="宋体"/>
          <w:color w:val="000000" w:themeColor="text1"/>
          <w:sz w:val="32"/>
          <w:szCs w:val="32"/>
        </w:rPr>
        <w:t>加速升级公共服务品质和水平，不断强化市场匹配度和社会保障网底作用，切实满足</w:t>
      </w:r>
      <w:r>
        <w:rPr>
          <w:rFonts w:hint="eastAsia" w:ascii="仿宋_GB2312" w:hAnsi="华文仿宋" w:eastAsia="仿宋_GB2312"/>
          <w:color w:val="000000" w:themeColor="text1"/>
          <w:sz w:val="32"/>
          <w:szCs w:val="32"/>
        </w:rPr>
        <w:t>新就业形态管理服务和维权保障。</w:t>
      </w:r>
    </w:p>
    <w:p>
      <w:pPr>
        <w:spacing w:line="560" w:lineRule="exact"/>
        <w:ind w:firstLine="640" w:firstLineChars="200"/>
        <w:rPr>
          <w:rFonts w:ascii="仿宋_GB2312" w:hAnsi="华文仿宋" w:eastAsia="仿宋_GB2312" w:cs="宋体"/>
          <w:color w:val="000000" w:themeColor="text1"/>
          <w:sz w:val="32"/>
          <w:szCs w:val="32"/>
        </w:rPr>
      </w:pPr>
      <w:r>
        <w:rPr>
          <w:rFonts w:hint="eastAsia" w:ascii="仿宋_GB2312" w:hAnsi="华文仿宋" w:eastAsia="仿宋_GB2312" w:cs="宋体"/>
          <w:color w:val="000000" w:themeColor="text1"/>
          <w:sz w:val="32"/>
          <w:szCs w:val="32"/>
        </w:rPr>
        <w:t>应对新的战略机遇与形势挑战，通州区的人力资源和社会保障工作也面临着一些现实问题，与未来新战略格局下的需求差距较大，亟待解决。</w:t>
      </w:r>
    </w:p>
    <w:p>
      <w:pPr>
        <w:spacing w:line="560" w:lineRule="exact"/>
        <w:ind w:firstLine="640" w:firstLineChars="200"/>
        <w:rPr>
          <w:rFonts w:ascii="仿宋_GB2312" w:hAnsi="华文仿宋" w:eastAsia="仿宋_GB2312" w:cs="宋体"/>
          <w:color w:val="000000" w:themeColor="text1"/>
          <w:sz w:val="32"/>
          <w:szCs w:val="32"/>
        </w:rPr>
      </w:pPr>
      <w:r>
        <w:rPr>
          <w:rFonts w:hint="eastAsia" w:ascii="仿宋_GB2312" w:hAnsi="仿宋" w:eastAsia="仿宋_GB2312"/>
          <w:color w:val="000000" w:themeColor="text1"/>
          <w:sz w:val="32"/>
          <w:szCs w:val="32"/>
        </w:rPr>
        <w:t>（一）由于空间布局优化、产业转移退出、人口疏解新功能定位等原因，导致就业结构性矛盾更为突出；现有职业技能培训机构无法满足新产业结构下的技能培训功能，技能培训工作难度加大。</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城市副中心及“两区”建设将吸引越来越多高新企业入驻，需要更加规范化、多样化、智能化、风控强的人力资源和社会保障服务，现有的“智慧人社”模式和服务内容有待升级，信息共享渠道、机制尚未完全理顺，数据共享的范围还需要进一步拓宽。</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（三）机关事业单位人事制度改革进入攻坚阶段，机关事业单位收入分配优化激励机制亟待解决，依法依规管理亟待健全。</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（四）伴随着新产业、新模式、新业态而生的灵活就业、共享用工等新就业形态不断涌现，加上老龄化、机构改制等因素，构建和谐劳动关系压力不断加大。</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（五）适应城市副中心和“两区”的发展定位，群众经办服务需求多元化，急需深化公共服务供给侧改革与队伍建设。</w:t>
      </w:r>
    </w:p>
    <w:p>
      <w:pPr>
        <w:spacing w:line="560" w:lineRule="exact"/>
        <w:rPr>
          <w:rFonts w:ascii="仿宋_GB2312" w:hAnsi="华文仿宋" w:eastAsia="仿宋_GB2312"/>
          <w:color w:val="000000" w:themeColor="text1"/>
          <w:sz w:val="32"/>
          <w:szCs w:val="32"/>
        </w:rPr>
      </w:pPr>
    </w:p>
    <w:p>
      <w:pPr>
        <w:pStyle w:val="2"/>
        <w:spacing w:before="0" w:after="0" w:line="560" w:lineRule="exact"/>
        <w:jc w:val="center"/>
        <w:rPr>
          <w:rFonts w:eastAsia="黑体"/>
          <w:b w:val="0"/>
          <w:color w:val="000000" w:themeColor="text1"/>
          <w:sz w:val="36"/>
          <w:szCs w:val="36"/>
        </w:rPr>
      </w:pPr>
      <w:bookmarkStart w:id="6" w:name="_Toc40110538"/>
      <w:bookmarkStart w:id="7" w:name="_Toc40092002"/>
      <w:bookmarkStart w:id="8" w:name="_Toc72933169"/>
      <w:r>
        <w:rPr>
          <w:rFonts w:hint="eastAsia" w:eastAsia="黑体"/>
          <w:b w:val="0"/>
          <w:color w:val="000000" w:themeColor="text1"/>
          <w:sz w:val="36"/>
          <w:szCs w:val="36"/>
        </w:rPr>
        <w:t>第三部分：指导思想、发展原则</w:t>
      </w:r>
      <w:bookmarkEnd w:id="6"/>
      <w:bookmarkEnd w:id="7"/>
      <w:bookmarkEnd w:id="8"/>
    </w:p>
    <w:p>
      <w:pPr>
        <w:pStyle w:val="3"/>
        <w:spacing w:beforeLines="50" w:afterLines="50" w:line="560" w:lineRule="exact"/>
        <w:ind w:firstLine="640" w:firstLineChars="200"/>
        <w:rPr>
          <w:rFonts w:ascii="黑体" w:hAnsi="黑体" w:eastAsia="黑体"/>
          <w:b w:val="0"/>
          <w:color w:val="000000" w:themeColor="text1"/>
        </w:rPr>
      </w:pPr>
      <w:bookmarkStart w:id="9" w:name="_Toc72933170"/>
      <w:bookmarkStart w:id="10" w:name="_Toc40092003"/>
      <w:bookmarkStart w:id="11" w:name="_Toc40110539"/>
      <w:r>
        <w:rPr>
          <w:rFonts w:hint="eastAsia" w:ascii="黑体" w:hAnsi="黑体" w:eastAsia="黑体"/>
          <w:b w:val="0"/>
          <w:color w:val="000000" w:themeColor="text1"/>
        </w:rPr>
        <w:t>一、指导思想</w:t>
      </w:r>
      <w:bookmarkEnd w:id="9"/>
      <w:bookmarkEnd w:id="10"/>
      <w:bookmarkEnd w:id="11"/>
    </w:p>
    <w:p>
      <w:pPr>
        <w:spacing w:line="560" w:lineRule="exact"/>
        <w:ind w:firstLine="640" w:firstLineChars="200"/>
        <w:rPr>
          <w:rFonts w:ascii="仿宋_GB2312" w:eastAsia="仿宋_GB2312"/>
          <w:bCs/>
          <w:color w:val="000000" w:themeColor="text1"/>
          <w:sz w:val="32"/>
          <w:szCs w:val="32"/>
        </w:rPr>
      </w:pPr>
      <w:r>
        <w:rPr>
          <w:rFonts w:hint="eastAsia" w:ascii="仿宋_GB2312" w:eastAsia="仿宋_GB2312"/>
          <w:bCs/>
          <w:color w:val="000000" w:themeColor="text1"/>
          <w:sz w:val="32"/>
          <w:szCs w:val="32"/>
        </w:rPr>
        <w:t>坚持以习近平新时代中国特色社会主义思想为指导，全面贯彻落实党的十九大和十九届二中、三中、四中、五中全会精神，落实北京城市总体规划，</w:t>
      </w:r>
      <w:r>
        <w:rPr>
          <w:rFonts w:hint="eastAsia" w:ascii="仿宋_GB2312" w:hAnsi="Calibri" w:eastAsia="仿宋_GB2312" w:cs="仿宋_GB2312"/>
          <w:color w:val="000000" w:themeColor="text1"/>
          <w:sz w:val="32"/>
          <w:szCs w:val="32"/>
        </w:rPr>
        <w:t>紧紧围绕建设北京城市副中心的目标，</w:t>
      </w:r>
      <w:r>
        <w:rPr>
          <w:rFonts w:hint="eastAsia" w:ascii="仿宋_GB2312" w:eastAsia="仿宋_GB2312"/>
          <w:bCs/>
          <w:color w:val="000000" w:themeColor="text1"/>
          <w:sz w:val="32"/>
          <w:szCs w:val="32"/>
        </w:rPr>
        <w:t>坚定不移推动减量发展、创新发展、高质量发展、以人民为中心的发展。</w:t>
      </w:r>
      <w:r>
        <w:rPr>
          <w:rFonts w:ascii="仿宋_GB2312" w:eastAsia="仿宋_GB2312"/>
          <w:bCs/>
          <w:color w:val="000000" w:themeColor="text1"/>
          <w:sz w:val="32"/>
          <w:szCs w:val="32"/>
        </w:rPr>
        <w:t>提升政治站位</w:t>
      </w:r>
      <w:r>
        <w:rPr>
          <w:rFonts w:hint="eastAsia" w:ascii="仿宋_GB2312" w:eastAsia="仿宋_GB2312"/>
          <w:bCs/>
          <w:color w:val="000000" w:themeColor="text1"/>
          <w:sz w:val="32"/>
          <w:szCs w:val="32"/>
        </w:rPr>
        <w:t>，统观</w:t>
      </w:r>
      <w:r>
        <w:rPr>
          <w:rFonts w:ascii="仿宋_GB2312" w:eastAsia="仿宋_GB2312"/>
          <w:bCs/>
          <w:color w:val="000000" w:themeColor="text1"/>
          <w:sz w:val="32"/>
          <w:szCs w:val="32"/>
        </w:rPr>
        <w:t>全局</w:t>
      </w:r>
      <w:r>
        <w:rPr>
          <w:rFonts w:hint="eastAsia" w:ascii="仿宋_GB2312" w:eastAsia="仿宋_GB2312"/>
          <w:bCs/>
          <w:color w:val="000000" w:themeColor="text1"/>
          <w:sz w:val="32"/>
          <w:szCs w:val="32"/>
        </w:rPr>
        <w:t>，</w:t>
      </w:r>
      <w:r>
        <w:rPr>
          <w:rFonts w:ascii="仿宋_GB2312" w:eastAsia="仿宋_GB2312"/>
          <w:bCs/>
          <w:color w:val="000000" w:themeColor="text1"/>
          <w:sz w:val="32"/>
          <w:szCs w:val="32"/>
        </w:rPr>
        <w:t>综合施策</w:t>
      </w:r>
      <w:r>
        <w:rPr>
          <w:rFonts w:hint="eastAsia" w:ascii="仿宋_GB2312" w:eastAsia="仿宋_GB2312"/>
          <w:bCs/>
          <w:color w:val="000000" w:themeColor="text1"/>
          <w:sz w:val="32"/>
          <w:szCs w:val="32"/>
        </w:rPr>
        <w:t>，以中国北京自由贸易试验区为聚集窗口，吸引国际人才和专业人才汇聚；以服务业扩大开放综合示范区为北京新样板，推动京津冀协同发展人社共建；进一步提升人力资源服务平台功能定位，统筹整合政务、人社、市场、共享服务和平台经济等功能于一体，支撑“两区”发展人才需求。紧扣“七有”要求和“五性”需求，坚持民生为本、人才优先，坚持惠民生与促发展相结合，着力抓重点、补短板、强弱项、防风险、稳预期，推动新时代人力资源和社会保障事业高质量发展。</w:t>
      </w:r>
    </w:p>
    <w:p>
      <w:pPr>
        <w:pStyle w:val="3"/>
        <w:spacing w:beforeLines="50" w:afterLines="50" w:line="560" w:lineRule="exact"/>
        <w:ind w:firstLine="640" w:firstLineChars="200"/>
        <w:rPr>
          <w:rFonts w:ascii="黑体" w:hAnsi="黑体" w:eastAsia="黑体"/>
          <w:b w:val="0"/>
          <w:color w:val="000000" w:themeColor="text1"/>
        </w:rPr>
      </w:pPr>
      <w:bookmarkStart w:id="12" w:name="_Toc72933171"/>
      <w:r>
        <w:rPr>
          <w:rFonts w:hint="eastAsia" w:ascii="黑体" w:hAnsi="黑体" w:eastAsia="黑体"/>
          <w:b w:val="0"/>
          <w:color w:val="000000" w:themeColor="text1"/>
        </w:rPr>
        <w:t>二、</w:t>
      </w:r>
      <w:bookmarkStart w:id="13" w:name="_Toc40110540"/>
      <w:bookmarkStart w:id="14" w:name="_Toc40092004"/>
      <w:r>
        <w:rPr>
          <w:rFonts w:hint="eastAsia" w:ascii="黑体" w:hAnsi="黑体" w:eastAsia="黑体"/>
          <w:b w:val="0"/>
          <w:color w:val="000000" w:themeColor="text1"/>
        </w:rPr>
        <w:t>发展</w:t>
      </w:r>
      <w:bookmarkEnd w:id="13"/>
      <w:bookmarkEnd w:id="14"/>
      <w:r>
        <w:rPr>
          <w:rFonts w:hint="eastAsia" w:ascii="黑体" w:hAnsi="黑体" w:eastAsia="黑体"/>
          <w:b w:val="0"/>
          <w:color w:val="000000" w:themeColor="text1"/>
        </w:rPr>
        <w:t>原则</w:t>
      </w:r>
      <w:bookmarkEnd w:id="12"/>
    </w:p>
    <w:p>
      <w:pPr>
        <w:spacing w:line="560" w:lineRule="exact"/>
        <w:ind w:firstLine="643" w:firstLineChars="200"/>
        <w:rPr>
          <w:rFonts w:ascii="仿宋_GB2312" w:hAnsi="仿宋" w:eastAsia="仿宋_GB2312" w:cs="仿宋"/>
          <w:color w:val="000000" w:themeColor="text1"/>
          <w:sz w:val="32"/>
          <w:szCs w:val="32"/>
        </w:rPr>
      </w:pPr>
      <w:r>
        <w:rPr>
          <w:rFonts w:ascii="仿宋_GB2312" w:hAnsi="仿宋" w:eastAsia="仿宋_GB2312" w:cs="仿宋"/>
          <w:b/>
          <w:color w:val="000000" w:themeColor="text1"/>
          <w:sz w:val="32"/>
          <w:szCs w:val="32"/>
        </w:rPr>
        <w:t>战略引领</w:t>
      </w:r>
      <w:r>
        <w:rPr>
          <w:rFonts w:hint="eastAsia" w:ascii="仿宋_GB2312" w:hAnsi="仿宋" w:eastAsia="仿宋_GB2312" w:cs="仿宋"/>
          <w:b/>
          <w:color w:val="000000" w:themeColor="text1"/>
          <w:sz w:val="32"/>
          <w:szCs w:val="32"/>
        </w:rPr>
        <w:t>。</w:t>
      </w:r>
      <w:r>
        <w:rPr>
          <w:rFonts w:hint="eastAsia" w:ascii="仿宋_GB2312" w:hAnsi="仿宋" w:eastAsia="仿宋_GB2312" w:cs="仿宋"/>
          <w:color w:val="000000" w:themeColor="text1"/>
          <w:sz w:val="32"/>
          <w:szCs w:val="32"/>
        </w:rPr>
        <w:t>以北京市发展规划为战略导向，围绕城市副中心、“两区”建设，明确通州区人力资源社会保障工作的战略定位，紧扣稳就业保就业主题主线，运用新思维新技术，致力于破除制度壁垒，创新政策、场景应用等治理手段，优化服务流程，提升服务效能，服务副中心改革发展大局。将有效防控疫情与实现中长期规划目标有机结合，构建形势研判机制、政策评估机制、风险预警监管机制，形成地区、行业、部门工作联动，推动人力资源社会保障事业高质量发展。</w:t>
      </w:r>
    </w:p>
    <w:p>
      <w:pPr>
        <w:spacing w:line="560" w:lineRule="exact"/>
        <w:ind w:firstLine="643" w:firstLineChars="200"/>
        <w:rPr>
          <w:rFonts w:ascii="仿宋_GB2312" w:hAnsi="仿宋" w:eastAsia="仿宋_GB2312" w:cs="仿宋"/>
          <w:color w:val="000000" w:themeColor="text1"/>
          <w:sz w:val="32"/>
          <w:szCs w:val="32"/>
        </w:rPr>
      </w:pPr>
      <w:r>
        <w:rPr>
          <w:rFonts w:ascii="仿宋_GB2312" w:hAnsi="仿宋" w:eastAsia="仿宋_GB2312" w:cs="仿宋"/>
          <w:b/>
          <w:color w:val="000000" w:themeColor="text1"/>
          <w:sz w:val="32"/>
          <w:szCs w:val="32"/>
        </w:rPr>
        <w:t>创新驱动</w:t>
      </w:r>
      <w:r>
        <w:rPr>
          <w:rFonts w:hint="eastAsia" w:ascii="仿宋_GB2312" w:hAnsi="仿宋" w:eastAsia="仿宋_GB2312" w:cs="仿宋"/>
          <w:b/>
          <w:color w:val="000000" w:themeColor="text1"/>
          <w:sz w:val="32"/>
          <w:szCs w:val="32"/>
        </w:rPr>
        <w:t>。</w:t>
      </w:r>
      <w:r>
        <w:rPr>
          <w:rFonts w:hint="eastAsia" w:ascii="仿宋_GB2312" w:hAnsi="仿宋" w:eastAsia="仿宋_GB2312" w:cs="仿宋"/>
          <w:color w:val="000000" w:themeColor="text1"/>
          <w:sz w:val="32"/>
          <w:szCs w:val="32"/>
        </w:rPr>
        <w:t>突出市场配置资源决定性作用，构建更加完善的人力资源市场体系，促进劳动力、人才资源社会性流动，进一步激发市场活力和社会创造力。运用社保、税收等大数据资源，建立健全公共就业服务大平台，积极引导劳动者更充分就业。畅通企事业单位专业技术人才和技能人才的交流通道，为人才创新创业提供政策支持。创新人才培养机制，推动人力资源产业走向高端化。</w:t>
      </w:r>
    </w:p>
    <w:p>
      <w:pPr>
        <w:spacing w:line="560" w:lineRule="exact"/>
        <w:ind w:firstLine="643" w:firstLineChars="200"/>
        <w:rPr>
          <w:rFonts w:ascii="仿宋_GB2312" w:hAnsi="仿宋" w:eastAsia="仿宋_GB2312" w:cs="仿宋"/>
          <w:color w:val="000000" w:themeColor="text1"/>
          <w:sz w:val="32"/>
          <w:szCs w:val="32"/>
        </w:rPr>
      </w:pPr>
      <w:r>
        <w:rPr>
          <w:rFonts w:ascii="仿宋_GB2312" w:hAnsi="仿宋" w:eastAsia="仿宋_GB2312" w:cs="仿宋"/>
          <w:b/>
          <w:color w:val="000000" w:themeColor="text1"/>
          <w:sz w:val="32"/>
          <w:szCs w:val="32"/>
        </w:rPr>
        <w:t>民生提升</w:t>
      </w:r>
      <w:r>
        <w:rPr>
          <w:rFonts w:hint="eastAsia" w:ascii="仿宋_GB2312" w:hAnsi="仿宋" w:eastAsia="仿宋_GB2312" w:cs="仿宋"/>
          <w:b/>
          <w:color w:val="000000" w:themeColor="text1"/>
          <w:sz w:val="32"/>
          <w:szCs w:val="32"/>
        </w:rPr>
        <w:t>。</w:t>
      </w:r>
      <w:r>
        <w:rPr>
          <w:rFonts w:hint="eastAsia" w:ascii="仿宋_GB2312" w:hAnsi="仿宋" w:eastAsia="仿宋_GB2312" w:cs="仿宋"/>
          <w:color w:val="000000" w:themeColor="text1"/>
          <w:sz w:val="32"/>
          <w:szCs w:val="32"/>
        </w:rPr>
        <w:t>以服务人民为中心，切实解决涉及企业群众切身利益的问题，发挥民生政策兜底功能。精准帮扶各类困难群体，完善终身培训制度，让城乡居民实现体面劳动,共享社会保障，改革收入分配制度，增强人民群众福祉，提升其获得感、安全感、幸福感。积极改革创新，挖掘政策资源和市场潜力，拓宽就业创业空间，营造公平公正的环境，充分调动人民群众积极性、主动性，激发社会活力和创造力。</w:t>
      </w:r>
    </w:p>
    <w:p>
      <w:pPr>
        <w:spacing w:line="560" w:lineRule="exact"/>
        <w:ind w:firstLine="643" w:firstLineChars="200"/>
        <w:rPr>
          <w:rFonts w:ascii="仿宋_GB2312" w:hAnsi="仿宋" w:eastAsia="仿宋_GB2312" w:cs="仿宋"/>
          <w:color w:val="000000" w:themeColor="text1"/>
          <w:sz w:val="32"/>
          <w:szCs w:val="32"/>
        </w:rPr>
      </w:pPr>
      <w:r>
        <w:rPr>
          <w:rFonts w:ascii="仿宋_GB2312" w:hAnsi="仿宋" w:eastAsia="仿宋_GB2312" w:cs="仿宋"/>
          <w:b/>
          <w:color w:val="000000" w:themeColor="text1"/>
          <w:sz w:val="32"/>
          <w:szCs w:val="32"/>
        </w:rPr>
        <w:t>效能支撑</w:t>
      </w:r>
      <w:r>
        <w:rPr>
          <w:rFonts w:hint="eastAsia" w:ascii="仿宋_GB2312" w:hAnsi="仿宋" w:eastAsia="仿宋_GB2312" w:cs="仿宋"/>
          <w:b/>
          <w:color w:val="000000" w:themeColor="text1"/>
          <w:sz w:val="32"/>
          <w:szCs w:val="32"/>
        </w:rPr>
        <w:t>。</w:t>
      </w:r>
      <w:r>
        <w:rPr>
          <w:rFonts w:hint="eastAsia" w:ascii="仿宋_GB2312" w:hAnsi="仿宋" w:eastAsia="仿宋_GB2312" w:cs="仿宋"/>
          <w:color w:val="000000" w:themeColor="text1"/>
          <w:sz w:val="32"/>
          <w:szCs w:val="32"/>
        </w:rPr>
        <w:t>以为企业群众办实事为出发点，努力提升人力资源社会保障治理效能。坚持依法行政，完善就业政策评估机制，提升劳动力市场监管水平，进一步改善营商环境。推广“场景式服务”，释放更多“放管服”改革红利。创新工作载体和工作方法，发挥党建引领作用，促进行风建设与业务工作深度融合。加强政务信息化顶层设计，统筹推进“智慧人社”体系建设，实现信息化提质升级，有力支撑副中心人力资源社会保障治理体系和治理能力现代化。</w:t>
      </w:r>
    </w:p>
    <w:p>
      <w:pPr>
        <w:spacing w:line="560" w:lineRule="exact"/>
        <w:ind w:firstLine="643"/>
        <w:rPr>
          <w:rFonts w:ascii="仿宋_GB2312" w:hAnsi="仿宋" w:eastAsia="仿宋_GB2312" w:cs="仿宋"/>
          <w:b/>
          <w:color w:val="000000" w:themeColor="text1"/>
          <w:sz w:val="32"/>
          <w:szCs w:val="32"/>
        </w:rPr>
      </w:pPr>
    </w:p>
    <w:p>
      <w:pPr>
        <w:pStyle w:val="2"/>
        <w:spacing w:before="0" w:after="0" w:line="560" w:lineRule="exact"/>
        <w:jc w:val="center"/>
        <w:rPr>
          <w:rFonts w:eastAsia="黑体"/>
          <w:b w:val="0"/>
          <w:color w:val="000000" w:themeColor="text1"/>
          <w:sz w:val="36"/>
          <w:szCs w:val="36"/>
        </w:rPr>
      </w:pPr>
      <w:bookmarkStart w:id="15" w:name="_Toc40092005"/>
      <w:bookmarkStart w:id="16" w:name="_Toc40110541"/>
      <w:bookmarkStart w:id="17" w:name="_Toc72933172"/>
      <w:r>
        <w:rPr>
          <w:rFonts w:hint="eastAsia" w:eastAsia="黑体"/>
          <w:b w:val="0"/>
          <w:color w:val="000000" w:themeColor="text1"/>
          <w:sz w:val="36"/>
          <w:szCs w:val="36"/>
        </w:rPr>
        <w:t>第四部分</w:t>
      </w:r>
      <w:bookmarkEnd w:id="15"/>
      <w:bookmarkEnd w:id="16"/>
      <w:r>
        <w:rPr>
          <w:rFonts w:hint="eastAsia" w:eastAsia="黑体"/>
          <w:b w:val="0"/>
          <w:color w:val="000000" w:themeColor="text1"/>
          <w:sz w:val="36"/>
          <w:szCs w:val="36"/>
        </w:rPr>
        <w:t>：发展目标、重点指标、重点任务</w:t>
      </w:r>
      <w:bookmarkEnd w:id="17"/>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我国经济发展由高速增长进入高质量发展新阶段，要坚持发挥市场在人力资源服务中的重要作用。以深化人力资源服务供给侧结构性改革为主线，以改革创新为根本动力，全面开展人力资源</w:t>
      </w:r>
      <w:r>
        <w:rPr>
          <w:rFonts w:hint="eastAsia" w:ascii="仿宋_GB2312" w:hAnsi="仿宋" w:eastAsia="仿宋_GB2312" w:cs="仿宋"/>
          <w:color w:val="000000" w:themeColor="text1"/>
          <w:sz w:val="32"/>
          <w:szCs w:val="32"/>
          <w:lang w:val="en-US" w:eastAsia="zh-CN"/>
        </w:rPr>
        <w:t>和</w:t>
      </w:r>
      <w:r>
        <w:rPr>
          <w:rFonts w:hint="eastAsia" w:ascii="仿宋_GB2312" w:hAnsi="仿宋" w:eastAsia="仿宋_GB2312" w:cs="仿宋"/>
          <w:color w:val="000000" w:themeColor="text1"/>
          <w:sz w:val="32"/>
          <w:szCs w:val="32"/>
        </w:rPr>
        <w:t>社会保障高质量发展行动，加快形成专业化、信息化、产业化、国际化的人力资源服务体系，为副中心社会经济建设提供优质高效的人力资源支撑。</w:t>
      </w:r>
    </w:p>
    <w:p>
      <w:pPr>
        <w:pStyle w:val="3"/>
        <w:spacing w:beforeLines="50" w:afterLines="50" w:line="560" w:lineRule="exact"/>
        <w:ind w:firstLine="640" w:firstLineChars="200"/>
        <w:rPr>
          <w:rFonts w:ascii="黑体" w:hAnsi="黑体" w:eastAsia="黑体"/>
          <w:b w:val="0"/>
          <w:color w:val="000000" w:themeColor="text1"/>
        </w:rPr>
      </w:pPr>
      <w:bookmarkStart w:id="18" w:name="_Toc72933173"/>
      <w:bookmarkStart w:id="19" w:name="_Toc40092006"/>
      <w:bookmarkStart w:id="20" w:name="_Toc40110542"/>
      <w:r>
        <w:rPr>
          <w:rFonts w:hint="eastAsia" w:ascii="黑体" w:hAnsi="黑体" w:eastAsia="黑体"/>
          <w:b w:val="0"/>
          <w:color w:val="000000" w:themeColor="text1"/>
        </w:rPr>
        <w:t>一、实现更充分更高质量就业</w:t>
      </w:r>
      <w:bookmarkEnd w:id="18"/>
      <w:bookmarkEnd w:id="19"/>
      <w:bookmarkEnd w:id="20"/>
    </w:p>
    <w:p>
      <w:pPr>
        <w:pStyle w:val="5"/>
        <w:spacing w:before="0" w:after="0" w:line="560" w:lineRule="exact"/>
        <w:ind w:firstLine="482" w:firstLineChars="150"/>
        <w:rPr>
          <w:rFonts w:ascii="仿宋_GB2312" w:hAnsi="Tahoma" w:eastAsia="仿宋_GB2312" w:cs="Times New Roman"/>
          <w:bCs w:val="0"/>
          <w:color w:val="000000" w:themeColor="text1"/>
          <w:sz w:val="32"/>
          <w:szCs w:val="32"/>
        </w:rPr>
      </w:pPr>
      <w:bookmarkStart w:id="21" w:name="_Toc72933174"/>
      <w:r>
        <w:rPr>
          <w:rFonts w:hint="eastAsia" w:ascii="仿宋_GB2312" w:hAnsi="Tahoma" w:eastAsia="仿宋_GB2312" w:cs="Times New Roman"/>
          <w:bCs w:val="0"/>
          <w:color w:val="000000" w:themeColor="text1"/>
          <w:sz w:val="32"/>
          <w:szCs w:val="32"/>
        </w:rPr>
        <w:t>（一）发展目标</w:t>
      </w:r>
      <w:bookmarkEnd w:id="21"/>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努力实现更充分、更稳定和更高质量就业。就业局势保持稳定，就业结构不断优化，就业质量稳步提高，就业创业服务体系更加健全，重点群体和地区得到精准有效帮扶。</w:t>
      </w:r>
    </w:p>
    <w:p>
      <w:pPr>
        <w:pStyle w:val="5"/>
        <w:spacing w:before="0" w:after="0" w:line="560" w:lineRule="exact"/>
        <w:ind w:firstLine="482" w:firstLineChars="150"/>
        <w:rPr>
          <w:rFonts w:ascii="仿宋_GB2312" w:hAnsi="Tahoma" w:eastAsia="仿宋_GB2312" w:cs="Times New Roman"/>
          <w:bCs w:val="0"/>
          <w:color w:val="000000" w:themeColor="text1"/>
          <w:sz w:val="32"/>
          <w:szCs w:val="32"/>
        </w:rPr>
      </w:pPr>
      <w:bookmarkStart w:id="22" w:name="_Toc72933175"/>
      <w:r>
        <w:rPr>
          <w:rFonts w:hint="eastAsia" w:ascii="仿宋_GB2312" w:hAnsi="Tahoma" w:eastAsia="仿宋_GB2312" w:cs="Times New Roman"/>
          <w:bCs w:val="0"/>
          <w:color w:val="000000" w:themeColor="text1"/>
          <w:sz w:val="32"/>
          <w:szCs w:val="32"/>
        </w:rPr>
        <w:t>（二）重点指标</w:t>
      </w:r>
      <w:bookmarkEnd w:id="22"/>
      <w:bookmarkStart w:id="91" w:name="_GoBack"/>
      <w:bookmarkEnd w:id="91"/>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1.城镇调查失业率控制在5%以内。</w:t>
      </w:r>
    </w:p>
    <w:p>
      <w:pPr>
        <w:spacing w:line="560" w:lineRule="exact"/>
        <w:ind w:firstLine="640" w:firstLineChars="200"/>
        <w:rPr>
          <w:rFonts w:ascii="仿宋_GB2312" w:hAnsi="黑体" w:eastAsia="仿宋_GB2312"/>
          <w:color w:val="000000" w:themeColor="text1"/>
          <w:sz w:val="32"/>
          <w:szCs w:val="32"/>
        </w:rPr>
      </w:pPr>
      <w:r>
        <w:rPr>
          <w:rFonts w:hint="eastAsia" w:ascii="仿宋_GB2312" w:eastAsia="仿宋_GB2312"/>
          <w:color w:val="000000" w:themeColor="text1"/>
          <w:sz w:val="32"/>
          <w:szCs w:val="32"/>
        </w:rPr>
        <w:t>2.充分就业街道（乡镇）比例达到8</w:t>
      </w:r>
      <w:r>
        <w:rPr>
          <w:rFonts w:ascii="仿宋_GB2312" w:eastAsia="仿宋_GB2312"/>
          <w:color w:val="000000" w:themeColor="text1"/>
          <w:sz w:val="32"/>
          <w:szCs w:val="32"/>
        </w:rPr>
        <w:t>0%</w:t>
      </w:r>
      <w:r>
        <w:rPr>
          <w:rFonts w:hint="eastAsia" w:ascii="仿宋_GB2312" w:eastAsia="仿宋_GB2312"/>
          <w:color w:val="000000" w:themeColor="text1"/>
          <w:sz w:val="32"/>
          <w:szCs w:val="32"/>
        </w:rPr>
        <w:t>以上，充分就业社区（村）比例达到90</w:t>
      </w:r>
      <w:r>
        <w:rPr>
          <w:rFonts w:ascii="仿宋_GB2312" w:eastAsia="仿宋_GB2312"/>
          <w:color w:val="000000" w:themeColor="text1"/>
          <w:sz w:val="32"/>
          <w:szCs w:val="32"/>
        </w:rPr>
        <w:t>%</w:t>
      </w:r>
      <w:r>
        <w:rPr>
          <w:rFonts w:hint="eastAsia" w:ascii="仿宋_GB2312" w:eastAsia="仿宋_GB2312"/>
          <w:color w:val="000000" w:themeColor="text1"/>
          <w:sz w:val="32"/>
          <w:szCs w:val="32"/>
        </w:rPr>
        <w:t>以上。</w:t>
      </w:r>
    </w:p>
    <w:p>
      <w:pPr>
        <w:pStyle w:val="5"/>
        <w:spacing w:before="0" w:after="0" w:line="560" w:lineRule="exact"/>
        <w:ind w:firstLine="482" w:firstLineChars="150"/>
        <w:rPr>
          <w:rFonts w:ascii="仿宋_GB2312" w:hAnsi="Tahoma" w:eastAsia="仿宋_GB2312" w:cs="Times New Roman"/>
          <w:bCs w:val="0"/>
          <w:color w:val="000000" w:themeColor="text1"/>
          <w:sz w:val="32"/>
          <w:szCs w:val="32"/>
        </w:rPr>
      </w:pPr>
      <w:bookmarkStart w:id="23" w:name="_Toc72933176"/>
      <w:r>
        <w:rPr>
          <w:rFonts w:hint="eastAsia" w:ascii="仿宋_GB2312" w:hAnsi="Tahoma" w:eastAsia="仿宋_GB2312" w:cs="Times New Roman"/>
          <w:bCs w:val="0"/>
          <w:color w:val="000000" w:themeColor="text1"/>
          <w:sz w:val="32"/>
          <w:szCs w:val="32"/>
        </w:rPr>
        <w:t>（三）重点任务</w:t>
      </w:r>
      <w:bookmarkEnd w:id="23"/>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eastAsia="仿宋_GB2312"/>
          <w:color w:val="000000" w:themeColor="text1"/>
          <w:sz w:val="32"/>
          <w:szCs w:val="32"/>
        </w:rPr>
        <w:t>围绕北京城市副中心行政办公、商务服务、文化旅游、科技创新等功能板块和产业集群构建，加强产业与就业的联动，优化就业结构，实施就业优先政策</w:t>
      </w:r>
      <w:r>
        <w:rPr>
          <w:rFonts w:hint="eastAsia" w:ascii="仿宋_GB2312" w:hAnsi="仿宋" w:eastAsia="仿宋_GB2312" w:cs="仿宋"/>
          <w:color w:val="000000" w:themeColor="text1"/>
          <w:sz w:val="32"/>
          <w:szCs w:val="32"/>
        </w:rPr>
        <w:t>，</w:t>
      </w:r>
      <w:r>
        <w:rPr>
          <w:rFonts w:hint="eastAsia" w:ascii="仿宋_GB2312" w:eastAsia="仿宋_GB2312"/>
          <w:color w:val="000000" w:themeColor="text1"/>
          <w:sz w:val="32"/>
          <w:szCs w:val="32"/>
        </w:rPr>
        <w:t>强化政策协同和传导落实，</w:t>
      </w:r>
      <w:r>
        <w:rPr>
          <w:rFonts w:hint="eastAsia" w:ascii="仿宋_GB2312" w:hAnsi="仿宋" w:eastAsia="仿宋_GB2312" w:cs="仿宋"/>
          <w:color w:val="000000" w:themeColor="text1"/>
          <w:sz w:val="32"/>
          <w:szCs w:val="32"/>
        </w:rPr>
        <w:t>积极增加新就业，提高劳动者就业创业能力，增强公共就业服务效能，防范化解规模性失业风险，努力实现更高质量和更充分就业。</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24" w:name="_Toc72933177"/>
      <w:r>
        <w:rPr>
          <w:rFonts w:hint="eastAsia" w:ascii="仿宋_GB2312" w:hAnsi="Tahoma" w:eastAsia="仿宋_GB2312" w:cs="Times New Roman"/>
          <w:bCs w:val="0"/>
          <w:color w:val="000000" w:themeColor="text1"/>
          <w:sz w:val="32"/>
          <w:szCs w:val="32"/>
        </w:rPr>
        <w:t>1.培育新业态新模式扩大就业</w:t>
      </w:r>
      <w:bookmarkEnd w:id="24"/>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以数字经济为方向、绿色经济为特征所构建的新业态，将会出现更多样化的就业新模式，需要建设与之匹配的就业保障新机制。将稳定和扩大就业作为经济社会发展的优先目标，构建宏观经济政策对就业影响评估机制。在数字经济、现代金融、智能制造、商务服务、文旅产业发展方面和重大项目建设促进就业保障机制方面，创新、引导、促进劳动者就业。结合城市副中心区域功能定位，发挥不同产业吸纳就业潜力，针对不同地区开发并扩大就业岗位。</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25" w:name="_Toc72933178"/>
      <w:r>
        <w:rPr>
          <w:rFonts w:hint="eastAsia" w:ascii="仿宋_GB2312" w:hAnsi="Tahoma" w:eastAsia="仿宋_GB2312" w:cs="Times New Roman"/>
          <w:bCs w:val="0"/>
          <w:color w:val="000000" w:themeColor="text1"/>
          <w:sz w:val="32"/>
          <w:szCs w:val="32"/>
        </w:rPr>
        <w:t>2.激发创新创业活力带动就业</w:t>
      </w:r>
      <w:bookmarkEnd w:id="25"/>
    </w:p>
    <w:p>
      <w:pPr>
        <w:spacing w:line="560" w:lineRule="exact"/>
        <w:ind w:firstLine="640" w:firstLineChars="200"/>
        <w:rPr>
          <w:rFonts w:ascii="仿宋_GB2312" w:eastAsia="仿宋_GB2312"/>
          <w:color w:val="000000" w:themeColor="text1"/>
          <w:sz w:val="32"/>
          <w:szCs w:val="32"/>
        </w:rPr>
      </w:pPr>
      <w:r>
        <w:rPr>
          <w:rFonts w:hint="eastAsia" w:ascii="仿宋_GB2312" w:hAnsi="仿宋" w:eastAsia="仿宋_GB2312" w:cs="仿宋"/>
          <w:color w:val="000000" w:themeColor="text1"/>
          <w:sz w:val="32"/>
          <w:szCs w:val="32"/>
        </w:rPr>
        <w:t>将创业作为就业的源头动力，结合城市副中心产业发展方向，加大创业政策和服务资源集成，</w:t>
      </w:r>
      <w:r>
        <w:rPr>
          <w:rFonts w:hint="eastAsia" w:ascii="仿宋_GB2312" w:eastAsia="仿宋_GB2312"/>
          <w:color w:val="000000" w:themeColor="text1"/>
          <w:sz w:val="32"/>
          <w:szCs w:val="32"/>
        </w:rPr>
        <w:t>围绕各种线上线下创业帮扶体系，制订并实施符合通州区产业发展的普惠制创业补贴及奖励政策，强化针对重点群体补贴奖励支持力度，持续调整优化创业扶持政策。探索实施与孵化出园相结合的免费创业场地使用方式，至少新建一家高水平的创业见习+孵化加速一体化基地。通过重点打造“通州源创”创新创业服务品牌，提供运营管理、资金扶持、政策指导等线上线下相融合的服务新平台，搭建集项目试运营、产品展示、互联网应用与小微初创企业政策集成等融合式的全场景一体化创业帮扶平台。完善创业指导服务基础数据平台建设，创建区创业明星库、区优秀创业项目库、区创业指导专家库和区创业孵化基地库四个实时数据库，为创业者搭建良好的创业平台，实现创业</w:t>
      </w:r>
      <w:r>
        <w:rPr>
          <w:rFonts w:ascii="仿宋_GB2312" w:eastAsia="仿宋_GB2312"/>
          <w:color w:val="000000" w:themeColor="text1"/>
          <w:sz w:val="32"/>
          <w:szCs w:val="32"/>
        </w:rPr>
        <w:t>2000</w:t>
      </w:r>
      <w:r>
        <w:rPr>
          <w:rFonts w:hint="eastAsia" w:ascii="仿宋_GB2312" w:eastAsia="仿宋_GB2312"/>
          <w:color w:val="000000" w:themeColor="text1"/>
          <w:sz w:val="32"/>
          <w:szCs w:val="32"/>
        </w:rPr>
        <w:t>人，带动就业</w:t>
      </w:r>
      <w:r>
        <w:rPr>
          <w:rFonts w:ascii="仿宋_GB2312" w:eastAsia="仿宋_GB2312"/>
          <w:color w:val="000000" w:themeColor="text1"/>
          <w:sz w:val="32"/>
          <w:szCs w:val="32"/>
        </w:rPr>
        <w:t>10000</w:t>
      </w:r>
      <w:r>
        <w:rPr>
          <w:rFonts w:hint="eastAsia" w:ascii="仿宋_GB2312" w:eastAsia="仿宋_GB2312"/>
          <w:color w:val="000000" w:themeColor="text1"/>
          <w:sz w:val="32"/>
          <w:szCs w:val="32"/>
        </w:rPr>
        <w:t>人。</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加强创业孵化基地建设，培育不少于十家区级创业孵化基地。结合多种资源重点打造集聚文化旅游、现代商务和科技创新特色的基地。</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26" w:name="_Toc72933179"/>
      <w:r>
        <w:rPr>
          <w:rFonts w:hint="eastAsia" w:ascii="仿宋_GB2312" w:hAnsi="Tahoma" w:eastAsia="仿宋_GB2312" w:cs="Times New Roman"/>
          <w:bCs w:val="0"/>
          <w:color w:val="000000" w:themeColor="text1"/>
          <w:sz w:val="32"/>
          <w:szCs w:val="32"/>
        </w:rPr>
        <w:t>3.瞄准重点群体精准施策帮扶就业</w:t>
      </w:r>
      <w:bookmarkEnd w:id="26"/>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高校毕业生是就业工作的重中之重，落实就业创业促进计划，建立闭环式就业帮扶体系，推动毕业生创新创业，应届高校毕业生就业率每年保持在</w:t>
      </w:r>
      <w:r>
        <w:rPr>
          <w:rFonts w:ascii="仿宋_GB2312" w:hAnsi="仿宋" w:eastAsia="仿宋_GB2312" w:cs="仿宋"/>
          <w:color w:val="000000" w:themeColor="text1"/>
          <w:sz w:val="32"/>
          <w:szCs w:val="32"/>
        </w:rPr>
        <w:t>95%</w:t>
      </w:r>
      <w:r>
        <w:rPr>
          <w:rFonts w:hint="eastAsia" w:ascii="仿宋_GB2312" w:hAnsi="仿宋" w:eastAsia="仿宋_GB2312" w:cs="仿宋"/>
          <w:color w:val="000000" w:themeColor="text1"/>
          <w:sz w:val="32"/>
          <w:szCs w:val="32"/>
        </w:rPr>
        <w:t>以上；扩大就业见习规模，落实社保补贴政策，鼓励企业吸纳高校毕业生就业；加大基层就业岗位对毕业生的招用力度，引导高校毕业生在基层就业成长；开展困难家庭毕业生“一生一策”重点帮扶。针对就业困难人员，加大分级分类帮扶力度和就业扶持，开发公益性就业岗位不低于</w:t>
      </w:r>
      <w:r>
        <w:rPr>
          <w:rFonts w:ascii="仿宋_GB2312" w:hAnsi="仿宋" w:eastAsia="仿宋_GB2312" w:cs="仿宋"/>
          <w:color w:val="000000" w:themeColor="text1"/>
          <w:sz w:val="32"/>
          <w:szCs w:val="32"/>
        </w:rPr>
        <w:t>3000</w:t>
      </w:r>
      <w:r>
        <w:rPr>
          <w:rFonts w:hint="eastAsia" w:ascii="仿宋_GB2312" w:hAnsi="仿宋" w:eastAsia="仿宋_GB2312" w:cs="仿宋"/>
          <w:color w:val="000000" w:themeColor="text1"/>
          <w:sz w:val="32"/>
          <w:szCs w:val="32"/>
        </w:rPr>
        <w:t>个，实现“零就业家庭”动态清零。</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27" w:name="_Toc72933180"/>
      <w:r>
        <w:rPr>
          <w:rFonts w:hint="eastAsia" w:ascii="仿宋_GB2312" w:hAnsi="Tahoma" w:eastAsia="仿宋_GB2312" w:cs="Times New Roman"/>
          <w:bCs w:val="0"/>
          <w:color w:val="000000" w:themeColor="text1"/>
          <w:sz w:val="32"/>
          <w:szCs w:val="32"/>
        </w:rPr>
        <w:t>4.助力乡村振兴战略促进农村劳动力就业</w:t>
      </w:r>
      <w:bookmarkEnd w:id="27"/>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拓宽农村劳动力就业渠道，引导农村劳动力到乡村产业、新型农业经营主体、农业基础设施建设项目就近就地就业，参加企业职工基本养老保险。稳步推进农村地区劳动力到城市公共服务岗位就业，深化跨区对接和配套服务保障，实现“转得出、留得住、可持续”。巩固拓展脱贫攻坚成果同乡村振兴有效衔接，持续加强结对帮扶和劳务协作，发挥“在京务工人员之家”作用，进一步做好脱贫人口、边缘易致贫人口稳岗就业工作。</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28" w:name="_Toc72933181"/>
      <w:r>
        <w:rPr>
          <w:rFonts w:hint="eastAsia" w:ascii="仿宋_GB2312" w:hAnsi="Tahoma" w:eastAsia="仿宋_GB2312" w:cs="Times New Roman"/>
          <w:bCs w:val="0"/>
          <w:color w:val="000000" w:themeColor="text1"/>
          <w:sz w:val="32"/>
          <w:szCs w:val="32"/>
        </w:rPr>
        <w:t>5.强化职业能力培训促进就业</w:t>
      </w:r>
      <w:bookmarkEnd w:id="28"/>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将职业技能培训作为稳就业的关键举措，落实城乡劳动者终身职业技能培训制度，持续释放政策红利，将城乡劳动力全部纳入政策性补贴培训范围，平均每年培训不低于</w:t>
      </w:r>
      <w:r>
        <w:rPr>
          <w:rFonts w:ascii="仿宋_GB2312" w:hAnsi="仿宋" w:eastAsia="仿宋_GB2312" w:cs="仿宋"/>
          <w:color w:val="000000" w:themeColor="text1"/>
          <w:sz w:val="32"/>
          <w:szCs w:val="32"/>
        </w:rPr>
        <w:t>1</w:t>
      </w:r>
      <w:r>
        <w:rPr>
          <w:rFonts w:hint="eastAsia" w:ascii="仿宋_GB2312" w:hAnsi="仿宋" w:eastAsia="仿宋_GB2312" w:cs="仿宋"/>
          <w:color w:val="000000" w:themeColor="text1"/>
          <w:sz w:val="32"/>
          <w:szCs w:val="32"/>
        </w:rPr>
        <w:t>万人次。鼓励企业、职业院校以职业技能实训为主，兼顾技能评价、技能竞赛、交流展示、职业介绍等项目服务，推动建设</w:t>
      </w:r>
      <w:r>
        <w:rPr>
          <w:rFonts w:ascii="仿宋_GB2312" w:hAnsi="仿宋" w:eastAsia="仿宋_GB2312" w:cs="仿宋"/>
          <w:color w:val="000000" w:themeColor="text1"/>
          <w:sz w:val="32"/>
          <w:szCs w:val="32"/>
        </w:rPr>
        <w:t>10</w:t>
      </w:r>
      <w:r>
        <w:rPr>
          <w:rFonts w:hint="eastAsia" w:ascii="仿宋_GB2312" w:hAnsi="仿宋" w:eastAsia="仿宋_GB2312" w:cs="仿宋"/>
          <w:color w:val="000000" w:themeColor="text1"/>
          <w:sz w:val="32"/>
          <w:szCs w:val="32"/>
        </w:rPr>
        <w:t>个具有辐射引领作用的高水平、专业化产教融合公共实训基地。通过开展企业新型学徒制培训、岗位技能提升培训、就业创业培训，持续开展职业技能提升行动，大力推进线上职业技能培训，针对重点群体重点行业领域，实施专项培训计划，实现劳动者技能素质和就业岗位的有效对接。服务“两区”建设，支持外商投资举办经营性职业技能培训机构，推动对外交流与合作。大力支持老城双修、新能源汽车、新材料、人工智能、生物医药、创意设计、动漫制作、高端民宿、老字号技艺传承等技能工种（项目）培训，形成集高端服务、文化旅游、科技创新为一体的新型技能人才聚集高地。</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29" w:name="_Toc72933182"/>
      <w:r>
        <w:rPr>
          <w:rFonts w:hint="eastAsia" w:ascii="仿宋_GB2312" w:hAnsi="Tahoma" w:eastAsia="仿宋_GB2312" w:cs="Times New Roman"/>
          <w:bCs w:val="0"/>
          <w:color w:val="000000" w:themeColor="text1"/>
          <w:sz w:val="32"/>
          <w:szCs w:val="32"/>
        </w:rPr>
        <w:t>6.完善全方位就业公共服务助推就业</w:t>
      </w:r>
      <w:bookmarkEnd w:id="29"/>
    </w:p>
    <w:p>
      <w:pPr>
        <w:spacing w:line="560" w:lineRule="exact"/>
        <w:ind w:firstLine="640" w:firstLineChars="200"/>
        <w:rPr>
          <w:rFonts w:ascii="仿宋_GB2312" w:eastAsia="仿宋_GB2312"/>
          <w:bCs/>
          <w:color w:val="000000" w:themeColor="text1"/>
          <w:sz w:val="32"/>
          <w:szCs w:val="32"/>
        </w:rPr>
      </w:pPr>
      <w:r>
        <w:rPr>
          <w:rFonts w:hint="eastAsia" w:ascii="仿宋_GB2312" w:eastAsia="仿宋_GB2312"/>
          <w:bCs/>
          <w:color w:val="000000" w:themeColor="text1"/>
          <w:sz w:val="32"/>
          <w:szCs w:val="32"/>
        </w:rPr>
        <w:t>配套落实市人力社保局的就业失业管理制度、公共就业服务制度和常住地、工作地失业登记, 让劳动者和用人主体就地就近享受服务。深入推进“互联网+公共就业服务”</w:t>
      </w:r>
      <w:r>
        <w:rPr>
          <w:rFonts w:hint="eastAsia" w:ascii="仿宋_GB2312" w:eastAsia="仿宋_GB2312"/>
          <w:color w:val="000000" w:themeColor="text1"/>
          <w:sz w:val="32"/>
          <w:szCs w:val="32"/>
        </w:rPr>
        <w:t>，</w:t>
      </w:r>
      <w:r>
        <w:rPr>
          <w:rFonts w:hint="eastAsia" w:ascii="仿宋_GB2312" w:eastAsia="仿宋_GB2312"/>
          <w:bCs/>
          <w:color w:val="000000" w:themeColor="text1"/>
          <w:sz w:val="32"/>
          <w:szCs w:val="32"/>
        </w:rPr>
        <w:t>加强流动人员人事档案信息化建设，提升服务智慧化水平。健全人力资源市场体系，持续优化人力资源服务许可备案流程，强化事中事后监管体系，推进人力资源市场诚信体系建设。将增强公共就业服务效能作为稳就业的坚强保障，构建政府主导、社会参与的多元化公共就业服务供给体系，进一步完善“公共服务</w:t>
      </w:r>
      <w:r>
        <w:rPr>
          <w:rFonts w:ascii="仿宋_GB2312" w:eastAsia="仿宋_GB2312"/>
          <w:bCs/>
          <w:color w:val="000000" w:themeColor="text1"/>
          <w:sz w:val="32"/>
          <w:szCs w:val="32"/>
        </w:rPr>
        <w:t>+</w:t>
      </w:r>
      <w:r>
        <w:rPr>
          <w:rFonts w:hint="eastAsia" w:ascii="仿宋_GB2312" w:eastAsia="仿宋_GB2312"/>
          <w:bCs/>
          <w:color w:val="000000" w:themeColor="text1"/>
          <w:sz w:val="32"/>
          <w:szCs w:val="32"/>
        </w:rPr>
        <w:t>市场化服务”模式。完善区</w:t>
      </w:r>
      <w:r>
        <w:rPr>
          <w:rFonts w:ascii="仿宋_GB2312" w:eastAsia="仿宋_GB2312"/>
          <w:bCs/>
          <w:color w:val="000000" w:themeColor="text1"/>
          <w:sz w:val="32"/>
          <w:szCs w:val="32"/>
        </w:rPr>
        <w:t>-</w:t>
      </w:r>
      <w:r>
        <w:rPr>
          <w:rFonts w:hint="eastAsia" w:ascii="仿宋_GB2312" w:eastAsia="仿宋_GB2312"/>
          <w:bCs/>
          <w:color w:val="000000" w:themeColor="text1"/>
          <w:sz w:val="32"/>
          <w:szCs w:val="32"/>
        </w:rPr>
        <w:t>乡镇（街道）</w:t>
      </w:r>
      <w:r>
        <w:rPr>
          <w:rFonts w:ascii="仿宋_GB2312" w:eastAsia="仿宋_GB2312"/>
          <w:bCs/>
          <w:color w:val="000000" w:themeColor="text1"/>
          <w:sz w:val="32"/>
          <w:szCs w:val="32"/>
        </w:rPr>
        <w:t>-</w:t>
      </w:r>
      <w:r>
        <w:rPr>
          <w:rFonts w:hint="eastAsia" w:ascii="仿宋_GB2312" w:eastAsia="仿宋_GB2312"/>
          <w:bCs/>
          <w:color w:val="000000" w:themeColor="text1"/>
          <w:sz w:val="32"/>
          <w:szCs w:val="32"/>
        </w:rPr>
        <w:t>社区（村）三级就业服务体系建设，加快构建“</w:t>
      </w:r>
      <w:r>
        <w:rPr>
          <w:rFonts w:ascii="仿宋_GB2312" w:eastAsia="仿宋_GB2312"/>
          <w:bCs/>
          <w:color w:val="000000" w:themeColor="text1"/>
          <w:sz w:val="32"/>
          <w:szCs w:val="32"/>
        </w:rPr>
        <w:t>15</w:t>
      </w:r>
      <w:r>
        <w:rPr>
          <w:rFonts w:hint="eastAsia" w:ascii="仿宋_GB2312" w:eastAsia="仿宋_GB2312"/>
          <w:bCs/>
          <w:color w:val="000000" w:themeColor="text1"/>
          <w:sz w:val="32"/>
          <w:szCs w:val="32"/>
        </w:rPr>
        <w:t>分钟公共就业服务圈”，加强“通州就业服务”网络建设，将公共就业服务向基层延伸。“十四五”期间，采集空岗信息</w:t>
      </w:r>
      <w:r>
        <w:rPr>
          <w:rFonts w:ascii="仿宋_GB2312" w:eastAsia="仿宋_GB2312"/>
          <w:bCs/>
          <w:color w:val="000000" w:themeColor="text1"/>
          <w:sz w:val="32"/>
          <w:szCs w:val="32"/>
        </w:rPr>
        <w:t>20</w:t>
      </w:r>
      <w:r>
        <w:rPr>
          <w:rFonts w:hint="eastAsia" w:ascii="仿宋_GB2312" w:eastAsia="仿宋_GB2312"/>
          <w:bCs/>
          <w:color w:val="000000" w:themeColor="text1"/>
          <w:sz w:val="32"/>
          <w:szCs w:val="32"/>
        </w:rPr>
        <w:t>万个次以上，开展招聘会不少于</w:t>
      </w:r>
      <w:r>
        <w:rPr>
          <w:rFonts w:ascii="仿宋_GB2312" w:eastAsia="仿宋_GB2312"/>
          <w:bCs/>
          <w:color w:val="000000" w:themeColor="text1"/>
          <w:sz w:val="32"/>
          <w:szCs w:val="32"/>
        </w:rPr>
        <w:t>1500</w:t>
      </w:r>
      <w:r>
        <w:rPr>
          <w:rFonts w:hint="eastAsia" w:ascii="仿宋_GB2312" w:eastAsia="仿宋_GB2312"/>
          <w:bCs/>
          <w:color w:val="000000" w:themeColor="text1"/>
          <w:sz w:val="32"/>
          <w:szCs w:val="32"/>
        </w:rPr>
        <w:t>场。</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30" w:name="_Toc72933183"/>
      <w:r>
        <w:rPr>
          <w:rFonts w:hint="eastAsia" w:ascii="仿宋_GB2312" w:hAnsi="Tahoma" w:eastAsia="仿宋_GB2312" w:cs="Times New Roman"/>
          <w:bCs w:val="0"/>
          <w:color w:val="000000" w:themeColor="text1"/>
          <w:sz w:val="32"/>
          <w:szCs w:val="32"/>
        </w:rPr>
        <w:t>7.防范化解规模性失业稳就业</w:t>
      </w:r>
      <w:bookmarkEnd w:id="30"/>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将防范化解规模性失业风险作为稳就业保就业的重要抓手。探索建立防范和应对大规模裁员和失业风险预案，加强与行业主管部门的信息共享、就业监测，及时发布失业预警。完善城乡就业失业状况抽样调查制度，建立裁员和失业风险动态排查预警机制；强化经济性裁员和失业风险应对处置。</w:t>
      </w:r>
    </w:p>
    <w:p>
      <w:pPr>
        <w:pStyle w:val="3"/>
        <w:spacing w:beforeLines="50" w:afterLines="50" w:line="560" w:lineRule="exact"/>
        <w:ind w:firstLine="640" w:firstLineChars="200"/>
        <w:rPr>
          <w:rFonts w:ascii="黑体" w:hAnsi="黑体" w:eastAsia="黑体"/>
          <w:b w:val="0"/>
          <w:color w:val="000000" w:themeColor="text1"/>
        </w:rPr>
      </w:pPr>
      <w:bookmarkStart w:id="31" w:name="_Toc72933184"/>
      <w:r>
        <w:rPr>
          <w:rFonts w:hint="eastAsia" w:ascii="黑体" w:hAnsi="黑体" w:eastAsia="黑体"/>
          <w:b w:val="0"/>
          <w:color w:val="000000" w:themeColor="text1"/>
        </w:rPr>
        <w:t>二</w:t>
      </w:r>
      <w:bookmarkStart w:id="32" w:name="_Toc40110543"/>
      <w:bookmarkStart w:id="33" w:name="_Toc40092007"/>
      <w:r>
        <w:rPr>
          <w:rFonts w:hint="eastAsia" w:ascii="黑体" w:hAnsi="黑体" w:eastAsia="黑体"/>
          <w:b w:val="0"/>
          <w:color w:val="000000" w:themeColor="text1"/>
        </w:rPr>
        <w:t>、完善公平可持续的社会保障制度体系</w:t>
      </w:r>
      <w:bookmarkEnd w:id="31"/>
      <w:bookmarkEnd w:id="32"/>
      <w:bookmarkEnd w:id="33"/>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34" w:name="_Toc72933185"/>
      <w:r>
        <w:rPr>
          <w:rFonts w:hint="eastAsia" w:ascii="仿宋_GB2312" w:hAnsi="Tahoma" w:eastAsia="仿宋_GB2312" w:cs="Times New Roman"/>
          <w:bCs w:val="0"/>
          <w:color w:val="000000" w:themeColor="text1"/>
          <w:sz w:val="32"/>
          <w:szCs w:val="32"/>
        </w:rPr>
        <w:t>（一）发展目标</w:t>
      </w:r>
      <w:bookmarkEnd w:id="34"/>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逐步建立覆盖全民、城乡统筹、权责清晰、保障适度、可持续的多层次社会保障体系。社会保险制度体系更加健全，保障水平进一步提高，基金风险防控能力进一步加强，公共服务效能全面提升。</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35" w:name="_Toc72933186"/>
      <w:bookmarkStart w:id="36" w:name="_Toc65493672"/>
      <w:r>
        <w:rPr>
          <w:rFonts w:hint="eastAsia" w:ascii="仿宋_GB2312" w:hAnsi="Tahoma" w:eastAsia="仿宋_GB2312" w:cs="Times New Roman"/>
          <w:bCs w:val="0"/>
          <w:color w:val="000000" w:themeColor="text1"/>
          <w:sz w:val="32"/>
          <w:szCs w:val="32"/>
        </w:rPr>
        <w:t>（二）重点指标</w:t>
      </w:r>
      <w:bookmarkEnd w:id="35"/>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城乡居民养老保险历年续保率达到</w:t>
      </w:r>
      <w:r>
        <w:rPr>
          <w:rFonts w:ascii="仿宋_GB2312" w:hAnsi="仿宋" w:eastAsia="仿宋_GB2312" w:cs="仿宋"/>
          <w:color w:val="000000" w:themeColor="text1"/>
          <w:sz w:val="32"/>
          <w:szCs w:val="32"/>
        </w:rPr>
        <w:t>96%</w:t>
      </w:r>
      <w:r>
        <w:rPr>
          <w:rFonts w:hint="eastAsia" w:ascii="仿宋_GB2312" w:hAnsi="仿宋" w:eastAsia="仿宋_GB2312" w:cs="仿宋"/>
          <w:color w:val="000000" w:themeColor="text1"/>
          <w:sz w:val="32"/>
          <w:szCs w:val="32"/>
        </w:rPr>
        <w:t>以上。</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37" w:name="_Toc72933187"/>
      <w:r>
        <w:rPr>
          <w:rFonts w:hint="eastAsia" w:ascii="仿宋_GB2312" w:hAnsi="Tahoma" w:eastAsia="仿宋_GB2312" w:cs="Times New Roman"/>
          <w:bCs w:val="0"/>
          <w:color w:val="000000" w:themeColor="text1"/>
          <w:sz w:val="32"/>
          <w:szCs w:val="32"/>
        </w:rPr>
        <w:t>（三）重点任务</w:t>
      </w:r>
      <w:bookmarkEnd w:id="36"/>
      <w:bookmarkEnd w:id="37"/>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按照兜底线、织密网、建机制的要求，进一步完善社会保障制度体系，继续深化改革，落实政策待遇，增强基金风险防控能力，提升经办服务效能。</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38" w:name="_Toc72933188"/>
      <w:r>
        <w:rPr>
          <w:rFonts w:hint="eastAsia" w:ascii="仿宋_GB2312" w:hAnsi="Tahoma" w:eastAsia="仿宋_GB2312" w:cs="Times New Roman"/>
          <w:bCs w:val="0"/>
          <w:color w:val="000000" w:themeColor="text1"/>
          <w:sz w:val="32"/>
          <w:szCs w:val="32"/>
        </w:rPr>
        <w:t>1.加快推进多层次养老保险体系建设</w:t>
      </w:r>
      <w:bookmarkEnd w:id="38"/>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按照国家顶层设计，积极落实养老保险全国统筹、延迟退休等重大制度改革；建立多层次养老体系，进一步扩大职工养老保险覆盖范围；助力“两区”建设，推动完善外国人和港澳台居民参加本市城乡居民基本养老保险政策；鼓励引导参保人多缴费、长缴费，推动城乡居民与职工养老保险制度衔接，促</w:t>
      </w:r>
      <w:r>
        <w:rPr>
          <w:rFonts w:ascii="仿宋_GB2312" w:eastAsia="仿宋_GB2312"/>
          <w:color w:val="000000" w:themeColor="text1"/>
          <w:sz w:val="32"/>
          <w:szCs w:val="32"/>
        </w:rPr>
        <w:t>进困难群体</w:t>
      </w:r>
      <w:r>
        <w:rPr>
          <w:rFonts w:hint="eastAsia" w:ascii="仿宋_GB2312" w:eastAsia="仿宋_GB2312"/>
          <w:color w:val="000000" w:themeColor="text1"/>
          <w:sz w:val="32"/>
          <w:szCs w:val="32"/>
        </w:rPr>
        <w:t>依法</w:t>
      </w:r>
      <w:r>
        <w:rPr>
          <w:rFonts w:ascii="仿宋_GB2312" w:eastAsia="仿宋_GB2312"/>
          <w:color w:val="000000" w:themeColor="text1"/>
          <w:sz w:val="32"/>
          <w:szCs w:val="32"/>
        </w:rPr>
        <w:t>参保，</w:t>
      </w:r>
      <w:r>
        <w:rPr>
          <w:rFonts w:hint="eastAsia" w:ascii="仿宋_GB2312" w:eastAsia="仿宋_GB2312"/>
          <w:color w:val="000000" w:themeColor="text1"/>
          <w:sz w:val="32"/>
          <w:szCs w:val="32"/>
        </w:rPr>
        <w:t>维护好城乡居民</w:t>
      </w:r>
      <w:r>
        <w:rPr>
          <w:rFonts w:ascii="仿宋_GB2312" w:eastAsia="仿宋_GB2312"/>
          <w:color w:val="000000" w:themeColor="text1"/>
          <w:sz w:val="32"/>
          <w:szCs w:val="32"/>
        </w:rPr>
        <w:t>养老保障</w:t>
      </w:r>
      <w:r>
        <w:rPr>
          <w:rFonts w:hint="eastAsia" w:ascii="仿宋_GB2312" w:eastAsia="仿宋_GB2312"/>
          <w:color w:val="000000" w:themeColor="text1"/>
          <w:sz w:val="32"/>
          <w:szCs w:val="32"/>
        </w:rPr>
        <w:t>基本权益。扎实推进职工养老保险制度，深化</w:t>
      </w:r>
      <w:r>
        <w:rPr>
          <w:rFonts w:ascii="仿宋_GB2312" w:eastAsia="仿宋_GB2312"/>
          <w:color w:val="000000" w:themeColor="text1"/>
          <w:sz w:val="32"/>
          <w:szCs w:val="32"/>
        </w:rPr>
        <w:t>企业和</w:t>
      </w:r>
      <w:r>
        <w:rPr>
          <w:rFonts w:hint="eastAsia" w:ascii="仿宋_GB2312" w:eastAsia="仿宋_GB2312"/>
          <w:color w:val="000000" w:themeColor="text1"/>
          <w:sz w:val="32"/>
          <w:szCs w:val="32"/>
        </w:rPr>
        <w:t>机关事业单位养老保险制度改革。推进多层次养老保险体系建设，促进社会保险制度可持续发展。</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39" w:name="_Toc72933189"/>
      <w:r>
        <w:rPr>
          <w:rFonts w:hint="eastAsia" w:ascii="仿宋_GB2312" w:hAnsi="Tahoma" w:eastAsia="仿宋_GB2312" w:cs="Times New Roman"/>
          <w:bCs w:val="0"/>
          <w:color w:val="000000" w:themeColor="text1"/>
          <w:sz w:val="32"/>
          <w:szCs w:val="32"/>
        </w:rPr>
        <w:t>2.</w:t>
      </w:r>
      <w:bookmarkStart w:id="40" w:name="_Toc45272072"/>
      <w:r>
        <w:rPr>
          <w:rFonts w:hint="eastAsia" w:ascii="仿宋_GB2312" w:hAnsi="Tahoma" w:eastAsia="仿宋_GB2312" w:cs="Times New Roman"/>
          <w:bCs w:val="0"/>
          <w:color w:val="000000" w:themeColor="text1"/>
          <w:sz w:val="32"/>
          <w:szCs w:val="32"/>
        </w:rPr>
        <w:t>确保社保待遇及时足额发放</w:t>
      </w:r>
      <w:bookmarkEnd w:id="39"/>
      <w:bookmarkEnd w:id="40"/>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落实落细全市社会保险各项惠民政策，执行上级部门各项经办要求，切实维护好参保人基本权益。进一步完善对多支、冒领社会保险待遇的追退机制，加强政府部门间的信息沟通与共享，针对拒不退还多支冒领等问题，探索法律渠道解决问题的新途径。</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41" w:name="_Toc72933190"/>
      <w:r>
        <w:rPr>
          <w:rFonts w:hint="eastAsia" w:ascii="仿宋_GB2312" w:hAnsi="Tahoma" w:eastAsia="仿宋_GB2312" w:cs="Times New Roman"/>
          <w:bCs w:val="0"/>
          <w:color w:val="000000" w:themeColor="text1"/>
          <w:sz w:val="32"/>
          <w:szCs w:val="32"/>
        </w:rPr>
        <w:t>3.建立社会保险基金风险防控体系</w:t>
      </w:r>
      <w:bookmarkEnd w:id="41"/>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搭建社保系统“数据仓”，</w:t>
      </w:r>
      <w:r>
        <w:rPr>
          <w:rFonts w:hint="eastAsia" w:ascii="仿宋_GB2312" w:hAnsi="仿宋" w:eastAsia="仿宋_GB2312" w:cs="仿宋"/>
          <w:color w:val="000000" w:themeColor="text1"/>
          <w:sz w:val="32"/>
          <w:szCs w:val="32"/>
        </w:rPr>
        <w:t>提高社会保险基金预决算工作的内控监督管理效力，强化“大数据”在基金风险管理中的应用，推进信息共享进程和流转能力。建立社会保险基金监督检查长效机制，加强科技防控和大数据比对，</w:t>
      </w:r>
      <w:r>
        <w:rPr>
          <w:rFonts w:hint="eastAsia" w:ascii="仿宋_GB2312" w:eastAsia="仿宋_GB2312"/>
          <w:color w:val="000000" w:themeColor="text1"/>
          <w:sz w:val="32"/>
          <w:szCs w:val="32"/>
        </w:rPr>
        <w:t>加强数据的实时监控和分析，密切关注异常数据波动，形成基金风险预警机制。完善经办业务风险评估监控体系，打造社会保险信息化与稽核风险防控相结合的监督管理体系，坚决查处社保基金欺诈案件，确保基金的安全有效运行。</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42" w:name="_Toc72933191"/>
      <w:r>
        <w:rPr>
          <w:rFonts w:hint="eastAsia" w:ascii="仿宋_GB2312" w:hAnsi="Tahoma" w:eastAsia="仿宋_GB2312" w:cs="Times New Roman"/>
          <w:bCs w:val="0"/>
          <w:color w:val="000000" w:themeColor="text1"/>
          <w:sz w:val="32"/>
          <w:szCs w:val="32"/>
        </w:rPr>
        <w:t>4.提升社会保险经办服务效能</w:t>
      </w:r>
      <w:bookmarkEnd w:id="42"/>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按照全市统一部署，以三代社保卡为载体，推广电子社保卡，开展社会保险业务线上办理，形成实体社保卡与电子社保卡协同并用的“一卡通”服务管理模式。贯彻京津冀协同发展战略，促进京津冀社会保险转移衔接平稳，不断创新服务模式。加强与税务部门、医保部门间的业务磨合，建立资源共享、责任清晰、流程顺畅的服务模式，通过有效协同高效运转，实现“一门通办”，不断提升民生保障能力。</w:t>
      </w:r>
    </w:p>
    <w:p>
      <w:pPr>
        <w:pStyle w:val="3"/>
        <w:spacing w:beforeLines="50" w:afterLines="50" w:line="560" w:lineRule="exact"/>
        <w:ind w:firstLine="640" w:firstLineChars="200"/>
        <w:rPr>
          <w:rFonts w:ascii="黑体" w:hAnsi="黑体" w:eastAsia="黑体"/>
          <w:b w:val="0"/>
          <w:color w:val="000000" w:themeColor="text1"/>
        </w:rPr>
      </w:pPr>
      <w:bookmarkStart w:id="43" w:name="_Toc72933192"/>
      <w:r>
        <w:rPr>
          <w:rFonts w:hint="eastAsia" w:ascii="黑体" w:hAnsi="黑体" w:eastAsia="黑体"/>
          <w:b w:val="0"/>
          <w:color w:val="000000" w:themeColor="text1"/>
        </w:rPr>
        <w:t>三</w:t>
      </w:r>
      <w:bookmarkStart w:id="44" w:name="_Toc40110544"/>
      <w:bookmarkStart w:id="45" w:name="_Toc40092008"/>
      <w:r>
        <w:rPr>
          <w:rFonts w:hint="eastAsia" w:ascii="黑体" w:hAnsi="黑体" w:eastAsia="黑体"/>
          <w:b w:val="0"/>
          <w:color w:val="000000" w:themeColor="text1"/>
        </w:rPr>
        <w:t>、形成充满生机与活力的用人育人机制</w:t>
      </w:r>
      <w:bookmarkEnd w:id="43"/>
      <w:bookmarkEnd w:id="44"/>
      <w:bookmarkEnd w:id="45"/>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46" w:name="_Toc72933193"/>
      <w:r>
        <w:rPr>
          <w:rFonts w:hint="eastAsia" w:ascii="仿宋_GB2312" w:hAnsi="Tahoma" w:eastAsia="仿宋_GB2312" w:cs="Times New Roman"/>
          <w:bCs w:val="0"/>
          <w:color w:val="000000" w:themeColor="text1"/>
          <w:sz w:val="32"/>
          <w:szCs w:val="32"/>
        </w:rPr>
        <w:t>（一）发展目标</w:t>
      </w:r>
      <w:bookmarkEnd w:id="46"/>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专业技术人才和技能人才更加契合城市副中心重点领域和高精尖产业发展需要，队伍规模不断壮大，素质更加优良。事业单位人事管理制度更加科学。</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47" w:name="_Toc72933194"/>
      <w:r>
        <w:rPr>
          <w:rFonts w:hint="eastAsia" w:ascii="仿宋_GB2312" w:hAnsi="Tahoma" w:eastAsia="仿宋_GB2312" w:cs="Times New Roman"/>
          <w:bCs w:val="0"/>
          <w:color w:val="000000" w:themeColor="text1"/>
          <w:sz w:val="32"/>
          <w:szCs w:val="32"/>
        </w:rPr>
        <w:t>（二）重点指标</w:t>
      </w:r>
      <w:bookmarkEnd w:id="47"/>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技能人才队伍达到</w:t>
      </w:r>
      <w:r>
        <w:rPr>
          <w:rFonts w:ascii="仿宋_GB2312" w:hAnsi="黑体" w:eastAsia="仿宋_GB2312"/>
          <w:color w:val="000000" w:themeColor="text1"/>
          <w:sz w:val="32"/>
          <w:szCs w:val="32"/>
        </w:rPr>
        <w:t>10</w:t>
      </w:r>
      <w:r>
        <w:rPr>
          <w:rFonts w:hint="eastAsia" w:ascii="仿宋_GB2312" w:hAnsi="黑体" w:eastAsia="仿宋_GB2312"/>
          <w:color w:val="000000" w:themeColor="text1"/>
          <w:sz w:val="32"/>
          <w:szCs w:val="32"/>
        </w:rPr>
        <w:t>万人，其中高技能人才达到</w:t>
      </w:r>
      <w:r>
        <w:rPr>
          <w:rFonts w:ascii="仿宋_GB2312" w:hAnsi="黑体" w:eastAsia="仿宋_GB2312"/>
          <w:color w:val="000000" w:themeColor="text1"/>
          <w:sz w:val="32"/>
          <w:szCs w:val="32"/>
        </w:rPr>
        <w:t>3</w:t>
      </w:r>
      <w:r>
        <w:rPr>
          <w:rFonts w:hint="eastAsia" w:ascii="仿宋_GB2312" w:hAnsi="黑体" w:eastAsia="仿宋_GB2312"/>
          <w:color w:val="000000" w:themeColor="text1"/>
          <w:sz w:val="32"/>
          <w:szCs w:val="32"/>
        </w:rPr>
        <w:t>万人。</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48" w:name="_Toc72933195"/>
      <w:r>
        <w:rPr>
          <w:rFonts w:hint="eastAsia" w:ascii="仿宋_GB2312" w:hAnsi="Tahoma" w:eastAsia="仿宋_GB2312" w:cs="Times New Roman"/>
          <w:bCs w:val="0"/>
          <w:color w:val="000000" w:themeColor="text1"/>
          <w:sz w:val="32"/>
          <w:szCs w:val="32"/>
        </w:rPr>
        <w:t>（三）重点任务</w:t>
      </w:r>
      <w:bookmarkEnd w:id="48"/>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遵循市区政策导向，聚焦城市副中心重点发展领域，实现事业单位人事管理科学化、法制化、规范化，形成人员能进能出、职务能上能下、待遇能升能降的事业单位用人机制；营造人人皆可成才、人人尽展其才的良好环境，有效促进人才与技术、资本、产业紧密融合，激发人才干事创业的活力和热情，有力支撑城市副中心实施创新驱动发展战略。</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49" w:name="_Toc72933196"/>
      <w:r>
        <w:rPr>
          <w:rFonts w:hint="eastAsia" w:ascii="仿宋_GB2312" w:hAnsi="Tahoma" w:eastAsia="仿宋_GB2312" w:cs="Times New Roman"/>
          <w:bCs w:val="0"/>
          <w:color w:val="000000" w:themeColor="text1"/>
          <w:sz w:val="32"/>
          <w:szCs w:val="32"/>
        </w:rPr>
        <w:t>1.优化人才发展布局，加大人才引进力度</w:t>
      </w:r>
      <w:bookmarkEnd w:id="49"/>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鼓励高精尖产业和前沿科技领域设立博士后工作站，动态管理本区增设分站，扩大博士后培养资助面，提升博士后工作效能。优先关注教育、卫生重点民生领域专业技术人才补充，实现教育、卫生人才队伍质量和结构与民生事业发展相适应、相协调。加大优秀非京毕业生引进力度，紧密围绕服务城市副中心建设，以保障教育医疗民生需求、促进产业发展为目标，持续优化人才队伍结构，在后备人才的储备培养、提升企事业单位的内生力量等方面发挥重要作用，在扶持“高精尖”产业基础上，加大对金融、文创、城市管理、环境工程与科学类等紧缺急需毕业生的引进。</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0" w:name="_Toc72933197"/>
      <w:r>
        <w:rPr>
          <w:rFonts w:hint="eastAsia" w:ascii="仿宋_GB2312" w:hAnsi="Tahoma" w:eastAsia="仿宋_GB2312" w:cs="Times New Roman"/>
          <w:bCs w:val="0"/>
          <w:color w:val="000000" w:themeColor="text1"/>
          <w:sz w:val="32"/>
          <w:szCs w:val="32"/>
        </w:rPr>
        <w:t>2.完善人才培养体系</w:t>
      </w:r>
      <w:bookmarkEnd w:id="50"/>
    </w:p>
    <w:p>
      <w:pPr>
        <w:spacing w:line="560" w:lineRule="exact"/>
        <w:ind w:firstLine="640" w:firstLineChars="200"/>
        <w:rPr>
          <w:rFonts w:ascii="仿宋_GB2312" w:eastAsia="仿宋_GB2312"/>
          <w:color w:val="000000" w:themeColor="text1"/>
          <w:sz w:val="32"/>
          <w:szCs w:val="32"/>
        </w:rPr>
      </w:pPr>
      <w:r>
        <w:rPr>
          <w:rFonts w:hint="eastAsia" w:ascii="仿宋_GB2312" w:hAnsi="仿宋" w:eastAsia="仿宋_GB2312" w:cs="仿宋"/>
          <w:color w:val="000000" w:themeColor="text1"/>
          <w:sz w:val="32"/>
          <w:szCs w:val="32"/>
        </w:rPr>
        <w:t>健全终身职业培训制度，加大对重点产业技能提升培训力度，大力开展急需紧缺高技能人才研修培训。深化高技能人才培训基地建设，搭建校企合作平台，积极引进国外优质职业技能培训资源，加快培养急需紧缺技能人才。加大实训基地建设的支持力度，持续做好技能大师、技能大师工作室评选认定工作。深入推行职业技能等级认定和第三方评价，推进高技能人才和专业技术人才职业发展贯通。搭建技能竞赛选拔平台。继续打造事业单位多层次培训体系，参训范围向廊坊北三县进一步延伸，切实发挥城市副中心的协同带动作用。</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1" w:name="_Toc72933198"/>
      <w:r>
        <w:rPr>
          <w:rFonts w:hint="eastAsia" w:ascii="仿宋_GB2312" w:hAnsi="Tahoma" w:eastAsia="仿宋_GB2312" w:cs="Times New Roman"/>
          <w:bCs w:val="0"/>
          <w:color w:val="000000" w:themeColor="text1"/>
          <w:sz w:val="32"/>
          <w:szCs w:val="32"/>
        </w:rPr>
        <w:t>3.健全人事管理和人才评价激励体系</w:t>
      </w:r>
      <w:bookmarkEnd w:id="51"/>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以规范人事管理、转换用人机制为重点，坚持分级管理、分类推进原则，完善相应的配套制度。积极探索事业单位公开招聘新模式，提高招聘质量，加强注重基层一线选人用人导向。</w:t>
      </w:r>
      <w:r>
        <w:rPr>
          <w:rFonts w:hint="eastAsia" w:ascii="仿宋_GB2312" w:eastAsia="仿宋_GB2312" w:hAnsiTheme="majorHAnsi" w:cstheme="majorBidi"/>
          <w:bCs/>
          <w:color w:val="000000" w:themeColor="text1"/>
          <w:sz w:val="32"/>
          <w:szCs w:val="32"/>
        </w:rPr>
        <w:t>贯彻落实机关事业单位人员基本工资的正常调整及部分人员国家津贴补贴、特殊行业岗位津贴调整工作。充分发挥绩效工资对事业单位的正向引导和激励作用，进一步做好义务教育教师待遇保障工作，深化公立医院薪酬制度改革，逐步建立符合医疗行业特点的薪酬制度。</w:t>
      </w:r>
      <w:r>
        <w:rPr>
          <w:rFonts w:hint="eastAsia" w:ascii="仿宋_GB2312" w:hAnsi="仿宋" w:eastAsia="仿宋_GB2312" w:cs="仿宋"/>
          <w:color w:val="000000" w:themeColor="text1"/>
          <w:sz w:val="32"/>
          <w:szCs w:val="32"/>
        </w:rPr>
        <w:t>调整优化基层一线事业单位职称结构比例，引导专业技术人才向急需紧缺岗位集聚。</w:t>
      </w:r>
      <w:r>
        <w:rPr>
          <w:rFonts w:hint="eastAsia" w:ascii="仿宋_GB2312" w:eastAsia="仿宋_GB2312"/>
          <w:color w:val="000000" w:themeColor="text1"/>
          <w:sz w:val="32"/>
          <w:szCs w:val="32"/>
        </w:rPr>
        <w:t>紧密跟进新业态、新职业发展需要，推进相关专业正高级职称评审推荐工作。完善相关领域人才评价宣传服务，鼓励用人主体合理运用职称评价结果，营造利于专业技术人才成长和发挥作用的良好氛围，最大限度调动专业技术人才积极性。</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2" w:name="_Toc72933199"/>
      <w:r>
        <w:rPr>
          <w:rFonts w:hint="eastAsia" w:ascii="仿宋_GB2312" w:hAnsi="Tahoma" w:eastAsia="仿宋_GB2312" w:cs="Times New Roman"/>
          <w:bCs w:val="0"/>
          <w:color w:val="000000" w:themeColor="text1"/>
          <w:sz w:val="32"/>
          <w:szCs w:val="32"/>
        </w:rPr>
        <w:t>4.深入推进政府聘用人员规范管理</w:t>
      </w:r>
      <w:bookmarkEnd w:id="52"/>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按照打造“专业化、标准化、高效化”政府聘用人员队伍的目标，完善政府聘用人员管理体系。进一步核定全区政府聘用人员规模，规范岗位设置，引导薪酬待遇与职责合理匹配。严格按照规定流程进行政府聘用人员审批，加强对政府聘用人员用工行为的规范和管理。强化监管措施，增强监管能力，提高各用工单位政府聘用人员管理工作的透明度。进一步加强协管员队伍建设，指导各街镇完善协管员配套管理制度，充实协管员队伍管理架构，加强协管员技能培训工作，逐步优化协管员队伍结构，提升综合服务水平。</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3" w:name="_Toc72933200"/>
      <w:r>
        <w:rPr>
          <w:rFonts w:hint="eastAsia" w:ascii="仿宋_GB2312" w:hAnsi="Tahoma" w:eastAsia="仿宋_GB2312" w:cs="Times New Roman"/>
          <w:bCs w:val="0"/>
          <w:color w:val="000000" w:themeColor="text1"/>
          <w:sz w:val="32"/>
          <w:szCs w:val="32"/>
        </w:rPr>
        <w:t>5.着力打造高素质“支农”队伍</w:t>
      </w:r>
      <w:bookmarkEnd w:id="53"/>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按照“稳定规模、优化领域、改进管理、提升质量、强化保障”的基本思路，完善促进高校毕业生到农村工作的政策措施，推进高校毕业生到农村从事支农工作，担任乡村振兴协理员，争取打造一支高素质“支农”队伍，助推乡村振兴。坚持实施市、区、镇、村四级管理模式，完善考核机制，健全岗位培训制度，实行分层分类培训，增强教育培训时效性。拓宽发展渠道，加大扶持乡村创业富民力度。</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4" w:name="_Toc72933201"/>
      <w:r>
        <w:rPr>
          <w:rFonts w:hint="eastAsia" w:ascii="仿宋_GB2312" w:hAnsi="Tahoma" w:eastAsia="仿宋_GB2312" w:cs="Times New Roman"/>
          <w:bCs w:val="0"/>
          <w:color w:val="000000" w:themeColor="text1"/>
          <w:sz w:val="32"/>
          <w:szCs w:val="32"/>
        </w:rPr>
        <w:t>6.提升人事考试安全性和公正性</w:t>
      </w:r>
      <w:bookmarkEnd w:id="54"/>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规范人事考试管理流程，明确质量控制目标及标准，强化岗位责任制，扎实推进人事考试各项工作，切实做到人事考试管理科学化、规范化，实现考试管理透明化、公开化。建立部门联动机制，形成人事考试工作合力。积极宣传诚信考试的重要性，在全社会树立良好考风，营造和谐有序的考试环境。</w:t>
      </w:r>
    </w:p>
    <w:p>
      <w:pPr>
        <w:pStyle w:val="3"/>
        <w:spacing w:beforeLines="50" w:afterLines="50" w:line="560" w:lineRule="exact"/>
        <w:ind w:firstLine="640" w:firstLineChars="200"/>
        <w:rPr>
          <w:rFonts w:ascii="黑体" w:hAnsi="黑体" w:eastAsia="黑体"/>
          <w:b w:val="0"/>
          <w:color w:val="000000" w:themeColor="text1"/>
        </w:rPr>
      </w:pPr>
      <w:bookmarkStart w:id="55" w:name="_Toc72933202"/>
      <w:r>
        <w:rPr>
          <w:rFonts w:hint="eastAsia" w:ascii="黑体" w:hAnsi="黑体" w:eastAsia="黑体"/>
          <w:b w:val="0"/>
          <w:color w:val="000000" w:themeColor="text1"/>
        </w:rPr>
        <w:t>四、构建新型和谐劳动关系</w:t>
      </w:r>
      <w:bookmarkEnd w:id="55"/>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6" w:name="_Toc72933203"/>
      <w:r>
        <w:rPr>
          <w:rFonts w:hint="eastAsia" w:ascii="仿宋_GB2312" w:hAnsi="Tahoma" w:eastAsia="仿宋_GB2312" w:cs="Times New Roman"/>
          <w:bCs w:val="0"/>
          <w:color w:val="000000" w:themeColor="text1"/>
          <w:sz w:val="32"/>
          <w:szCs w:val="32"/>
        </w:rPr>
        <w:t>（一）发展目标</w:t>
      </w:r>
      <w:bookmarkEnd w:id="56"/>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适应单位用工方式多元化、劳动者就业形态多样化、劳动关系灵活化和复杂化的趋势，创新劳动关系治理体系和调控机制，强化系统治理、依法治理、综合治理、源头治理，保障劳动者合法权益。</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7" w:name="_Toc72933204"/>
      <w:r>
        <w:rPr>
          <w:rFonts w:hint="eastAsia" w:ascii="仿宋_GB2312" w:hAnsi="Tahoma" w:eastAsia="仿宋_GB2312" w:cs="Times New Roman"/>
          <w:bCs w:val="0"/>
          <w:color w:val="000000" w:themeColor="text1"/>
          <w:sz w:val="32"/>
          <w:szCs w:val="32"/>
        </w:rPr>
        <w:t>（二）重点指标</w:t>
      </w:r>
      <w:bookmarkEnd w:id="57"/>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1.企业职工劳动合同签订率达到</w:t>
      </w:r>
      <w:r>
        <w:rPr>
          <w:rFonts w:ascii="仿宋_GB2312" w:hAnsi="仿宋" w:eastAsia="仿宋_GB2312" w:cs="仿宋"/>
          <w:color w:val="000000" w:themeColor="text1"/>
          <w:sz w:val="32"/>
          <w:szCs w:val="32"/>
        </w:rPr>
        <w:t>9</w:t>
      </w:r>
      <w:r>
        <w:rPr>
          <w:rFonts w:hint="eastAsia" w:ascii="仿宋_GB2312" w:hAnsi="仿宋" w:eastAsia="仿宋_GB2312" w:cs="仿宋"/>
          <w:color w:val="000000" w:themeColor="text1"/>
          <w:sz w:val="32"/>
          <w:szCs w:val="32"/>
        </w:rPr>
        <w:t>7</w:t>
      </w:r>
      <w:r>
        <w:rPr>
          <w:rFonts w:ascii="仿宋_GB2312" w:hAnsi="仿宋" w:eastAsia="仿宋_GB2312" w:cs="仿宋"/>
          <w:color w:val="000000" w:themeColor="text1"/>
          <w:sz w:val="32"/>
          <w:szCs w:val="32"/>
        </w:rPr>
        <w:t>%</w:t>
      </w:r>
      <w:r>
        <w:rPr>
          <w:rFonts w:hint="eastAsia" w:ascii="仿宋_GB2312" w:hAnsi="仿宋" w:eastAsia="仿宋_GB2312" w:cs="仿宋"/>
          <w:color w:val="000000" w:themeColor="text1"/>
          <w:sz w:val="32"/>
          <w:szCs w:val="32"/>
        </w:rPr>
        <w:t>以上。</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2.城镇职工劳动合同续订率达到</w:t>
      </w:r>
      <w:r>
        <w:rPr>
          <w:rFonts w:ascii="仿宋_GB2312" w:hAnsi="仿宋" w:eastAsia="仿宋_GB2312" w:cs="仿宋"/>
          <w:color w:val="000000" w:themeColor="text1"/>
          <w:sz w:val="32"/>
          <w:szCs w:val="32"/>
        </w:rPr>
        <w:t>8</w:t>
      </w:r>
      <w:r>
        <w:rPr>
          <w:rFonts w:hint="eastAsia" w:ascii="仿宋_GB2312" w:hAnsi="仿宋" w:eastAsia="仿宋_GB2312" w:cs="仿宋"/>
          <w:color w:val="000000" w:themeColor="text1"/>
          <w:sz w:val="32"/>
          <w:szCs w:val="32"/>
        </w:rPr>
        <w:t>7</w:t>
      </w:r>
      <w:r>
        <w:rPr>
          <w:rFonts w:ascii="仿宋_GB2312" w:hAnsi="仿宋" w:eastAsia="仿宋_GB2312" w:cs="仿宋"/>
          <w:color w:val="000000" w:themeColor="text1"/>
          <w:sz w:val="32"/>
          <w:szCs w:val="32"/>
        </w:rPr>
        <w:t>%</w:t>
      </w:r>
      <w:r>
        <w:rPr>
          <w:rFonts w:hint="eastAsia" w:ascii="仿宋_GB2312" w:hAnsi="仿宋" w:eastAsia="仿宋_GB2312" w:cs="仿宋"/>
          <w:color w:val="000000" w:themeColor="text1"/>
          <w:sz w:val="32"/>
          <w:szCs w:val="32"/>
        </w:rPr>
        <w:t>以上。</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3.劳动人事争议仲裁案件结案率达到</w:t>
      </w:r>
      <w:r>
        <w:rPr>
          <w:rFonts w:ascii="仿宋_GB2312" w:hAnsi="仿宋" w:eastAsia="仿宋_GB2312" w:cs="仿宋"/>
          <w:color w:val="000000" w:themeColor="text1"/>
          <w:sz w:val="32"/>
          <w:szCs w:val="32"/>
        </w:rPr>
        <w:t>9</w:t>
      </w:r>
      <w:r>
        <w:rPr>
          <w:rFonts w:hint="eastAsia" w:ascii="仿宋_GB2312" w:hAnsi="仿宋" w:eastAsia="仿宋_GB2312" w:cs="仿宋"/>
          <w:color w:val="000000" w:themeColor="text1"/>
          <w:sz w:val="32"/>
          <w:szCs w:val="32"/>
        </w:rPr>
        <w:t>5</w:t>
      </w:r>
      <w:r>
        <w:rPr>
          <w:rFonts w:ascii="仿宋_GB2312" w:hAnsi="仿宋" w:eastAsia="仿宋_GB2312" w:cs="仿宋"/>
          <w:color w:val="000000" w:themeColor="text1"/>
          <w:sz w:val="32"/>
          <w:szCs w:val="32"/>
        </w:rPr>
        <w:t>%</w:t>
      </w:r>
      <w:r>
        <w:rPr>
          <w:rFonts w:hint="eastAsia" w:ascii="仿宋_GB2312" w:hAnsi="仿宋" w:eastAsia="仿宋_GB2312" w:cs="仿宋"/>
          <w:color w:val="000000" w:themeColor="text1"/>
          <w:sz w:val="32"/>
          <w:szCs w:val="32"/>
        </w:rPr>
        <w:t>以上，仲裁阶段调解结案数和终局裁决数占审结案件总量</w:t>
      </w:r>
      <w:r>
        <w:rPr>
          <w:rFonts w:ascii="仿宋_GB2312" w:hAnsi="仿宋" w:eastAsia="仿宋_GB2312" w:cs="仿宋"/>
          <w:color w:val="000000" w:themeColor="text1"/>
          <w:sz w:val="32"/>
          <w:szCs w:val="32"/>
        </w:rPr>
        <w:t>75%</w:t>
      </w:r>
      <w:r>
        <w:rPr>
          <w:rFonts w:hint="eastAsia" w:ascii="仿宋_GB2312" w:hAnsi="仿宋" w:eastAsia="仿宋_GB2312" w:cs="仿宋"/>
          <w:color w:val="000000" w:themeColor="text1"/>
          <w:sz w:val="32"/>
          <w:szCs w:val="32"/>
        </w:rPr>
        <w:t>以上，调解率达到</w:t>
      </w:r>
      <w:r>
        <w:rPr>
          <w:rFonts w:ascii="仿宋_GB2312" w:hAnsi="仿宋" w:eastAsia="仿宋_GB2312" w:cs="仿宋"/>
          <w:color w:val="000000" w:themeColor="text1"/>
          <w:sz w:val="32"/>
          <w:szCs w:val="32"/>
        </w:rPr>
        <w:t>65%</w:t>
      </w:r>
      <w:r>
        <w:rPr>
          <w:rFonts w:hint="eastAsia" w:ascii="仿宋_GB2312" w:hAnsi="仿宋" w:eastAsia="仿宋_GB2312" w:cs="仿宋"/>
          <w:color w:val="000000" w:themeColor="text1"/>
          <w:sz w:val="32"/>
          <w:szCs w:val="32"/>
        </w:rPr>
        <w:t>以上。</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4.劳动保障监察举报投诉案件结案率达到</w:t>
      </w:r>
      <w:r>
        <w:rPr>
          <w:rFonts w:ascii="仿宋_GB2312" w:hAnsi="仿宋" w:eastAsia="仿宋_GB2312" w:cs="仿宋"/>
          <w:color w:val="000000" w:themeColor="text1"/>
          <w:sz w:val="32"/>
          <w:szCs w:val="32"/>
        </w:rPr>
        <w:t>98%</w:t>
      </w:r>
      <w:r>
        <w:rPr>
          <w:rFonts w:hint="eastAsia" w:ascii="仿宋_GB2312" w:hAnsi="仿宋" w:eastAsia="仿宋_GB2312" w:cs="仿宋"/>
          <w:color w:val="000000" w:themeColor="text1"/>
          <w:sz w:val="32"/>
          <w:szCs w:val="32"/>
        </w:rPr>
        <w:t>以上。</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5.劳动能力再次鉴定结论改变率小于等于</w:t>
      </w:r>
      <w:r>
        <w:rPr>
          <w:rFonts w:ascii="仿宋_GB2312" w:hAnsi="仿宋" w:eastAsia="仿宋_GB2312" w:cs="仿宋"/>
          <w:color w:val="000000" w:themeColor="text1"/>
          <w:sz w:val="32"/>
          <w:szCs w:val="32"/>
        </w:rPr>
        <w:t>1%</w:t>
      </w:r>
      <w:r>
        <w:rPr>
          <w:rFonts w:hint="eastAsia" w:ascii="仿宋_GB2312" w:hAnsi="仿宋" w:eastAsia="仿宋_GB2312" w:cs="仿宋"/>
          <w:color w:val="000000" w:themeColor="text1"/>
          <w:sz w:val="32"/>
          <w:szCs w:val="32"/>
        </w:rPr>
        <w:t>。</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6.在建项目和新建项目工伤保险参保率达到</w:t>
      </w:r>
      <w:r>
        <w:rPr>
          <w:rFonts w:ascii="仿宋_GB2312" w:hAnsi="仿宋" w:eastAsia="仿宋_GB2312" w:cs="仿宋"/>
          <w:color w:val="000000" w:themeColor="text1"/>
          <w:sz w:val="32"/>
          <w:szCs w:val="32"/>
        </w:rPr>
        <w:t>100%</w:t>
      </w:r>
      <w:r>
        <w:rPr>
          <w:rFonts w:hint="eastAsia" w:ascii="仿宋_GB2312" w:hAnsi="仿宋" w:eastAsia="仿宋_GB2312" w:cs="仿宋"/>
          <w:color w:val="000000" w:themeColor="text1"/>
          <w:sz w:val="32"/>
          <w:szCs w:val="32"/>
        </w:rPr>
        <w:t>。</w:t>
      </w:r>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7.农民工工资基本无拖欠。</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8" w:name="_Toc72933205"/>
      <w:r>
        <w:rPr>
          <w:rFonts w:hint="eastAsia" w:ascii="仿宋_GB2312" w:hAnsi="Tahoma" w:eastAsia="仿宋_GB2312" w:cs="Times New Roman"/>
          <w:bCs w:val="0"/>
          <w:color w:val="000000" w:themeColor="text1"/>
          <w:sz w:val="32"/>
          <w:szCs w:val="32"/>
        </w:rPr>
        <w:t>（三）重点任务</w:t>
      </w:r>
      <w:bookmarkEnd w:id="58"/>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建立规范有序、公正合理、互利共赢、和谐稳定的劳动关系。搭建“隐患预警+纠纷化解+应急处置”全链条工作体系，构建劳动关系“一横三纵”格局，加大区内相关政府机构横向联动，完善街</w:t>
      </w:r>
      <w:r>
        <w:rPr>
          <w:rFonts w:ascii="仿宋_GB2312" w:hAnsi="仿宋" w:eastAsia="仿宋_GB2312" w:cs="仿宋"/>
          <w:color w:val="000000" w:themeColor="text1"/>
          <w:sz w:val="32"/>
          <w:szCs w:val="32"/>
        </w:rPr>
        <w:t>(</w:t>
      </w:r>
      <w:r>
        <w:rPr>
          <w:rFonts w:hint="eastAsia" w:ascii="仿宋_GB2312" w:hAnsi="仿宋" w:eastAsia="仿宋_GB2312" w:cs="仿宋"/>
          <w:color w:val="000000" w:themeColor="text1"/>
          <w:sz w:val="32"/>
          <w:szCs w:val="32"/>
        </w:rPr>
        <w:t>乡</w:t>
      </w:r>
      <w:r>
        <w:rPr>
          <w:rFonts w:ascii="仿宋_GB2312" w:hAnsi="仿宋" w:eastAsia="仿宋_GB2312" w:cs="仿宋"/>
          <w:color w:val="000000" w:themeColor="text1"/>
          <w:sz w:val="32"/>
          <w:szCs w:val="32"/>
        </w:rPr>
        <w:t>)</w:t>
      </w:r>
      <w:r>
        <w:rPr>
          <w:rFonts w:hint="eastAsia" w:ascii="仿宋_GB2312" w:hAnsi="仿宋" w:eastAsia="仿宋_GB2312" w:cs="仿宋"/>
          <w:color w:val="000000" w:themeColor="text1"/>
          <w:sz w:val="32"/>
          <w:szCs w:val="32"/>
        </w:rPr>
        <w:t>、产业集聚区和重点功能区纵向基层协调治理组织建设，建成源头预防、基层化解、责任明晰、调解快速的全覆盖式治理机制。</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59" w:name="_Toc72933206"/>
      <w:r>
        <w:rPr>
          <w:rFonts w:hint="eastAsia" w:ascii="仿宋_GB2312" w:hAnsi="Tahoma" w:eastAsia="仿宋_GB2312" w:cs="Times New Roman"/>
          <w:bCs w:val="0"/>
          <w:color w:val="000000" w:themeColor="text1"/>
          <w:sz w:val="32"/>
          <w:szCs w:val="32"/>
        </w:rPr>
        <w:t>1.构建和谐劳动关系建设平台</w:t>
      </w:r>
      <w:bookmarkEnd w:id="59"/>
    </w:p>
    <w:p>
      <w:pPr>
        <w:spacing w:line="56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区级协调劳动关系三方委员会为整体协调治理架构核心，依法规范企业用工行为，制定《通州区构建和谐劳动关系三年行动计划》，完善三方委员会机构横纵双向体系，充分释放基层三方组织协调效能。健全劳动关系风险监测预警机制，实施分级预警，完善企业规模裁员应对预案，坚持企业裁员约谈指导机制，依法稳妥处置裁员风险。探索新型就业形态下的劳动关系协调治理模式，创新区内针对新兴产业劳动者的保护机制，分步推进电子劳动合同，加强企业用工大数据监管。完善集体协商和集体合同制度，提高劳动合同签订率和履行质量。全面推行《北京特色和谐劳动关系评价指标体系》，开展和谐劳动关系创建活动，实施和谐劳动关系“红名单”联合激励机制，公布重大违法案件和企业欠薪“黑名单”，加大违法企业信用联合惩戒力度。</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60" w:name="_Toc72933207"/>
      <w:r>
        <w:rPr>
          <w:rFonts w:hint="eastAsia" w:ascii="仿宋_GB2312" w:hAnsi="Tahoma" w:eastAsia="仿宋_GB2312" w:cs="Times New Roman"/>
          <w:bCs w:val="0"/>
          <w:color w:val="000000" w:themeColor="text1"/>
          <w:sz w:val="32"/>
          <w:szCs w:val="32"/>
        </w:rPr>
        <w:t>2.健全劳动关系多元调处机制</w:t>
      </w:r>
      <w:bookmarkEnd w:id="60"/>
    </w:p>
    <w:p>
      <w:pPr>
        <w:spacing w:line="56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探索劳动关系服务多元供给方式</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促进多方主体参与，充分发挥监察和仲裁两种调处手段，“十四五”期间实现全部街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乡</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、产业集聚区和重点功能区建立劳动争议疏解中心。全力防控在建工程用工风险，完善劳动关系群体性纠纷经常性排查和动态监测预警制度，健全应对规模性裁员和突发事件的协调处理机制。</w:t>
      </w:r>
      <w:r>
        <w:rPr>
          <w:rFonts w:hint="eastAsia" w:ascii="仿宋_GB2312" w:hAnsi="仿宋" w:eastAsia="仿宋_GB2312" w:cs="仿宋"/>
          <w:color w:val="000000" w:themeColor="text1"/>
          <w:sz w:val="32"/>
          <w:szCs w:val="32"/>
        </w:rPr>
        <w:t>全面贯彻落实《保障农民工工资支付条例》，深入实施北京市《关于健全完善保障农民工工资支付制度机制建设的意见》，推动保障农民工工资支付各项制度机制落实落地，</w:t>
      </w:r>
      <w:r>
        <w:rPr>
          <w:rFonts w:hint="eastAsia" w:ascii="仿宋_GB2312" w:hAnsi="仿宋_GB2312" w:eastAsia="仿宋_GB2312" w:cs="仿宋_GB2312"/>
          <w:color w:val="000000" w:themeColor="text1"/>
          <w:sz w:val="32"/>
          <w:szCs w:val="32"/>
        </w:rPr>
        <w:t>建立工程建设领域根治农民工欠薪“项目实施全流程、资金流动全环节、时间节点全周期”“三全”管理模式，</w:t>
      </w:r>
      <w:r>
        <w:rPr>
          <w:rFonts w:hint="eastAsia" w:ascii="仿宋_GB2312" w:hAnsi="仿宋" w:eastAsia="仿宋_GB2312" w:cs="仿宋"/>
          <w:color w:val="000000" w:themeColor="text1"/>
          <w:sz w:val="32"/>
          <w:szCs w:val="32"/>
        </w:rPr>
        <w:t>巩固根治欠薪成果。推进街乡劳动监察队伍标准化建设，建立健全完整的企业用工管理信息与反馈网络，畅通投诉举报渠道。推广“互联网+仲裁”，提高实体化仲裁机构服务，完善裁审衔接工作制度，提升仲裁办案质量和效率。落实京津冀劳动人事争议协同处理机制，推进监管事项标准化和监管流程规范化。</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61" w:name="_Toc72933208"/>
      <w:r>
        <w:rPr>
          <w:rFonts w:hint="eastAsia" w:ascii="仿宋_GB2312" w:hAnsi="Tahoma" w:eastAsia="仿宋_GB2312" w:cs="Times New Roman"/>
          <w:bCs w:val="0"/>
          <w:color w:val="000000" w:themeColor="text1"/>
          <w:sz w:val="32"/>
          <w:szCs w:val="32"/>
        </w:rPr>
        <w:t>3.完善工伤认定、劳动能力鉴定工作机制</w:t>
      </w:r>
      <w:bookmarkEnd w:id="61"/>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不断完善工</w:t>
      </w:r>
      <w:r>
        <w:rPr>
          <w:rFonts w:hint="eastAsia" w:ascii="仿宋_GB2312" w:hAnsi="仿宋_GB2312" w:eastAsia="仿宋_GB2312" w:cs="仿宋_GB2312"/>
          <w:color w:val="000000" w:themeColor="text1"/>
          <w:sz w:val="32"/>
          <w:szCs w:val="32"/>
        </w:rPr>
        <w:t>伤认定和劳动能力鉴定工作流程和内部审批程序，实现减材料、减时限、减跑路的“三减”目标。创新服务方式，推行不见面办理。满足企业及职工多样化需求，全面提高鉴定服务水平。严格审核</w:t>
      </w:r>
      <w:r>
        <w:rPr>
          <w:rFonts w:hint="eastAsia" w:ascii="仿宋_GB2312" w:eastAsia="仿宋_GB2312"/>
          <w:color w:val="000000" w:themeColor="text1"/>
          <w:sz w:val="32"/>
          <w:szCs w:val="32"/>
        </w:rPr>
        <w:t>比对复查机制，加强部门间数据横向比对，完善工伤、劳鉴相关制度，协调建立认定、鉴定、经办一体化系统，实现数据信息互联共享，确保认定鉴定结论公平公正。加快京津冀协同发展，完善三地鉴定机制，深入三地委托鉴定服务，为企业和职工提供便捷的鉴定服务。</w:t>
      </w:r>
    </w:p>
    <w:p>
      <w:pPr>
        <w:pStyle w:val="3"/>
        <w:spacing w:beforeLines="50" w:afterLines="50" w:line="560" w:lineRule="exact"/>
        <w:ind w:firstLine="640" w:firstLineChars="200"/>
        <w:rPr>
          <w:rFonts w:ascii="黑体" w:hAnsi="黑体" w:eastAsia="黑体"/>
          <w:b w:val="0"/>
          <w:color w:val="000000" w:themeColor="text1"/>
        </w:rPr>
      </w:pPr>
      <w:bookmarkStart w:id="62" w:name="_Toc72933209"/>
      <w:r>
        <w:rPr>
          <w:rFonts w:hint="eastAsia" w:ascii="黑体" w:hAnsi="黑体" w:eastAsia="黑体"/>
          <w:b w:val="0"/>
          <w:color w:val="000000" w:themeColor="text1"/>
        </w:rPr>
        <w:t>五、推动人力资源服务业发展</w:t>
      </w:r>
      <w:bookmarkEnd w:id="62"/>
    </w:p>
    <w:p>
      <w:pPr>
        <w:pStyle w:val="5"/>
        <w:spacing w:before="0" w:after="0" w:line="560" w:lineRule="exact"/>
        <w:ind w:firstLine="643" w:firstLineChars="200"/>
        <w:rPr>
          <w:rFonts w:ascii="仿宋_GB2312" w:hAnsi="Tahoma" w:eastAsia="仿宋_GB2312"/>
          <w:bCs w:val="0"/>
          <w:color w:val="000000" w:themeColor="text1"/>
          <w:sz w:val="32"/>
          <w:szCs w:val="32"/>
        </w:rPr>
      </w:pPr>
      <w:bookmarkStart w:id="63" w:name="_Toc72933210"/>
      <w:r>
        <w:rPr>
          <w:rFonts w:hint="eastAsia" w:ascii="仿宋_GB2312" w:hAnsi="Tahoma" w:eastAsia="仿宋_GB2312"/>
          <w:bCs w:val="0"/>
          <w:color w:val="000000" w:themeColor="text1"/>
          <w:sz w:val="32"/>
          <w:szCs w:val="32"/>
        </w:rPr>
        <w:t>（一）发展目标</w:t>
      </w:r>
      <w:bookmarkEnd w:id="63"/>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eastAsia="仿宋_GB2312"/>
          <w:color w:val="000000" w:themeColor="text1"/>
          <w:sz w:val="32"/>
          <w:szCs w:val="32"/>
        </w:rPr>
        <w:t>优化人力资源服务业生态集聚，借助智能化技术推动</w:t>
      </w:r>
      <w:r>
        <w:rPr>
          <w:rFonts w:hint="eastAsia" w:ascii="仿宋_GB2312" w:hAnsi="仿宋_GB2312" w:eastAsia="仿宋_GB2312" w:cs="仿宋_GB2312"/>
          <w:color w:val="000000" w:themeColor="text1"/>
          <w:sz w:val="32"/>
          <w:szCs w:val="32"/>
        </w:rPr>
        <w:t>向高精尖产业的人力资本转型，</w:t>
      </w:r>
      <w:r>
        <w:rPr>
          <w:rFonts w:hint="eastAsia" w:ascii="仿宋_GB2312" w:eastAsia="仿宋_GB2312"/>
          <w:color w:val="000000" w:themeColor="text1"/>
          <w:sz w:val="32"/>
          <w:szCs w:val="32"/>
        </w:rPr>
        <w:t>进一步提高对外开放和国际化水平，</w:t>
      </w:r>
      <w:r>
        <w:rPr>
          <w:rFonts w:hint="eastAsia" w:ascii="仿宋_GB2312" w:hAnsi="仿宋_GB2312" w:eastAsia="仿宋_GB2312" w:cs="仿宋_GB2312"/>
          <w:color w:val="000000" w:themeColor="text1"/>
          <w:sz w:val="32"/>
          <w:szCs w:val="32"/>
        </w:rPr>
        <w:t>实现城市副中心</w:t>
      </w:r>
      <w:r>
        <w:rPr>
          <w:rFonts w:hint="eastAsia" w:ascii="仿宋_GB2312" w:eastAsia="仿宋_GB2312"/>
          <w:color w:val="000000" w:themeColor="text1"/>
          <w:sz w:val="32"/>
          <w:szCs w:val="32"/>
        </w:rPr>
        <w:t>人力资源服务业</w:t>
      </w:r>
      <w:r>
        <w:rPr>
          <w:rFonts w:hint="eastAsia" w:ascii="仿宋_GB2312" w:hAnsi="仿宋_GB2312" w:eastAsia="仿宋_GB2312" w:cs="仿宋_GB2312"/>
          <w:color w:val="000000" w:themeColor="text1"/>
          <w:sz w:val="32"/>
          <w:szCs w:val="32"/>
        </w:rPr>
        <w:t>高质量发展，辐射带动京津冀协同发展。</w:t>
      </w:r>
    </w:p>
    <w:p>
      <w:pPr>
        <w:pStyle w:val="5"/>
        <w:spacing w:before="0" w:after="0" w:line="560" w:lineRule="exact"/>
        <w:ind w:firstLine="640" w:firstLineChars="200"/>
        <w:rPr>
          <w:rFonts w:ascii="仿宋_GB2312" w:eastAsia="仿宋_GB2312"/>
          <w:b w:val="0"/>
          <w:color w:val="000000" w:themeColor="text1"/>
          <w:sz w:val="32"/>
          <w:szCs w:val="32"/>
        </w:rPr>
      </w:pPr>
      <w:bookmarkStart w:id="64" w:name="_Toc72933211"/>
      <w:r>
        <w:rPr>
          <w:rFonts w:hint="eastAsia" w:ascii="仿宋_GB2312" w:eastAsia="仿宋_GB2312"/>
          <w:b w:val="0"/>
          <w:color w:val="000000" w:themeColor="text1"/>
          <w:sz w:val="32"/>
          <w:szCs w:val="32"/>
        </w:rPr>
        <w:t>（二）</w:t>
      </w:r>
      <w:r>
        <w:rPr>
          <w:rFonts w:hint="eastAsia" w:ascii="仿宋_GB2312" w:hAnsi="Tahoma" w:eastAsia="仿宋_GB2312"/>
          <w:bCs w:val="0"/>
          <w:color w:val="000000" w:themeColor="text1"/>
          <w:sz w:val="32"/>
          <w:szCs w:val="32"/>
        </w:rPr>
        <w:t>重点指标</w:t>
      </w:r>
      <w:bookmarkEnd w:id="64"/>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1.辖区经营性人力资源机构规模达到200家以上。</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2.园区引进人力资源行业各权威榜单前100名机构30家以上，相关关联区域总部型企业10家以上。</w:t>
      </w:r>
    </w:p>
    <w:p>
      <w:pPr>
        <w:pStyle w:val="5"/>
        <w:spacing w:before="0" w:after="0" w:line="560" w:lineRule="exact"/>
        <w:ind w:firstLine="643" w:firstLineChars="200"/>
        <w:rPr>
          <w:rFonts w:ascii="仿宋_GB2312" w:hAnsi="Tahoma" w:eastAsia="仿宋_GB2312"/>
          <w:bCs w:val="0"/>
          <w:color w:val="000000" w:themeColor="text1"/>
          <w:sz w:val="32"/>
          <w:szCs w:val="32"/>
        </w:rPr>
      </w:pPr>
      <w:bookmarkStart w:id="65" w:name="_Toc72933212"/>
      <w:r>
        <w:rPr>
          <w:rFonts w:hint="eastAsia" w:ascii="仿宋_GB2312" w:hAnsi="Tahoma" w:eastAsia="仿宋_GB2312"/>
          <w:bCs w:val="0"/>
          <w:color w:val="000000" w:themeColor="text1"/>
          <w:sz w:val="32"/>
          <w:szCs w:val="32"/>
        </w:rPr>
        <w:t>（三）重点任务</w:t>
      </w:r>
      <w:bookmarkEnd w:id="65"/>
    </w:p>
    <w:p>
      <w:pPr>
        <w:pStyle w:val="5"/>
        <w:spacing w:before="0" w:after="0" w:line="560" w:lineRule="exact"/>
        <w:ind w:firstLine="643" w:firstLineChars="200"/>
        <w:rPr>
          <w:rFonts w:ascii="仿宋_GB2312" w:hAnsi="Tahoma" w:eastAsia="仿宋_GB2312"/>
          <w:bCs w:val="0"/>
          <w:color w:val="000000" w:themeColor="text1"/>
          <w:sz w:val="32"/>
          <w:szCs w:val="32"/>
        </w:rPr>
      </w:pPr>
      <w:bookmarkStart w:id="66" w:name="_Toc72933213"/>
      <w:r>
        <w:rPr>
          <w:rFonts w:ascii="仿宋_GB2312" w:hAnsi="Tahoma" w:eastAsia="仿宋_GB2312"/>
          <w:bCs w:val="0"/>
          <w:color w:val="000000" w:themeColor="text1"/>
          <w:sz w:val="32"/>
          <w:szCs w:val="32"/>
        </w:rPr>
        <w:t>1.</w:t>
      </w:r>
      <w:r>
        <w:rPr>
          <w:rFonts w:hint="eastAsia" w:ascii="仿宋_GB2312" w:eastAsia="仿宋_GB2312"/>
          <w:color w:val="000000" w:themeColor="text1"/>
          <w:sz w:val="32"/>
          <w:szCs w:val="32"/>
        </w:rPr>
        <w:t>优化人力资源服务业生态集聚</w:t>
      </w:r>
      <w:bookmarkEnd w:id="66"/>
    </w:p>
    <w:p>
      <w:pPr>
        <w:spacing w:line="560" w:lineRule="exact"/>
        <w:ind w:firstLine="640" w:firstLineChars="200"/>
        <w:rPr>
          <w:rFonts w:ascii="仿宋_GB2312" w:eastAsia="仿宋_GB2312"/>
          <w:color w:val="000000" w:themeColor="text1"/>
          <w:sz w:val="32"/>
          <w:szCs w:val="32"/>
        </w:rPr>
      </w:pPr>
      <w:r>
        <w:rPr>
          <w:rFonts w:hint="eastAsia" w:ascii="Times New Roman" w:hAnsi="Times New Roman" w:eastAsia="仿宋_GB2312"/>
          <w:color w:val="000000" w:themeColor="text1"/>
          <w:sz w:val="32"/>
        </w:rPr>
        <w:t>紧密围绕副中心功能定位与产业机构转型升级，继续强化政策工具的科学运用，结合区域产业规划制定人社政策，结合区域需求创新创业支持政策，支持和保障区内人力资源服务业的发展。</w:t>
      </w:r>
      <w:r>
        <w:rPr>
          <w:rFonts w:hint="eastAsia" w:ascii="仿宋_GB2312" w:hAnsi="仿宋_GB2312" w:eastAsia="仿宋_GB2312" w:cs="仿宋_GB2312"/>
          <w:color w:val="000000" w:themeColor="text1"/>
          <w:sz w:val="32"/>
          <w:szCs w:val="32"/>
        </w:rPr>
        <w:t>加强与人力资源</w:t>
      </w:r>
      <w:r>
        <w:rPr>
          <w:rFonts w:ascii="仿宋_GB2312" w:hAnsi="仿宋_GB2312" w:eastAsia="仿宋_GB2312" w:cs="仿宋_GB2312"/>
          <w:color w:val="000000" w:themeColor="text1"/>
          <w:sz w:val="32"/>
          <w:szCs w:val="32"/>
        </w:rPr>
        <w:t>上下游</w:t>
      </w:r>
      <w:r>
        <w:rPr>
          <w:rFonts w:hint="eastAsia" w:ascii="仿宋_GB2312" w:hAnsi="仿宋_GB2312" w:eastAsia="仿宋_GB2312" w:cs="仿宋_GB2312"/>
          <w:color w:val="000000" w:themeColor="text1"/>
          <w:sz w:val="32"/>
          <w:szCs w:val="32"/>
        </w:rPr>
        <w:t>关联产业协同，加快人力资源服务业向高技术含量、高人力资本、高成长性行业转变，增强其辐射带动作用。加强人力资源市场的监督管理，规范经营性人力资源服务机构的行为，促进人力资源有序流动和有效配置。</w:t>
      </w:r>
      <w:r>
        <w:rPr>
          <w:rFonts w:hint="eastAsia" w:ascii="仿宋_GB2312" w:eastAsia="仿宋_GB2312"/>
          <w:color w:val="000000" w:themeColor="text1"/>
          <w:sz w:val="32"/>
          <w:szCs w:val="32"/>
        </w:rPr>
        <w:t>建立健全经营性人力资源机构管理制度，优化人力资源行政许可办理流程，探索建立行政许可退出机制。依法对经营性人力资源机构进行专项检查，定期清理“黑中介”，整顿人力资源市场秩序。</w:t>
      </w:r>
      <w:r>
        <w:rPr>
          <w:rFonts w:hint="eastAsia" w:ascii="仿宋_GB2312" w:hAnsi="仿宋_GB2312" w:eastAsia="仿宋_GB2312" w:cs="仿宋_GB2312"/>
          <w:color w:val="000000" w:themeColor="text1"/>
          <w:sz w:val="32"/>
          <w:szCs w:val="32"/>
        </w:rPr>
        <w:t>引导、营造人力资源机构间</w:t>
      </w:r>
      <w:r>
        <w:rPr>
          <w:rFonts w:ascii="仿宋_GB2312" w:hAnsi="仿宋_GB2312" w:eastAsia="仿宋_GB2312" w:cs="仿宋_GB2312"/>
          <w:color w:val="000000" w:themeColor="text1"/>
          <w:sz w:val="32"/>
          <w:szCs w:val="32"/>
        </w:rPr>
        <w:t>互相竞争</w:t>
      </w:r>
      <w:r>
        <w:rPr>
          <w:rFonts w:hint="eastAsia" w:ascii="仿宋_GB2312" w:hAnsi="仿宋_GB2312" w:eastAsia="仿宋_GB2312" w:cs="仿宋_GB2312"/>
          <w:color w:val="000000" w:themeColor="text1"/>
          <w:sz w:val="32"/>
          <w:szCs w:val="32"/>
        </w:rPr>
        <w:t>、优势</w:t>
      </w:r>
      <w:r>
        <w:rPr>
          <w:rFonts w:ascii="仿宋_GB2312" w:hAnsi="仿宋_GB2312" w:eastAsia="仿宋_GB2312" w:cs="仿宋_GB2312"/>
          <w:color w:val="000000" w:themeColor="text1"/>
          <w:sz w:val="32"/>
          <w:szCs w:val="32"/>
        </w:rPr>
        <w:t>互补</w:t>
      </w:r>
      <w:r>
        <w:rPr>
          <w:rFonts w:hint="eastAsia" w:ascii="仿宋_GB2312" w:hAnsi="仿宋_GB2312" w:eastAsia="仿宋_GB2312" w:cs="仿宋_GB2312"/>
          <w:color w:val="000000" w:themeColor="text1"/>
          <w:sz w:val="32"/>
          <w:szCs w:val="32"/>
        </w:rPr>
        <w:t>、共同</w:t>
      </w:r>
      <w:r>
        <w:rPr>
          <w:rFonts w:ascii="仿宋_GB2312" w:hAnsi="仿宋_GB2312" w:eastAsia="仿宋_GB2312" w:cs="仿宋_GB2312"/>
          <w:color w:val="000000" w:themeColor="text1"/>
          <w:sz w:val="32"/>
          <w:szCs w:val="32"/>
        </w:rPr>
        <w:t>繁荣</w:t>
      </w:r>
      <w:r>
        <w:rPr>
          <w:rFonts w:hint="eastAsia" w:ascii="仿宋_GB2312" w:hAnsi="仿宋_GB2312" w:eastAsia="仿宋_GB2312" w:cs="仿宋_GB2312"/>
          <w:color w:val="000000" w:themeColor="text1"/>
          <w:sz w:val="32"/>
          <w:szCs w:val="32"/>
        </w:rPr>
        <w:t>的多赢氛围。</w:t>
      </w:r>
    </w:p>
    <w:p>
      <w:pPr>
        <w:pStyle w:val="5"/>
        <w:spacing w:before="0" w:after="0" w:line="560" w:lineRule="exact"/>
        <w:ind w:firstLine="643" w:firstLineChars="200"/>
        <w:rPr>
          <w:rFonts w:ascii="仿宋_GB2312" w:eastAsia="仿宋_GB2312"/>
          <w:color w:val="000000" w:themeColor="text1"/>
          <w:sz w:val="32"/>
          <w:szCs w:val="32"/>
        </w:rPr>
      </w:pPr>
      <w:bookmarkStart w:id="67" w:name="_Toc72933214"/>
      <w:r>
        <w:rPr>
          <w:rFonts w:hint="eastAsia" w:ascii="仿宋_GB2312" w:hAnsi="仿宋_GB2312" w:eastAsia="仿宋_GB2312" w:cs="仿宋_GB2312"/>
          <w:color w:val="000000" w:themeColor="text1"/>
          <w:sz w:val="32"/>
          <w:szCs w:val="32"/>
        </w:rPr>
        <w:t>2.</w:t>
      </w:r>
      <w:r>
        <w:rPr>
          <w:rFonts w:hint="eastAsia" w:ascii="仿宋_GB2312" w:hAnsi="Tahoma" w:eastAsia="仿宋_GB2312"/>
          <w:bCs w:val="0"/>
          <w:color w:val="000000" w:themeColor="text1"/>
          <w:sz w:val="32"/>
          <w:szCs w:val="32"/>
        </w:rPr>
        <w:t>保障“两区”的人力资源服务建设</w:t>
      </w:r>
      <w:bookmarkEnd w:id="67"/>
    </w:p>
    <w:p>
      <w:pPr>
        <w:spacing w:line="560" w:lineRule="exact"/>
        <w:ind w:firstLine="640"/>
        <w:rPr>
          <w:rFonts w:asci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做好对接服务“两区”建设，搭建具备人力资源和社会保障的公共服务功能、市场服务功能、创新创业服务功能、在线服务功能的综合性服务平台，打造全领域支撑、全要素融合的国际人才服务生态圈。设置一站式服务大厅，</w:t>
      </w:r>
      <w:r>
        <w:rPr>
          <w:rFonts w:ascii="仿宋_GB2312" w:hAnsi="仿宋_GB2312" w:eastAsia="仿宋_GB2312" w:cs="仿宋_GB2312"/>
          <w:color w:val="000000" w:themeColor="text1"/>
          <w:sz w:val="32"/>
          <w:szCs w:val="32"/>
        </w:rPr>
        <w:t>提供外国人</w:t>
      </w:r>
      <w:r>
        <w:rPr>
          <w:rFonts w:hint="eastAsia" w:ascii="仿宋_GB2312" w:hAnsi="仿宋_GB2312" w:eastAsia="仿宋_GB2312" w:cs="仿宋_GB2312"/>
          <w:color w:val="000000" w:themeColor="text1"/>
          <w:sz w:val="32"/>
          <w:szCs w:val="32"/>
        </w:rPr>
        <w:t>来华</w:t>
      </w:r>
      <w:r>
        <w:rPr>
          <w:rFonts w:ascii="仿宋_GB2312" w:hAnsi="仿宋_GB2312" w:eastAsia="仿宋_GB2312" w:cs="仿宋_GB2312"/>
          <w:color w:val="000000" w:themeColor="text1"/>
          <w:sz w:val="32"/>
          <w:szCs w:val="32"/>
        </w:rPr>
        <w:t>工作</w:t>
      </w:r>
      <w:r>
        <w:rPr>
          <w:rFonts w:hint="eastAsia" w:ascii="仿宋_GB2312" w:hAnsi="仿宋_GB2312" w:eastAsia="仿宋_GB2312" w:cs="仿宋_GB2312"/>
          <w:color w:val="000000" w:themeColor="text1"/>
          <w:sz w:val="32"/>
          <w:szCs w:val="32"/>
        </w:rPr>
        <w:t>许可、居留</w:t>
      </w:r>
      <w:r>
        <w:rPr>
          <w:rFonts w:ascii="仿宋_GB2312" w:hAnsi="仿宋_GB2312" w:eastAsia="仿宋_GB2312" w:cs="仿宋_GB2312"/>
          <w:color w:val="000000" w:themeColor="text1"/>
          <w:sz w:val="32"/>
          <w:szCs w:val="32"/>
        </w:rPr>
        <w:t>许可</w:t>
      </w:r>
      <w:r>
        <w:rPr>
          <w:rFonts w:hint="eastAsia" w:ascii="仿宋_GB2312" w:hAnsi="仿宋_GB2312" w:eastAsia="仿宋_GB2312" w:cs="仿宋_GB2312"/>
          <w:color w:val="000000" w:themeColor="text1"/>
          <w:sz w:val="32"/>
          <w:szCs w:val="32"/>
        </w:rPr>
        <w:t>等服务，</w:t>
      </w:r>
      <w:r>
        <w:rPr>
          <w:rFonts w:ascii="仿宋_GB2312" w:hAnsi="仿宋_GB2312" w:eastAsia="仿宋_GB2312" w:cs="仿宋_GB2312"/>
          <w:color w:val="000000" w:themeColor="text1"/>
          <w:sz w:val="32"/>
          <w:szCs w:val="32"/>
        </w:rPr>
        <w:t>提升人才办事便利度。</w:t>
      </w:r>
      <w:r>
        <w:rPr>
          <w:rFonts w:hint="eastAsia" w:ascii="仿宋_GB2312" w:hAnsi="仿宋_GB2312" w:eastAsia="仿宋_GB2312" w:cs="仿宋_GB2312"/>
          <w:color w:val="000000" w:themeColor="text1"/>
          <w:sz w:val="32"/>
          <w:szCs w:val="32"/>
        </w:rPr>
        <w:t>主动</w:t>
      </w:r>
      <w:r>
        <w:rPr>
          <w:rFonts w:hint="eastAsia" w:ascii="仿宋_GB2312" w:eastAsia="仿宋_GB2312"/>
          <w:color w:val="000000" w:themeColor="text1"/>
          <w:sz w:val="32"/>
          <w:szCs w:val="32"/>
        </w:rPr>
        <w:t>对接“两区”建设人才需求，按照市人力社保局统一部署，加大教育卫生、科技创新、数字经济、服务业开放等领域用人单位引进毕业生支持力度；支持高层次紧缺急需的境外专业人员来京工作；优化充实博士后科研力量，支持包括外资企业在内的各类企业申请增设博士后科研工作站或园区分站，引导优秀博士到自由贸易试验区科技企业开展科技攻关和成果转化活动。</w:t>
      </w:r>
    </w:p>
    <w:p>
      <w:pPr>
        <w:pStyle w:val="5"/>
        <w:spacing w:before="0" w:after="0" w:line="560" w:lineRule="exact"/>
        <w:ind w:firstLine="643" w:firstLineChars="200"/>
        <w:rPr>
          <w:rFonts w:ascii="仿宋_GB2312" w:eastAsia="仿宋_GB2312"/>
          <w:color w:val="000000" w:themeColor="text1"/>
          <w:sz w:val="32"/>
          <w:szCs w:val="32"/>
        </w:rPr>
      </w:pPr>
      <w:bookmarkStart w:id="68" w:name="_Toc72933215"/>
      <w:r>
        <w:rPr>
          <w:rFonts w:hint="eastAsia" w:ascii="仿宋_GB2312" w:hAnsi="Tahoma" w:eastAsia="仿宋_GB2312"/>
          <w:bCs w:val="0"/>
          <w:color w:val="000000" w:themeColor="text1"/>
          <w:sz w:val="32"/>
          <w:szCs w:val="32"/>
        </w:rPr>
        <w:t>3</w:t>
      </w:r>
      <w:r>
        <w:rPr>
          <w:rFonts w:ascii="仿宋_GB2312" w:hAnsi="Tahoma" w:eastAsia="仿宋_GB2312"/>
          <w:bCs w:val="0"/>
          <w:color w:val="000000" w:themeColor="text1"/>
          <w:sz w:val="32"/>
          <w:szCs w:val="32"/>
        </w:rPr>
        <w:t>.</w:t>
      </w:r>
      <w:r>
        <w:rPr>
          <w:rFonts w:hint="eastAsia" w:ascii="仿宋_GB2312" w:eastAsia="仿宋_GB2312"/>
          <w:color w:val="000000" w:themeColor="text1"/>
          <w:sz w:val="32"/>
          <w:szCs w:val="32"/>
        </w:rPr>
        <w:t>提高对外开放和国际化水平</w:t>
      </w:r>
      <w:bookmarkEnd w:id="68"/>
    </w:p>
    <w:p>
      <w:pPr>
        <w:spacing w:line="56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扩大人力资源服务业对外开放，支持自由贸易试验区积极引进全球优质人力资源服务企业，推动人力资源服务业向国际化、专业化发展</w:t>
      </w:r>
      <w:r>
        <w:rPr>
          <w:rFonts w:hint="eastAsia" w:ascii="仿宋_GB2312" w:hAnsi="仿宋_GB2312" w:eastAsia="仿宋_GB2312" w:cs="仿宋_GB2312"/>
          <w:color w:val="000000" w:themeColor="text1"/>
          <w:sz w:val="32"/>
          <w:szCs w:val="32"/>
        </w:rPr>
        <w:t>，确保提供国际化人力资源服务的专业能力。合理放宽市场准入，</w:t>
      </w:r>
      <w:r>
        <w:rPr>
          <w:rFonts w:ascii="仿宋_GB2312" w:eastAsia="仿宋_GB2312"/>
          <w:color w:val="000000" w:themeColor="text1"/>
          <w:sz w:val="32"/>
          <w:szCs w:val="32"/>
        </w:rPr>
        <w:t>引进一批国际猎头、人才测评、高端培训等优质全产业链人力资源机构，全方位满足企业对各类人才资源的配置需求。</w:t>
      </w:r>
      <w:r>
        <w:rPr>
          <w:rFonts w:hint="eastAsia" w:ascii="仿宋_GB2312" w:hAnsi="仿宋_GB2312" w:eastAsia="仿宋_GB2312" w:cs="仿宋_GB2312"/>
          <w:color w:val="000000" w:themeColor="text1"/>
          <w:sz w:val="32"/>
          <w:szCs w:val="32"/>
        </w:rPr>
        <w:t>推动区内人力资源服务业走出去，搭建服务京津冀、辐射全国、面向全球的人力资源服务网络。支持国际化的职业技能培训机构入驻通州，作为技能人才培养、提升企业国际竞争力的重要措施。</w:t>
      </w:r>
    </w:p>
    <w:p>
      <w:pPr>
        <w:pStyle w:val="5"/>
        <w:spacing w:before="0" w:after="0" w:line="560" w:lineRule="exact"/>
        <w:ind w:firstLine="643" w:firstLineChars="200"/>
        <w:rPr>
          <w:rFonts w:ascii="仿宋_GB2312" w:eastAsia="仿宋_GB2312"/>
          <w:color w:val="000000" w:themeColor="text1"/>
          <w:sz w:val="32"/>
          <w:szCs w:val="32"/>
        </w:rPr>
      </w:pPr>
      <w:bookmarkStart w:id="69" w:name="_Toc72933216"/>
      <w:r>
        <w:rPr>
          <w:rFonts w:hint="eastAsia" w:ascii="仿宋_GB2312" w:hAnsi="Tahoma" w:eastAsia="仿宋_GB2312"/>
          <w:bCs w:val="0"/>
          <w:color w:val="000000" w:themeColor="text1"/>
          <w:sz w:val="32"/>
          <w:szCs w:val="32"/>
        </w:rPr>
        <w:t>4</w:t>
      </w:r>
      <w:r>
        <w:rPr>
          <w:rFonts w:ascii="仿宋_GB2312" w:hAnsi="Tahoma" w:eastAsia="仿宋_GB2312"/>
          <w:bCs w:val="0"/>
          <w:color w:val="000000" w:themeColor="text1"/>
          <w:sz w:val="32"/>
          <w:szCs w:val="32"/>
        </w:rPr>
        <w:t>.</w:t>
      </w:r>
      <w:r>
        <w:rPr>
          <w:rFonts w:hint="eastAsia" w:ascii="仿宋_GB2312" w:eastAsia="仿宋_GB2312"/>
          <w:color w:val="000000" w:themeColor="text1"/>
          <w:sz w:val="32"/>
          <w:szCs w:val="32"/>
        </w:rPr>
        <w:t>借助智能化技术推进人力资本增值</w:t>
      </w:r>
      <w:bookmarkEnd w:id="69"/>
    </w:p>
    <w:p>
      <w:pPr>
        <w:spacing w:line="56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引导人力资源服务业的发展从数量转向质量，推动互联网、大数据、人工智能和</w:t>
      </w:r>
      <w:r>
        <w:rPr>
          <w:rFonts w:ascii="仿宋_GB2312" w:hAnsi="仿宋_GB2312" w:eastAsia="仿宋_GB2312" w:cs="仿宋_GB2312"/>
          <w:color w:val="000000" w:themeColor="text1"/>
          <w:sz w:val="32"/>
          <w:szCs w:val="32"/>
        </w:rPr>
        <w:t>人力资源服务机构</w:t>
      </w:r>
      <w:r>
        <w:rPr>
          <w:rFonts w:hint="eastAsia" w:ascii="仿宋_GB2312" w:hAnsi="仿宋_GB2312" w:eastAsia="仿宋_GB2312" w:cs="仿宋_GB2312"/>
          <w:color w:val="000000" w:themeColor="text1"/>
          <w:sz w:val="32"/>
          <w:szCs w:val="32"/>
        </w:rPr>
        <w:t>深度融合，</w:t>
      </w:r>
      <w:r>
        <w:rPr>
          <w:rFonts w:ascii="仿宋_GB2312" w:hAnsi="仿宋_GB2312" w:eastAsia="仿宋_GB2312" w:cs="仿宋_GB2312"/>
          <w:color w:val="000000" w:themeColor="text1"/>
          <w:sz w:val="32"/>
          <w:szCs w:val="32"/>
        </w:rPr>
        <w:t>利用智能化手段提升自身的服务能力</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赋能于人才</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赋能于人才所在组织</w:t>
      </w:r>
      <w:r>
        <w:rPr>
          <w:rFonts w:hint="eastAsia" w:ascii="仿宋_GB2312" w:hAnsi="仿宋_GB2312" w:eastAsia="仿宋_GB2312" w:cs="仿宋_GB2312"/>
          <w:color w:val="000000" w:themeColor="text1"/>
          <w:sz w:val="32"/>
          <w:szCs w:val="32"/>
        </w:rPr>
        <w:t>，创造</w:t>
      </w:r>
      <w:r>
        <w:rPr>
          <w:rFonts w:ascii="仿宋_GB2312" w:hAnsi="仿宋_GB2312" w:eastAsia="仿宋_GB2312" w:cs="仿宋_GB2312"/>
          <w:color w:val="000000" w:themeColor="text1"/>
          <w:sz w:val="32"/>
          <w:szCs w:val="32"/>
        </w:rPr>
        <w:t>更多的</w:t>
      </w:r>
      <w:r>
        <w:rPr>
          <w:rFonts w:hint="eastAsia" w:ascii="仿宋_GB2312" w:hAnsi="仿宋_GB2312" w:eastAsia="仿宋_GB2312" w:cs="仿宋_GB2312"/>
          <w:color w:val="000000" w:themeColor="text1"/>
          <w:sz w:val="32"/>
          <w:szCs w:val="32"/>
        </w:rPr>
        <w:t>经济</w:t>
      </w:r>
      <w:r>
        <w:rPr>
          <w:rFonts w:ascii="仿宋_GB2312" w:hAnsi="仿宋_GB2312" w:eastAsia="仿宋_GB2312" w:cs="仿宋_GB2312"/>
          <w:color w:val="000000" w:themeColor="text1"/>
          <w:sz w:val="32"/>
          <w:szCs w:val="32"/>
        </w:rPr>
        <w:t>产出</w:t>
      </w:r>
      <w:r>
        <w:rPr>
          <w:rFonts w:hint="eastAsia" w:ascii="仿宋_GB2312" w:hAnsi="仿宋_GB2312" w:eastAsia="仿宋_GB2312" w:cs="仿宋_GB2312"/>
          <w:color w:val="000000" w:themeColor="text1"/>
          <w:sz w:val="32"/>
          <w:szCs w:val="32"/>
        </w:rPr>
        <w:t>。搭建国际化人力资源服务信息平台</w:t>
      </w:r>
      <w:r>
        <w:rPr>
          <w:rFonts w:ascii="仿宋_GB2312" w:hAnsi="仿宋_GB2312" w:eastAsia="仿宋_GB2312" w:cs="仿宋_GB2312"/>
          <w:color w:val="000000" w:themeColor="text1"/>
          <w:sz w:val="32"/>
          <w:szCs w:val="32"/>
        </w:rPr>
        <w:t>，提供审批在线办、政策导航台、人才活动集市、双创加油站、人力资源服务联盟和新闻中心等功能服务，</w:t>
      </w:r>
      <w:r>
        <w:rPr>
          <w:rFonts w:hint="eastAsia" w:ascii="仿宋_GB2312" w:hAnsi="仿宋_GB2312" w:eastAsia="仿宋_GB2312" w:cs="仿宋_GB2312"/>
          <w:color w:val="000000" w:themeColor="text1"/>
          <w:sz w:val="32"/>
          <w:szCs w:val="32"/>
        </w:rPr>
        <w:t>促进人力资源和人力资本服务业优化升级，创新引领、培育经济新增长点，形成新动能、新业态与新产品。</w:t>
      </w:r>
    </w:p>
    <w:p>
      <w:pPr>
        <w:pStyle w:val="3"/>
        <w:spacing w:beforeLines="50" w:afterLines="50" w:line="560" w:lineRule="exact"/>
        <w:ind w:firstLine="640" w:firstLineChars="200"/>
        <w:rPr>
          <w:rFonts w:ascii="黑体" w:hAnsi="黑体" w:eastAsia="黑体"/>
          <w:b w:val="0"/>
          <w:color w:val="000000" w:themeColor="text1"/>
        </w:rPr>
      </w:pPr>
      <w:bookmarkStart w:id="70" w:name="_Toc72933217"/>
      <w:r>
        <w:rPr>
          <w:rFonts w:hint="eastAsia" w:ascii="黑体" w:hAnsi="黑体" w:eastAsia="黑体"/>
          <w:b w:val="0"/>
          <w:color w:val="000000" w:themeColor="text1"/>
        </w:rPr>
        <w:t>六、提升管理服务的标准化、精细化水平</w:t>
      </w:r>
      <w:bookmarkEnd w:id="70"/>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71" w:name="_Toc72933218"/>
      <w:r>
        <w:rPr>
          <w:rFonts w:hint="eastAsia" w:ascii="仿宋_GB2312" w:hAnsi="Tahoma" w:eastAsia="仿宋_GB2312" w:cs="Times New Roman"/>
          <w:bCs w:val="0"/>
          <w:color w:val="000000" w:themeColor="text1"/>
          <w:sz w:val="32"/>
          <w:szCs w:val="32"/>
        </w:rPr>
        <w:t>（一）发展目标</w:t>
      </w:r>
      <w:bookmarkEnd w:id="71"/>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夯实人力资源社会保障基础工作，持续优化营商环境，不断加强规范化、标准化、信息化建设，全面推行综合办理新模式，“互联网+人社”服务功能更加便民利民。</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72" w:name="_Toc72933219"/>
      <w:r>
        <w:rPr>
          <w:rFonts w:hint="eastAsia" w:ascii="仿宋_GB2312" w:hAnsi="Tahoma" w:eastAsia="仿宋_GB2312" w:cs="Times New Roman"/>
          <w:bCs w:val="0"/>
          <w:color w:val="000000" w:themeColor="text1"/>
          <w:sz w:val="32"/>
          <w:szCs w:val="32"/>
        </w:rPr>
        <w:t>（二）重点指标</w:t>
      </w:r>
      <w:bookmarkEnd w:id="72"/>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1.实现政务服务事项下沉比例不低于</w:t>
      </w:r>
      <w:r>
        <w:rPr>
          <w:rFonts w:ascii="仿宋_GB2312" w:hAnsi="仿宋_GB2312" w:eastAsia="仿宋_GB2312" w:cs="仿宋_GB2312"/>
          <w:color w:val="000000" w:themeColor="text1"/>
          <w:sz w:val="32"/>
          <w:szCs w:val="32"/>
        </w:rPr>
        <w:t>60%</w:t>
      </w:r>
      <w:r>
        <w:rPr>
          <w:rFonts w:hint="eastAsia" w:ascii="仿宋_GB2312" w:hAnsi="仿宋_GB2312" w:eastAsia="仿宋_GB2312" w:cs="仿宋_GB2312"/>
          <w:color w:val="000000" w:themeColor="text1"/>
          <w:sz w:val="32"/>
          <w:szCs w:val="32"/>
        </w:rPr>
        <w:t>。</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2.推进服务事项提速办理，在规定办结时限基础上提速</w:t>
      </w:r>
      <w:r>
        <w:rPr>
          <w:rFonts w:ascii="仿宋_GB2312" w:hAnsi="仿宋_GB2312" w:eastAsia="仿宋_GB2312" w:cs="仿宋_GB2312"/>
          <w:color w:val="000000" w:themeColor="text1"/>
          <w:sz w:val="32"/>
          <w:szCs w:val="32"/>
        </w:rPr>
        <w:t>50%</w:t>
      </w:r>
      <w:r>
        <w:rPr>
          <w:rFonts w:hint="eastAsia" w:ascii="仿宋_GB2312" w:hAnsi="仿宋_GB2312" w:eastAsia="仿宋_GB2312" w:cs="仿宋_GB2312"/>
          <w:color w:val="000000" w:themeColor="text1"/>
          <w:sz w:val="32"/>
          <w:szCs w:val="32"/>
        </w:rPr>
        <w:t>以上。</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73" w:name="_Toc72933220"/>
      <w:r>
        <w:rPr>
          <w:rFonts w:hint="eastAsia" w:ascii="仿宋_GB2312" w:hAnsi="Tahoma" w:eastAsia="仿宋_GB2312" w:cs="Times New Roman"/>
          <w:bCs w:val="0"/>
          <w:color w:val="000000" w:themeColor="text1"/>
          <w:sz w:val="32"/>
          <w:szCs w:val="32"/>
        </w:rPr>
        <w:t>（三）重点任务</w:t>
      </w:r>
      <w:bookmarkEnd w:id="73"/>
    </w:p>
    <w:p>
      <w:pPr>
        <w:adjustRightInd/>
        <w:snapToGrid/>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立健全人力资源社会保障法规政策体系，加强规范性文件动态管理；健全行政审批制度，重点提升服务水平、强化监督管理工作力度。打造政务服务流程标准化，继续推进“一网、一门、一次”改革及“综合窗口”服务模式。大力推行告知承诺审批制度、容缺受理制度，为企业群众提供延时服务，打造人力社保品牌标杆。</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74" w:name="_Toc72933221"/>
      <w:r>
        <w:rPr>
          <w:rFonts w:ascii="仿宋_GB2312" w:hAnsi="Tahoma" w:eastAsia="仿宋_GB2312" w:cs="Times New Roman"/>
          <w:bCs w:val="0"/>
          <w:color w:val="000000" w:themeColor="text1"/>
          <w:sz w:val="32"/>
          <w:szCs w:val="32"/>
        </w:rPr>
        <w:t>1.</w:t>
      </w:r>
      <w:r>
        <w:rPr>
          <w:rFonts w:hint="eastAsia" w:ascii="仿宋_GB2312" w:hAnsi="Tahoma" w:eastAsia="仿宋_GB2312" w:cs="Times New Roman"/>
          <w:bCs w:val="0"/>
          <w:color w:val="000000" w:themeColor="text1"/>
          <w:sz w:val="32"/>
          <w:szCs w:val="32"/>
        </w:rPr>
        <w:t>推进经办服务体系建设</w:t>
      </w:r>
      <w:bookmarkEnd w:id="74"/>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依托政务服务标准化管理工作要求，坚持需求导向、协调联动、公开透明、开放创新原则，统一服务模式，优化服务供给，提升服务质量，政务服务“瘦身提速”。进一步深化人力资源公共服务机构管理职能，加强基层公共服务平台建设，着力抓好管理体制、运行机制、服务标准和绩效考核的统一规范，逐步构建高效的人力社保公共服务体系。在实现政务服务“一网、一门、一次”的基础上，健全完善立体咨询服务体系。大力推行告知承诺审批制度、容缺受理制度；加大业务下沉力度，打通便民服务“最后一公里”；尽最大可能为企业群众提供延时服务，满足群众办事需求；建立健全企业及个人信用体系，扩大应用范围。</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75" w:name="_Toc72933222"/>
      <w:r>
        <w:rPr>
          <w:rFonts w:ascii="仿宋_GB2312" w:hAnsi="Tahoma" w:eastAsia="仿宋_GB2312" w:cs="Times New Roman"/>
          <w:bCs w:val="0"/>
          <w:color w:val="000000" w:themeColor="text1"/>
          <w:sz w:val="32"/>
          <w:szCs w:val="32"/>
        </w:rPr>
        <w:t>2.</w:t>
      </w:r>
      <w:r>
        <w:rPr>
          <w:rFonts w:hint="eastAsia" w:ascii="仿宋_GB2312" w:hAnsi="Tahoma" w:eastAsia="仿宋_GB2312" w:cs="Times New Roman"/>
          <w:bCs w:val="0"/>
          <w:color w:val="000000" w:themeColor="text1"/>
          <w:sz w:val="32"/>
          <w:szCs w:val="32"/>
        </w:rPr>
        <w:t>完善法规政策体系</w:t>
      </w:r>
      <w:bookmarkEnd w:id="75"/>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促进法治政府建设，严格落实地方配套法规规章。强化依法决策，建立重大决策合法性审查制度、责任追究制度、权力清单和责任清单制度，推行法律顾问制度，完善风险评估制度。规范执法行为，建立多元化纠纷解决机制，建立行政执法与刑事司法衔接机制。深入开展法治人社宣传教育，加大法律知识培训力度，推动全员树立法治人社意识。</w:t>
      </w:r>
    </w:p>
    <w:p>
      <w:pPr>
        <w:pStyle w:val="5"/>
        <w:spacing w:before="0" w:after="0" w:line="560" w:lineRule="exact"/>
        <w:ind w:firstLine="643" w:firstLineChars="200"/>
        <w:rPr>
          <w:rFonts w:ascii="仿宋_GB2312" w:hAnsi="Tahoma" w:eastAsia="仿宋_GB2312" w:cs="Times New Roman"/>
          <w:bCs w:val="0"/>
          <w:color w:val="000000" w:themeColor="text1"/>
          <w:sz w:val="32"/>
          <w:szCs w:val="32"/>
        </w:rPr>
      </w:pPr>
      <w:bookmarkStart w:id="76" w:name="_Toc72933223"/>
      <w:r>
        <w:rPr>
          <w:rFonts w:ascii="仿宋_GB2312" w:hAnsi="Tahoma" w:eastAsia="仿宋_GB2312" w:cs="Times New Roman"/>
          <w:bCs w:val="0"/>
          <w:color w:val="000000" w:themeColor="text1"/>
          <w:sz w:val="32"/>
          <w:szCs w:val="32"/>
        </w:rPr>
        <w:t>3.</w:t>
      </w:r>
      <w:r>
        <w:rPr>
          <w:rFonts w:hint="eastAsia" w:ascii="仿宋_GB2312" w:hAnsi="Tahoma" w:eastAsia="仿宋_GB2312" w:cs="Times New Roman"/>
          <w:bCs w:val="0"/>
          <w:color w:val="000000" w:themeColor="text1"/>
          <w:sz w:val="32"/>
          <w:szCs w:val="32"/>
        </w:rPr>
        <w:t>推动“接诉即办”向“未诉先办”转变</w:t>
      </w:r>
      <w:bookmarkEnd w:id="76"/>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紧扣“七有”目标和“五性”需求，以“接诉即办”作为解决民生问题的有力抓手，用“治理”解决普遍性问题，用“整治”解决反映突出问题，用“改革”破解民生类难题。深化数据分析研究，为领导决策提供支撑；优化热线工作流程，实现企业和群众诉求办理的闭环运行；开发热线诉求处置智能系统，实现诉求掌上派、问题掌上知、结果掌上报；提高接诉即办效能，确保承办响应率、解决率、满意率全面提升；</w:t>
      </w:r>
      <w:bookmarkStart w:id="77" w:name="_Hlk62150942"/>
      <w:r>
        <w:rPr>
          <w:rFonts w:hint="eastAsia" w:ascii="仿宋_GB2312" w:eastAsia="仿宋_GB2312"/>
          <w:color w:val="000000" w:themeColor="text1"/>
          <w:sz w:val="32"/>
          <w:szCs w:val="32"/>
        </w:rPr>
        <w:t>推动“接诉即办”向“未诉先办”转变，</w:t>
      </w:r>
      <w:bookmarkStart w:id="78" w:name="_Hlk62150312"/>
      <w:r>
        <w:rPr>
          <w:rFonts w:hint="eastAsia" w:ascii="仿宋_GB2312" w:eastAsia="仿宋_GB2312"/>
          <w:color w:val="000000" w:themeColor="text1"/>
          <w:sz w:val="32"/>
          <w:szCs w:val="32"/>
        </w:rPr>
        <w:t>充分发挥人社服务在推进社会治理现代化中的积极作用。</w:t>
      </w:r>
      <w:bookmarkEnd w:id="77"/>
      <w:bookmarkEnd w:id="78"/>
    </w:p>
    <w:p>
      <w:pPr>
        <w:pStyle w:val="2"/>
        <w:spacing w:before="0" w:after="0" w:line="560" w:lineRule="exact"/>
        <w:jc w:val="center"/>
        <w:rPr>
          <w:rFonts w:eastAsia="黑体"/>
          <w:b w:val="0"/>
          <w:color w:val="000000" w:themeColor="text1"/>
          <w:sz w:val="36"/>
          <w:szCs w:val="36"/>
        </w:rPr>
      </w:pPr>
      <w:bookmarkStart w:id="79" w:name="_Toc72933224"/>
      <w:r>
        <w:rPr>
          <w:rFonts w:hint="eastAsia" w:eastAsia="黑体"/>
          <w:b w:val="0"/>
          <w:color w:val="000000" w:themeColor="text1"/>
          <w:sz w:val="36"/>
          <w:szCs w:val="36"/>
        </w:rPr>
        <w:t>第五部分：重大项目</w:t>
      </w:r>
      <w:bookmarkEnd w:id="79"/>
    </w:p>
    <w:p>
      <w:pPr>
        <w:spacing w:line="560" w:lineRule="exact"/>
        <w:ind w:firstLine="640" w:firstLineChars="200"/>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十四五”期间，在优化人力资源和社会保障基础服务的前提下，以推动人力资源服务产业园发展为抓手，以建设智慧人社系统为载体，以促进京津冀人社协同发展为契机，重点打造人力资源和社会保障服务新高地，为推动北京城市副中心建设、“两区”建设以及京津冀协同发展提供更高质量和更高水平的人力资源和社会保障服务。</w:t>
      </w:r>
    </w:p>
    <w:p>
      <w:pPr>
        <w:pStyle w:val="3"/>
        <w:spacing w:beforeLines="50" w:afterLines="50" w:line="560" w:lineRule="exact"/>
        <w:ind w:firstLine="640" w:firstLineChars="200"/>
        <w:rPr>
          <w:rFonts w:ascii="黑体" w:hAnsi="黑体" w:eastAsia="黑体"/>
          <w:b w:val="0"/>
          <w:color w:val="000000" w:themeColor="text1"/>
        </w:rPr>
      </w:pPr>
      <w:bookmarkStart w:id="80" w:name="_Toc62037209"/>
      <w:bookmarkStart w:id="81" w:name="_Toc65759621"/>
      <w:bookmarkStart w:id="82" w:name="_Toc72933225"/>
      <w:r>
        <w:rPr>
          <w:rFonts w:hint="eastAsia" w:ascii="黑体" w:hAnsi="黑体" w:eastAsia="黑体"/>
          <w:b w:val="0"/>
          <w:color w:val="000000" w:themeColor="text1"/>
        </w:rPr>
        <w:t>一、</w:t>
      </w:r>
      <w:bookmarkEnd w:id="80"/>
      <w:r>
        <w:rPr>
          <w:rFonts w:hint="eastAsia" w:ascii="黑体" w:hAnsi="黑体" w:eastAsia="黑体"/>
          <w:b w:val="0"/>
          <w:color w:val="000000" w:themeColor="text1"/>
        </w:rPr>
        <w:t>人力资源服务产业园发展</w:t>
      </w:r>
      <w:bookmarkEnd w:id="81"/>
      <w:bookmarkEnd w:id="82"/>
    </w:p>
    <w:p>
      <w:pPr>
        <w:spacing w:line="560" w:lineRule="exact"/>
        <w:ind w:firstLine="640" w:firstLineChars="200"/>
        <w:rPr>
          <w:rFonts w:ascii="仿宋_GB2312" w:eastAsia="仿宋_GB2312"/>
          <w:b/>
          <w:color w:val="000000" w:themeColor="text1"/>
          <w:sz w:val="32"/>
          <w:szCs w:val="32"/>
        </w:rPr>
      </w:pPr>
      <w:r>
        <w:rPr>
          <w:rFonts w:hint="eastAsia" w:ascii="仿宋_GB2312" w:eastAsia="仿宋_GB2312"/>
          <w:color w:val="000000" w:themeColor="text1"/>
          <w:sz w:val="32"/>
          <w:szCs w:val="32"/>
        </w:rPr>
        <w:t>中国北京人力资源服务产业园通州园区是推动人力资源服务业发展的重要载体，</w:t>
      </w:r>
      <w:r>
        <w:rPr>
          <w:rFonts w:hint="eastAsia" w:ascii="仿宋_GB2312" w:hAnsi="仿宋" w:eastAsia="仿宋_GB2312" w:cs="仿宋"/>
          <w:color w:val="000000" w:themeColor="text1"/>
          <w:sz w:val="32"/>
          <w:szCs w:val="32"/>
        </w:rPr>
        <w:t>定位于“政府公共服务+人力资源产业发展”，</w:t>
      </w:r>
      <w:r>
        <w:rPr>
          <w:rFonts w:hint="eastAsia" w:ascii="仿宋_GB2312" w:eastAsia="仿宋_GB2312"/>
          <w:color w:val="000000" w:themeColor="text1"/>
          <w:sz w:val="32"/>
          <w:szCs w:val="32"/>
        </w:rPr>
        <w:t>是“两区”建设人力资源服务和保障的重要平台，</w:t>
      </w:r>
      <w:r>
        <w:rPr>
          <w:rFonts w:hint="eastAsia" w:ascii="仿宋_GB2312" w:hAnsi="仿宋" w:eastAsia="仿宋_GB2312" w:cs="仿宋"/>
          <w:color w:val="000000" w:themeColor="text1"/>
          <w:sz w:val="32"/>
          <w:szCs w:val="32"/>
        </w:rPr>
        <w:t>也是“两区”招引产业人才的主要阵地</w:t>
      </w:r>
      <w:r>
        <w:rPr>
          <w:rFonts w:hint="eastAsia" w:ascii="仿宋_GB2312" w:eastAsia="仿宋_GB2312"/>
          <w:color w:val="000000" w:themeColor="text1"/>
          <w:sz w:val="32"/>
          <w:szCs w:val="32"/>
        </w:rPr>
        <w:t>。“十四五”期间，园区将重点面向生态化、智能化、国际化、智库化方向转化，</w:t>
      </w:r>
      <w:r>
        <w:rPr>
          <w:rFonts w:hint="eastAsia" w:ascii="仿宋_GB2312" w:hAnsi="仿宋" w:eastAsia="仿宋_GB2312" w:cs="仿宋"/>
          <w:color w:val="000000" w:themeColor="text1"/>
          <w:sz w:val="32"/>
          <w:szCs w:val="32"/>
        </w:rPr>
        <w:t>力争扩大服务区域和业务外延，</w:t>
      </w:r>
      <w:r>
        <w:rPr>
          <w:rFonts w:hint="eastAsia" w:ascii="仿宋_GB2312" w:eastAsia="仿宋_GB2312"/>
          <w:color w:val="000000" w:themeColor="text1"/>
          <w:sz w:val="32"/>
          <w:szCs w:val="32"/>
        </w:rPr>
        <w:t>实现规模体量大、辐射带动广、品牌效应强，核心竞争优势突出、社会经济效益彰显的发展目标，即：</w:t>
      </w:r>
      <w:r>
        <w:rPr>
          <w:rFonts w:hint="eastAsia" w:ascii="仿宋_GB2312" w:eastAsia="仿宋_GB2312"/>
          <w:b/>
          <w:color w:val="000000" w:themeColor="text1"/>
          <w:sz w:val="32"/>
          <w:szCs w:val="32"/>
        </w:rPr>
        <w:t>加强生态化建设，</w:t>
      </w:r>
      <w:r>
        <w:rPr>
          <w:rFonts w:hint="eastAsia" w:ascii="仿宋_GB2312" w:eastAsia="仿宋_GB2312"/>
          <w:color w:val="000000" w:themeColor="text1"/>
          <w:sz w:val="32"/>
          <w:szCs w:val="32"/>
        </w:rPr>
        <w:t>实现园区人力资源机构集聚发展、多元发展、互利共生、长期兴旺的生态布局，营造良好的园区生态环境。</w:t>
      </w:r>
      <w:r>
        <w:rPr>
          <w:rFonts w:hint="eastAsia" w:ascii="仿宋_GB2312" w:eastAsia="仿宋_GB2312"/>
          <w:b/>
          <w:color w:val="000000" w:themeColor="text1"/>
          <w:sz w:val="32"/>
          <w:szCs w:val="32"/>
        </w:rPr>
        <w:t>推进智能化建设，</w:t>
      </w:r>
      <w:r>
        <w:rPr>
          <w:rFonts w:hint="eastAsia" w:ascii="仿宋_GB2312" w:eastAsia="仿宋_GB2312"/>
          <w:color w:val="000000" w:themeColor="text1"/>
          <w:sz w:val="32"/>
          <w:szCs w:val="32"/>
        </w:rPr>
        <w:t>建设以智能化为基础的智慧服务园区，提高园区管理、工作、生活的智能化水平。</w:t>
      </w:r>
      <w:r>
        <w:rPr>
          <w:rFonts w:hint="eastAsia" w:ascii="仿宋_GB2312" w:eastAsia="仿宋_GB2312"/>
          <w:b/>
          <w:color w:val="000000" w:themeColor="text1"/>
          <w:sz w:val="32"/>
          <w:szCs w:val="32"/>
        </w:rPr>
        <w:t>加快国际化建设，</w:t>
      </w:r>
      <w:r>
        <w:rPr>
          <w:rFonts w:hint="eastAsia" w:ascii="仿宋_GB2312" w:eastAsia="仿宋_GB2312"/>
          <w:color w:val="000000" w:themeColor="text1"/>
          <w:sz w:val="32"/>
          <w:szCs w:val="32"/>
        </w:rPr>
        <w:t>为“两区”建设提供所需要的国际人才配套服务，推进通州人力资源产业园国际化发展。</w:t>
      </w:r>
      <w:r>
        <w:rPr>
          <w:rFonts w:hint="eastAsia" w:ascii="仿宋_GB2312" w:eastAsia="仿宋_GB2312"/>
          <w:b/>
          <w:color w:val="000000" w:themeColor="text1"/>
          <w:sz w:val="32"/>
          <w:szCs w:val="32"/>
        </w:rPr>
        <w:t>推动智库化建设，</w:t>
      </w:r>
      <w:r>
        <w:rPr>
          <w:rFonts w:hint="eastAsia" w:ascii="仿宋_GB2312" w:eastAsia="仿宋_GB2312"/>
          <w:color w:val="000000" w:themeColor="text1"/>
          <w:sz w:val="32"/>
          <w:szCs w:val="32"/>
        </w:rPr>
        <w:t>引进一批具有专业影响力和知名度的咨询机构、业内专家和团队，将园区打造成为促进人力资源服务产业理论发展和实践创新的策源地。</w:t>
      </w:r>
    </w:p>
    <w:p>
      <w:pPr>
        <w:spacing w:line="560" w:lineRule="exact"/>
        <w:ind w:firstLine="320" w:firstLineChars="1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“十四五”时期，园区将立足“人才+产业”、“国内+国际”融合发展，构建层次丰富、机制完备、结构完整的人力资源服务产业体系，实现园区“1+2+N”模式下的发展布局。</w:t>
      </w:r>
    </w:p>
    <w:p>
      <w:pPr>
        <w:spacing w:line="56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“1”是“一核心”：</w:t>
      </w:r>
      <w:r>
        <w:rPr>
          <w:rFonts w:hint="eastAsia" w:ascii="仿宋_GB2312" w:eastAsia="仿宋_GB2312"/>
          <w:color w:val="000000" w:themeColor="text1"/>
          <w:sz w:val="32"/>
          <w:szCs w:val="32"/>
        </w:rPr>
        <w:t>国家级人力资源服务产业核心区。</w:t>
      </w:r>
      <w:r>
        <w:rPr>
          <w:rFonts w:hint="eastAsia" w:ascii="仿宋_GB2312" w:eastAsia="仿宋_GB2312"/>
          <w:b/>
          <w:color w:val="000000" w:themeColor="text1"/>
          <w:sz w:val="32"/>
          <w:szCs w:val="32"/>
        </w:rPr>
        <w:t>以“一核心”为发展战略，提供促进区域经济转型支撑力。</w:t>
      </w:r>
      <w:r>
        <w:rPr>
          <w:rFonts w:hint="eastAsia" w:ascii="仿宋_GB2312" w:eastAsia="仿宋_GB2312"/>
          <w:color w:val="000000" w:themeColor="text1"/>
          <w:sz w:val="32"/>
          <w:szCs w:val="32"/>
        </w:rPr>
        <w:t>进一步提高园区对企业的吸纳能力和服务水平，精准引进国内国际高水平总部型服务机构，搭建以人力资源服务为主线，多种产业类型共同发展的园区生态系统。为服务业扩大开放</w:t>
      </w:r>
      <w:r>
        <w:rPr>
          <w:rFonts w:ascii="仿宋_GB2312" w:hAnsi="华文仿宋" w:eastAsia="仿宋_GB2312"/>
          <w:color w:val="000000" w:themeColor="text1"/>
          <w:sz w:val="32"/>
          <w:szCs w:val="32"/>
        </w:rPr>
        <w:t>综合示范区和</w:t>
      </w:r>
      <w:r>
        <w:rPr>
          <w:rFonts w:hint="eastAsia" w:ascii="仿宋_GB2312" w:hAnsi="华文仿宋" w:eastAsia="仿宋_GB2312"/>
          <w:color w:val="000000" w:themeColor="text1"/>
          <w:sz w:val="32"/>
          <w:szCs w:val="32"/>
        </w:rPr>
        <w:t>中国北京</w:t>
      </w:r>
      <w:r>
        <w:rPr>
          <w:rFonts w:ascii="仿宋_GB2312" w:hAnsi="华文仿宋" w:eastAsia="仿宋_GB2312"/>
          <w:color w:val="000000" w:themeColor="text1"/>
          <w:sz w:val="32"/>
          <w:szCs w:val="32"/>
        </w:rPr>
        <w:t>自由贸易试验区</w:t>
      </w:r>
      <w:r>
        <w:rPr>
          <w:rFonts w:hint="eastAsia" w:ascii="仿宋_GB2312" w:eastAsia="仿宋_GB2312"/>
          <w:color w:val="000000" w:themeColor="text1"/>
          <w:sz w:val="32"/>
          <w:szCs w:val="32"/>
        </w:rPr>
        <w:t>及其他有需求的机构提供全业态、多元化、高水平的各类专业化服务，打造国家级人力资源服务产业核心区。</w:t>
      </w:r>
    </w:p>
    <w:p>
      <w:pPr>
        <w:spacing w:line="56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“2” 是“两集群”</w:t>
      </w:r>
      <w:r>
        <w:rPr>
          <w:rFonts w:hint="eastAsia" w:ascii="仿宋_GB2312" w:eastAsia="仿宋_GB2312"/>
          <w:color w:val="000000" w:themeColor="text1"/>
          <w:sz w:val="32"/>
          <w:szCs w:val="32"/>
        </w:rPr>
        <w:t>：智库产业集群和专属服务产业集群。</w:t>
      </w:r>
      <w:r>
        <w:rPr>
          <w:rFonts w:hint="eastAsia" w:ascii="仿宋_GB2312" w:eastAsia="仿宋_GB2312"/>
          <w:b/>
          <w:color w:val="000000" w:themeColor="text1"/>
          <w:sz w:val="32"/>
          <w:szCs w:val="32"/>
        </w:rPr>
        <w:t>以“两集群”为发展模式，发挥产业链条辐射带动力。</w:t>
      </w:r>
      <w:r>
        <w:rPr>
          <w:rFonts w:hint="eastAsia" w:ascii="仿宋_GB2312" w:eastAsia="仿宋_GB2312"/>
          <w:color w:val="000000" w:themeColor="text1"/>
          <w:sz w:val="32"/>
          <w:szCs w:val="32"/>
        </w:rPr>
        <w:t>在未来五年内引进15—20家人力资源产业服务相关联的专业咨询机构、研究机构、专家工作室等智库类机构，以及一定数量的服务保障机构，形成智库产业集群。为各行政、企事业单位提供战略规划咨询、焦点课题研究、专业学术讲座、领导人才培训等服务。在国际金融机构、文化旅游区及各特色小镇形成专属服务产业集群，引进高端猎头机构、会议培训机构及各类应需服务机构，坚持需求导向，提供定制化专属服务，就近成为区域重点项目、重点机构的“贴身服务专员”。通过人力资源服务业的发展，围绕城市副中心行政办公、商务服务、文化旅游、科技创新等主导功能，吸纳总部企业入驻，加快构建高精尖经济结构，使人才集聚效应最大化，为城市副中心建设发展提供持续和坚实的人才支撑。</w:t>
      </w:r>
    </w:p>
    <w:p>
      <w:pPr>
        <w:spacing w:line="56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“N”是“N个服务前哨”：</w:t>
      </w:r>
      <w:r>
        <w:rPr>
          <w:rFonts w:hint="eastAsia" w:ascii="仿宋_GB2312" w:eastAsia="仿宋_GB2312"/>
          <w:color w:val="000000" w:themeColor="text1"/>
          <w:sz w:val="32"/>
          <w:szCs w:val="32"/>
        </w:rPr>
        <w:t>在国内各地国家级产业园、知名高校以及国外重点地区、重点高校建立园区服务前哨</w:t>
      </w:r>
      <w:r>
        <w:rPr>
          <w:rFonts w:hint="eastAsia" w:ascii="仿宋_GB2312" w:eastAsia="仿宋_GB2312"/>
          <w:b/>
          <w:color w:val="000000" w:themeColor="text1"/>
          <w:sz w:val="32"/>
          <w:szCs w:val="32"/>
        </w:rPr>
        <w:t>。以“N个服务前哨”为发展关键，打造行业品牌影响力。</w:t>
      </w:r>
      <w:r>
        <w:rPr>
          <w:rFonts w:hint="eastAsia" w:ascii="仿宋_GB2312" w:eastAsia="仿宋_GB2312"/>
          <w:color w:val="000000" w:themeColor="text1"/>
          <w:sz w:val="32"/>
          <w:szCs w:val="32"/>
        </w:rPr>
        <w:t>立足于扩大城市副中心建设影响，加强地区间、国际间人才互通，选择国内各地国家级产业园、知名高校以及国外重点地区、重点高校，探索建立园区服务前哨。通过设置服务专员及智能自助设备，提供查询、咨询、推介和初步对接服务，帮助外地人才和企业对北京城市副中心现状、需求及政策有更具体的了解，对国家级人力资源服务产业园的存在及作用有更明晰、深刻的认识，实现副中心建设信息推广前置化、副中心人才需求前置化、“两区”人才需求前置化、各地人才与园区企业对接前置化，并通过进一步优化人力资源服务提供方式，为副中心的健康发展、“两区”建设的快速发展和京津冀协同发展持续赋能。</w:t>
      </w:r>
    </w:p>
    <w:p>
      <w:pPr>
        <w:pStyle w:val="3"/>
        <w:spacing w:beforeLines="50" w:afterLines="50" w:line="560" w:lineRule="exact"/>
        <w:ind w:firstLine="640" w:firstLineChars="200"/>
        <w:rPr>
          <w:rFonts w:ascii="黑体" w:hAnsi="黑体" w:eastAsia="黑体"/>
          <w:b w:val="0"/>
          <w:color w:val="000000" w:themeColor="text1"/>
        </w:rPr>
      </w:pPr>
      <w:bookmarkStart w:id="83" w:name="_Toc72933226"/>
      <w:r>
        <w:rPr>
          <w:rFonts w:hint="eastAsia" w:ascii="黑体" w:hAnsi="黑体" w:eastAsia="黑体"/>
          <w:b w:val="0"/>
          <w:color w:val="000000" w:themeColor="text1"/>
        </w:rPr>
        <w:t>二、城市副中心“智慧人社系统”建设</w:t>
      </w:r>
      <w:bookmarkEnd w:id="83"/>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随着信息化水平不断提升，城市副中心、“两区”建设部署及京津冀一体化的快速推进，“智慧人社”建成实时联动的“大系统”、线上线下相结合的人社“大服务”势在必行。城市副中心“智慧人社系统”建设将实现跨层级、跨地域、跨系统、跨业务的协同管理和服务</w:t>
      </w:r>
      <w:r>
        <w:rPr>
          <w:rFonts w:hint="eastAsia" w:ascii="微软雅黑" w:hAnsi="微软雅黑" w:eastAsia="微软雅黑"/>
          <w:color w:val="000000" w:themeColor="text1"/>
          <w:sz w:val="21"/>
          <w:szCs w:val="21"/>
          <w:shd w:val="clear" w:color="auto" w:fill="FFFFFF"/>
        </w:rPr>
        <w:t>，</w:t>
      </w:r>
      <w:r>
        <w:rPr>
          <w:rFonts w:hint="eastAsia" w:ascii="仿宋_GB2312" w:eastAsia="仿宋_GB2312"/>
          <w:color w:val="000000" w:themeColor="text1"/>
          <w:sz w:val="32"/>
          <w:szCs w:val="32"/>
        </w:rPr>
        <w:t>增强数据智能分析、综合应用能力，全面提升人社公共服务、业务协同、监督管控、辅助决策的综合水平。</w:t>
      </w:r>
    </w:p>
    <w:p>
      <w:pPr>
        <w:spacing w:line="560" w:lineRule="exact"/>
        <w:ind w:firstLine="640" w:firstLineChars="200"/>
        <w:rPr>
          <w:rFonts w:ascii="仿宋_GB2312" w:hAnsi="黑体" w:eastAsia="仿宋_GB2312"/>
          <w:color w:val="000000" w:themeColor="text1"/>
          <w:sz w:val="32"/>
          <w:szCs w:val="32"/>
        </w:rPr>
      </w:pPr>
      <w:r>
        <w:rPr>
          <w:rFonts w:hint="eastAsia" w:ascii="仿宋_GB2312" w:eastAsia="仿宋_GB2312"/>
          <w:color w:val="000000" w:themeColor="text1"/>
          <w:sz w:val="32"/>
          <w:szCs w:val="32"/>
        </w:rPr>
        <w:t>城市副中心“智慧人社系统”</w:t>
      </w:r>
      <w:r>
        <w:rPr>
          <w:rFonts w:hint="eastAsia" w:ascii="仿宋_GB2312" w:hAnsi="黑体" w:eastAsia="仿宋_GB2312"/>
          <w:color w:val="000000" w:themeColor="text1"/>
          <w:sz w:val="32"/>
          <w:szCs w:val="32"/>
        </w:rPr>
        <w:t>以“平台共建、网络互联、数据共享、业务协同”一体化的建设模式，利用移动互联、大数据、云平台技术、区块链和AI人工智能等先进技术手段，全面感测、分析、整合社会保险、公共就业、劳动关系、人事人才等人力资源和社会保障领域的各项关键信息，打造一个包含服务决策层、业务管理层、应用支撑层、基础支撑层四个层面的新型智慧人社管理服务系统。</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服务决策层主要是决策服务、门户服务、自助服务、咨询服务、移动服务、监控服务、终端服务、微信服务等内容；</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业务管理层主要是社会保险管理系统、创业就业管理系统、人事人才管理系统、劳动关系管理系统等；</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应用支撑层主要是主数据管理、一卡通、档案管理等；</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基础支撑层主要是业务协同平台、数据交换平台、数据整合平台、身份认证平台、运维管理平台、门户集成平台等。</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通过以上四个层面的新型智慧人社管理服务系统建设，确保城市副中心人社管理服务业务经办省心、监管决策放心、线上体验随心、线下服务舒心、技术赋能慧心。</w:t>
      </w:r>
    </w:p>
    <w:p>
      <w:pPr>
        <w:spacing w:line="560" w:lineRule="exact"/>
        <w:ind w:firstLine="160" w:firstLineChars="5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“智慧人社系统”将跳出现有的系统模式，进行一体化、系统化的设计、改造、创新、升级，实现与</w:t>
      </w:r>
      <w:r>
        <w:rPr>
          <w:rFonts w:hint="eastAsia" w:ascii="仿宋_GB2312" w:hAnsi="黑体" w:eastAsia="仿宋_GB2312"/>
          <w:color w:val="000000" w:themeColor="text1"/>
          <w:sz w:val="32"/>
          <w:szCs w:val="32"/>
        </w:rPr>
        <w:t>京津冀其它区域协同互动，加强与公安、民政、市场监管、税务等相关部门数据共享，确保“智慧人社系统”便捷化、智能化、国际化的服务，满足未来城市副中心、“两区”建设及绿色发展需要配套的人社公共服务。</w:t>
      </w:r>
    </w:p>
    <w:p>
      <w:pPr>
        <w:pStyle w:val="3"/>
        <w:spacing w:beforeLines="50" w:afterLines="50" w:line="560" w:lineRule="exact"/>
        <w:ind w:firstLine="640" w:firstLineChars="200"/>
        <w:rPr>
          <w:rFonts w:ascii="黑体" w:hAnsi="黑体" w:eastAsia="黑体"/>
          <w:b w:val="0"/>
          <w:color w:val="000000" w:themeColor="text1"/>
        </w:rPr>
      </w:pPr>
      <w:bookmarkStart w:id="84" w:name="_Toc72933227"/>
      <w:r>
        <w:rPr>
          <w:rFonts w:hint="eastAsia" w:ascii="黑体" w:hAnsi="黑体" w:eastAsia="黑体"/>
          <w:b w:val="0"/>
          <w:color w:val="000000" w:themeColor="text1"/>
        </w:rPr>
        <w:t>三、京津冀人社协同发展</w:t>
      </w:r>
      <w:bookmarkEnd w:id="84"/>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高质量推进北京城市副中心建设，强化功能中枢作用，融入京津冀协同发展格局，将城市副中心建设成为世界一流和谐宜居之都示范区、新型城镇化示范区、京津冀区域协同发展示范区。通过加强通武廊、通宝唐、北三县等交流合作，突出通州区对周边地区的辐射带动作用，促进京津冀区域协同发展。</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津冀协同区县与城市副中心的公共服务水平、服务质量落差较大，优质公共服务资源应逐步向津冀协同区县延伸，缩小公共服务差距，推动形成协同联动的公共服务体系，提升整体公共服务质量，助推京津冀三地大就业。</w:t>
      </w:r>
    </w:p>
    <w:p>
      <w:pPr>
        <w:spacing w:line="56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做实协同机制。</w:t>
      </w:r>
      <w:r>
        <w:rPr>
          <w:rFonts w:hint="eastAsia" w:ascii="仿宋_GB2312" w:eastAsia="仿宋_GB2312"/>
          <w:color w:val="000000" w:themeColor="text1"/>
          <w:sz w:val="32"/>
          <w:szCs w:val="32"/>
        </w:rPr>
        <w:t>成立人力资源和社会保障工作协同领导小组，牵头统一协调工作。做好做实“三项协同”，即统筹规划协同、政策指导协同、技能提升协同。全面深化三地联席会议制度，定期召开工作交流研讨会，共同推进相关政策先行先试，创建良好的营商环境。</w:t>
      </w:r>
    </w:p>
    <w:p>
      <w:pPr>
        <w:spacing w:line="56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分享优质资源。</w:t>
      </w:r>
      <w:r>
        <w:rPr>
          <w:rFonts w:hint="eastAsia" w:ascii="仿宋_GB2312" w:eastAsia="仿宋_GB2312"/>
          <w:color w:val="000000" w:themeColor="text1"/>
          <w:sz w:val="32"/>
          <w:szCs w:val="32"/>
        </w:rPr>
        <w:t>立足北京城市副中心地理优势、资源优势，发挥三地协同的牵引作用，分享城市副中心人社工作资源优势和先进经验。推进通州与津冀协同区县人社服务一体化建设，实现跨区域应用。发挥城市副中心高技能人才师资和培训资源优势，开展技能人才联合培养，推动通州区与津冀区县协同发展，加强与雄安新区合作，促进技能人才整体提升。</w:t>
      </w:r>
    </w:p>
    <w:p>
      <w:pPr>
        <w:spacing w:line="56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引领服务协同。</w:t>
      </w:r>
      <w:r>
        <w:rPr>
          <w:rFonts w:hint="eastAsia" w:ascii="仿宋_GB2312" w:eastAsia="仿宋_GB2312"/>
          <w:color w:val="000000" w:themeColor="text1"/>
          <w:sz w:val="32"/>
          <w:szCs w:val="32"/>
        </w:rPr>
        <w:t>健全通州与津冀协同区县人力资源和社会保障的公共服务合作机制。优化“通武廊”三地人力社保局信息交流共享机制。探索协同处置机制，促进跨地区劳动争议有效化解。建立社会保险信息协查共享机制，优化经办服务，促进三地社保关系接转顺畅。推进职业教育协同发展，建立统一互认的人才评价标准</w:t>
      </w:r>
      <w:r>
        <w:rPr>
          <w:rFonts w:ascii="仿宋_GB2312" w:eastAsia="仿宋_GB2312"/>
          <w:color w:val="000000" w:themeColor="text1"/>
          <w:sz w:val="32"/>
          <w:szCs w:val="32"/>
        </w:rPr>
        <w:t>,</w:t>
      </w:r>
      <w:r>
        <w:rPr>
          <w:rFonts w:hint="eastAsia" w:ascii="仿宋_GB2312" w:eastAsia="仿宋_GB2312"/>
          <w:color w:val="000000" w:themeColor="text1"/>
          <w:sz w:val="32"/>
          <w:szCs w:val="32"/>
        </w:rPr>
        <w:t>助力形成职业技能人才的错位培养机制。推动协同区域内的</w:t>
      </w:r>
      <w:r>
        <w:rPr>
          <w:rFonts w:ascii="仿宋_GB2312" w:eastAsia="仿宋_GB2312"/>
          <w:color w:val="000000" w:themeColor="text1"/>
          <w:sz w:val="32"/>
          <w:szCs w:val="32"/>
        </w:rPr>
        <w:t>职称</w:t>
      </w:r>
      <w:r>
        <w:rPr>
          <w:rFonts w:hint="eastAsia" w:ascii="仿宋_GB2312" w:eastAsia="仿宋_GB2312"/>
          <w:color w:val="000000" w:themeColor="text1"/>
          <w:sz w:val="32"/>
          <w:szCs w:val="32"/>
        </w:rPr>
        <w:t>、</w:t>
      </w:r>
      <w:r>
        <w:rPr>
          <w:rFonts w:ascii="仿宋_GB2312" w:eastAsia="仿宋_GB2312"/>
          <w:color w:val="000000" w:themeColor="text1"/>
          <w:sz w:val="32"/>
          <w:szCs w:val="32"/>
        </w:rPr>
        <w:t>技能等级</w:t>
      </w:r>
      <w:r>
        <w:rPr>
          <w:rFonts w:hint="eastAsia" w:ascii="仿宋_GB2312" w:eastAsia="仿宋_GB2312"/>
          <w:color w:val="000000" w:themeColor="text1"/>
          <w:sz w:val="32"/>
          <w:szCs w:val="32"/>
        </w:rPr>
        <w:t>、人力资源服务机构等级互认</w:t>
      </w:r>
      <w:r>
        <w:rPr>
          <w:rFonts w:hint="eastAsia" w:ascii="仿宋_GB2312" w:eastAsia="仿宋_GB2312"/>
          <w:bCs/>
          <w:color w:val="000000" w:themeColor="text1"/>
          <w:sz w:val="32"/>
          <w:szCs w:val="32"/>
        </w:rPr>
        <w:t>。</w:t>
      </w:r>
      <w:r>
        <w:rPr>
          <w:rFonts w:hint="eastAsia" w:ascii="仿宋_GB2312" w:eastAsia="仿宋_GB2312"/>
          <w:color w:val="000000" w:themeColor="text1"/>
          <w:sz w:val="32"/>
          <w:szCs w:val="32"/>
        </w:rPr>
        <w:t>通过三地合办“通武廊”大型专场招聘会、高技能人才交流会、技能大赛等活动，深化交流合作。</w:t>
      </w:r>
    </w:p>
    <w:p>
      <w:pPr>
        <w:spacing w:line="560" w:lineRule="exact"/>
        <w:ind w:firstLine="640" w:firstLineChars="200"/>
        <w:rPr>
          <w:rFonts w:ascii="仿宋_GB2312" w:eastAsia="仿宋_GB2312"/>
          <w:color w:val="000000" w:themeColor="text1"/>
          <w:sz w:val="32"/>
          <w:szCs w:val="32"/>
        </w:rPr>
      </w:pPr>
    </w:p>
    <w:p>
      <w:pPr>
        <w:pStyle w:val="2"/>
        <w:spacing w:before="0" w:after="0" w:line="560" w:lineRule="exact"/>
        <w:jc w:val="center"/>
        <w:rPr>
          <w:rFonts w:eastAsia="黑体"/>
          <w:b w:val="0"/>
          <w:color w:val="000000" w:themeColor="text1"/>
          <w:sz w:val="36"/>
          <w:szCs w:val="36"/>
        </w:rPr>
      </w:pPr>
      <w:bookmarkStart w:id="85" w:name="_Toc72933228"/>
      <w:bookmarkStart w:id="86" w:name="_Toc40092010"/>
      <w:bookmarkStart w:id="87" w:name="_Toc40110546"/>
      <w:r>
        <w:rPr>
          <w:rFonts w:hint="eastAsia" w:eastAsia="黑体"/>
          <w:b w:val="0"/>
          <w:color w:val="000000" w:themeColor="text1"/>
          <w:sz w:val="36"/>
          <w:szCs w:val="36"/>
        </w:rPr>
        <w:t>第六部分：保障措施</w:t>
      </w:r>
      <w:bookmarkEnd w:id="85"/>
      <w:bookmarkEnd w:id="86"/>
      <w:bookmarkEnd w:id="87"/>
    </w:p>
    <w:p>
      <w:pPr>
        <w:spacing w:line="560" w:lineRule="exact"/>
        <w:ind w:firstLine="640" w:firstLineChars="200"/>
        <w:rPr>
          <w:rFonts w:ascii="仿宋_GB2312" w:hAnsi="仿宋" w:eastAsia="仿宋_GB2312"/>
          <w:color w:val="000000" w:themeColor="text1"/>
          <w:sz w:val="32"/>
          <w:szCs w:val="32"/>
          <w:lang w:val="zh-CN"/>
        </w:rPr>
      </w:pPr>
      <w:r>
        <w:rPr>
          <w:rFonts w:hint="eastAsia" w:ascii="仿宋_GB2312" w:hAnsi="仿宋" w:eastAsia="仿宋_GB2312"/>
          <w:color w:val="000000" w:themeColor="text1"/>
          <w:sz w:val="32"/>
          <w:szCs w:val="32"/>
          <w:lang w:val="zh-CN"/>
        </w:rPr>
        <w:t>“十四五”时期，通州区以副中心、两区建设为重点任务，全区人力资源和社会保障事业改革发展任务艰巨，要实现未来五年的发展目标，必须坚持党组的正确领导，深入健全人力资源和社会保障法治体系、决策支持体系和公共服务体系，进一步提高管理水平、运行效率和服务能力，推动本规划确定的各项目标任务完成。</w:t>
      </w:r>
    </w:p>
    <w:p>
      <w:pPr>
        <w:pStyle w:val="3"/>
        <w:spacing w:beforeLines="50" w:afterLines="50" w:line="560" w:lineRule="exact"/>
        <w:ind w:firstLine="640" w:firstLineChars="200"/>
        <w:rPr>
          <w:rFonts w:ascii="黑体" w:hAnsi="黑体" w:eastAsia="黑体"/>
          <w:b w:val="0"/>
          <w:color w:val="000000" w:themeColor="text1"/>
        </w:rPr>
      </w:pPr>
      <w:bookmarkStart w:id="88" w:name="_Toc72933229"/>
      <w:r>
        <w:rPr>
          <w:rFonts w:hint="eastAsia" w:ascii="黑体" w:hAnsi="黑体" w:eastAsia="黑体"/>
          <w:b w:val="0"/>
          <w:color w:val="000000" w:themeColor="text1"/>
        </w:rPr>
        <w:t>一、</w:t>
      </w:r>
      <w:r>
        <w:rPr>
          <w:rFonts w:ascii="黑体" w:hAnsi="黑体" w:eastAsia="黑体"/>
          <w:b w:val="0"/>
          <w:color w:val="000000" w:themeColor="text1"/>
        </w:rPr>
        <w:t>党建</w:t>
      </w:r>
      <w:r>
        <w:rPr>
          <w:rFonts w:hint="eastAsia" w:ascii="黑体" w:hAnsi="黑体" w:eastAsia="黑体"/>
          <w:b w:val="0"/>
          <w:color w:val="000000" w:themeColor="text1"/>
        </w:rPr>
        <w:t>引领</w:t>
      </w:r>
      <w:bookmarkEnd w:id="88"/>
    </w:p>
    <w:p>
      <w:pPr>
        <w:spacing w:line="560" w:lineRule="exact"/>
        <w:ind w:firstLine="640" w:firstLineChars="200"/>
        <w:rPr>
          <w:rFonts w:ascii="仿宋_GB2312" w:hAnsi="仿宋" w:eastAsia="仿宋_GB2312"/>
          <w:color w:val="000000" w:themeColor="text1"/>
          <w:sz w:val="32"/>
          <w:szCs w:val="32"/>
          <w:lang w:val="zh-CN"/>
        </w:rPr>
      </w:pPr>
      <w:r>
        <w:rPr>
          <w:rFonts w:hint="eastAsia" w:ascii="仿宋_GB2312" w:hAnsi="仿宋" w:eastAsia="仿宋_GB2312"/>
          <w:color w:val="000000" w:themeColor="text1"/>
          <w:sz w:val="32"/>
          <w:szCs w:val="32"/>
          <w:lang w:val="zh-CN"/>
        </w:rPr>
        <w:t>坚持和加强党的全面领导，持续推动全面从严治党向纵深发展，切实提高政治站位，充分发挥局党组把方向、管大局、保落实的领导作用，继续巩固和深化“不忘初心、牢记使命”主题教育成果，不断提升服务水平。从严落实主体责任，压紧压实“一岗双责”。优化“党建</w:t>
      </w:r>
      <w:r>
        <w:rPr>
          <w:rFonts w:ascii="仿宋_GB2312" w:hAnsi="仿宋" w:eastAsia="仿宋_GB2312"/>
          <w:color w:val="000000" w:themeColor="text1"/>
          <w:sz w:val="32"/>
          <w:szCs w:val="32"/>
          <w:lang w:val="zh-CN"/>
        </w:rPr>
        <w:t>+</w:t>
      </w:r>
      <w:r>
        <w:rPr>
          <w:rFonts w:hint="eastAsia" w:ascii="仿宋_GB2312" w:hAnsi="仿宋" w:eastAsia="仿宋_GB2312"/>
          <w:color w:val="000000" w:themeColor="text1"/>
          <w:sz w:val="32"/>
          <w:szCs w:val="32"/>
          <w:lang w:val="zh-CN"/>
        </w:rPr>
        <w:t>业务”绩效考核模式，合理运用考核结果，实现党建、业务齐抓共促。加强基层党组织规范化建设，优化基层党组织架构，分层级强化党务知识培训，夯实基层党建。积极探索建立党建联动机制。抓好廉政风险防控，继续加强作风建设，以党建引领各项工作，推进人力社保事业创新发展。健全“接诉即办”工作体系、完善服务群众响应机制、提高人社服务水平、推动行业治理能力现代化。</w:t>
      </w:r>
    </w:p>
    <w:p>
      <w:pPr>
        <w:pStyle w:val="3"/>
        <w:spacing w:beforeLines="50" w:afterLines="50" w:line="560" w:lineRule="exact"/>
        <w:ind w:firstLine="640" w:firstLineChars="200"/>
        <w:rPr>
          <w:rFonts w:ascii="黑体" w:hAnsi="黑体" w:eastAsia="黑体"/>
          <w:b w:val="0"/>
          <w:color w:val="000000" w:themeColor="text1"/>
        </w:rPr>
      </w:pPr>
      <w:bookmarkStart w:id="89" w:name="_Toc72933230"/>
      <w:r>
        <w:rPr>
          <w:rFonts w:hint="eastAsia" w:ascii="黑体" w:hAnsi="黑体" w:eastAsia="黑体"/>
          <w:b w:val="0"/>
          <w:color w:val="000000" w:themeColor="text1"/>
        </w:rPr>
        <w:t>二、依法行政</w:t>
      </w:r>
      <w:bookmarkEnd w:id="89"/>
    </w:p>
    <w:p>
      <w:pPr>
        <w:spacing w:line="560" w:lineRule="exact"/>
        <w:ind w:firstLine="640" w:firstLineChars="200"/>
        <w:rPr>
          <w:rFonts w:ascii="仿宋_GB2312" w:hAnsi="仿宋" w:eastAsia="仿宋_GB2312"/>
          <w:color w:val="000000" w:themeColor="text1"/>
          <w:sz w:val="32"/>
          <w:szCs w:val="32"/>
          <w:lang w:val="zh-CN"/>
        </w:rPr>
      </w:pPr>
      <w:r>
        <w:rPr>
          <w:rFonts w:hint="eastAsia" w:ascii="仿宋_GB2312" w:hAnsi="仿宋" w:eastAsia="仿宋_GB2312"/>
          <w:color w:val="000000" w:themeColor="text1"/>
          <w:sz w:val="32"/>
          <w:szCs w:val="32"/>
          <w:lang w:val="zh-CN"/>
        </w:rPr>
        <w:t>强化依法行政，通过简政放权、深化服务、督查考核等措施</w:t>
      </w:r>
      <w:r>
        <w:rPr>
          <w:rFonts w:ascii="仿宋_GB2312" w:hAnsi="仿宋" w:eastAsia="仿宋_GB2312"/>
          <w:color w:val="000000" w:themeColor="text1"/>
          <w:sz w:val="32"/>
          <w:szCs w:val="32"/>
          <w:lang w:val="zh-CN"/>
        </w:rPr>
        <w:t>,</w:t>
      </w:r>
      <w:r>
        <w:rPr>
          <w:rFonts w:hint="eastAsia" w:ascii="仿宋_GB2312" w:hAnsi="仿宋" w:eastAsia="仿宋_GB2312"/>
          <w:color w:val="000000" w:themeColor="text1"/>
          <w:sz w:val="32"/>
          <w:szCs w:val="32"/>
          <w:lang w:val="zh-CN"/>
        </w:rPr>
        <w:t>集中力量打造一流的营商环境，推动市场经济更好的发展。严格执行市人力资源社会保障法规政策，补充完善通州区人力资源社会保障法规政策体系，配合市人力社保局协同推进地区人力资源社会保障统一立法工作</w:t>
      </w:r>
      <w:r>
        <w:rPr>
          <w:rFonts w:ascii="仿宋_GB2312" w:hAnsi="仿宋" w:eastAsia="仿宋_GB2312"/>
          <w:color w:val="000000" w:themeColor="text1"/>
          <w:sz w:val="32"/>
          <w:szCs w:val="32"/>
          <w:lang w:val="zh-CN"/>
        </w:rPr>
        <w:t>,</w:t>
      </w:r>
      <w:r>
        <w:rPr>
          <w:rFonts w:hint="eastAsia" w:ascii="仿宋_GB2312" w:hAnsi="仿宋" w:eastAsia="仿宋_GB2312"/>
          <w:color w:val="000000" w:themeColor="text1"/>
          <w:sz w:val="32"/>
          <w:szCs w:val="32"/>
          <w:lang w:val="zh-CN"/>
        </w:rPr>
        <w:t>为法治化营商环境奠定良好的制度保障。健全重大行政决策机制，规范执法行为</w:t>
      </w:r>
      <w:r>
        <w:rPr>
          <w:rFonts w:ascii="仿宋_GB2312" w:hAnsi="仿宋" w:eastAsia="仿宋_GB2312"/>
          <w:color w:val="000000" w:themeColor="text1"/>
          <w:sz w:val="32"/>
          <w:szCs w:val="32"/>
          <w:lang w:val="zh-CN"/>
        </w:rPr>
        <w:t>,</w:t>
      </w:r>
      <w:r>
        <w:rPr>
          <w:rFonts w:hint="eastAsia" w:ascii="仿宋_GB2312" w:hAnsi="仿宋" w:eastAsia="仿宋_GB2312"/>
          <w:color w:val="000000" w:themeColor="text1"/>
          <w:sz w:val="32"/>
          <w:szCs w:val="32"/>
          <w:lang w:val="zh-CN"/>
        </w:rPr>
        <w:t>完善事中事后监管，推行包容审慎“沙箱监管”执法手段。严格落实执法全过程记录和重大执法决定法制审核制度</w:t>
      </w:r>
      <w:r>
        <w:rPr>
          <w:rFonts w:ascii="仿宋_GB2312" w:hAnsi="仿宋" w:eastAsia="仿宋_GB2312"/>
          <w:color w:val="000000" w:themeColor="text1"/>
          <w:sz w:val="32"/>
          <w:szCs w:val="32"/>
          <w:lang w:val="zh-CN"/>
        </w:rPr>
        <w:t>,</w:t>
      </w:r>
      <w:r>
        <w:rPr>
          <w:rFonts w:hint="eastAsia" w:ascii="仿宋_GB2312" w:hAnsi="仿宋" w:eastAsia="仿宋_GB2312"/>
          <w:color w:val="000000" w:themeColor="text1"/>
          <w:sz w:val="32"/>
          <w:szCs w:val="32"/>
          <w:lang w:val="zh-CN"/>
        </w:rPr>
        <w:t>落实行政裁量基准制度。深化调解、仲裁、复议、诉讼等多元化纠纷调解机制，实现行政执法与司法审判机关的良性互动。深入开展法治宣传</w:t>
      </w:r>
      <w:r>
        <w:rPr>
          <w:rFonts w:ascii="仿宋_GB2312" w:hAnsi="仿宋" w:eastAsia="仿宋_GB2312"/>
          <w:color w:val="000000" w:themeColor="text1"/>
          <w:sz w:val="32"/>
          <w:szCs w:val="32"/>
          <w:lang w:val="zh-CN"/>
        </w:rPr>
        <w:t>,</w:t>
      </w:r>
      <w:r>
        <w:rPr>
          <w:rFonts w:hint="eastAsia" w:ascii="仿宋_GB2312" w:hAnsi="仿宋" w:eastAsia="仿宋_GB2312"/>
          <w:color w:val="000000" w:themeColor="text1"/>
          <w:sz w:val="32"/>
          <w:szCs w:val="32"/>
          <w:lang w:val="zh-CN"/>
        </w:rPr>
        <w:t>大力营造法治人社的氛围，构建和谐稳定、开放包容的法治化营商环境。</w:t>
      </w:r>
    </w:p>
    <w:p>
      <w:pPr>
        <w:pStyle w:val="3"/>
        <w:spacing w:beforeLines="50" w:afterLines="50" w:line="560" w:lineRule="exact"/>
        <w:ind w:firstLine="640" w:firstLineChars="200"/>
        <w:rPr>
          <w:rFonts w:ascii="黑体" w:hAnsi="黑体" w:eastAsia="黑体"/>
          <w:b w:val="0"/>
          <w:color w:val="000000" w:themeColor="text1"/>
        </w:rPr>
      </w:pPr>
      <w:bookmarkStart w:id="90" w:name="_Toc72933231"/>
      <w:r>
        <w:rPr>
          <w:rFonts w:hint="eastAsia" w:ascii="黑体" w:hAnsi="黑体" w:eastAsia="黑体"/>
          <w:b w:val="0"/>
          <w:color w:val="000000" w:themeColor="text1"/>
        </w:rPr>
        <w:t>三、组织</w:t>
      </w:r>
      <w:r>
        <w:rPr>
          <w:rFonts w:ascii="黑体" w:hAnsi="黑体" w:eastAsia="黑体"/>
          <w:b w:val="0"/>
          <w:color w:val="000000" w:themeColor="text1"/>
        </w:rPr>
        <w:t>保障</w:t>
      </w:r>
      <w:bookmarkEnd w:id="90"/>
    </w:p>
    <w:p>
      <w:pPr>
        <w:spacing w:line="560" w:lineRule="exact"/>
        <w:ind w:firstLine="640" w:firstLineChars="200"/>
        <w:rPr>
          <w:rFonts w:ascii="仿宋_GB2312" w:hAnsi="仿宋" w:eastAsia="仿宋_GB2312"/>
          <w:color w:val="000000" w:themeColor="text1"/>
          <w:sz w:val="32"/>
          <w:szCs w:val="32"/>
          <w:lang w:val="zh-CN"/>
        </w:rPr>
      </w:pPr>
      <w:r>
        <w:rPr>
          <w:rFonts w:hint="eastAsia" w:ascii="仿宋_GB2312" w:eastAsia="仿宋_GB2312"/>
          <w:color w:val="000000" w:themeColor="text1"/>
          <w:sz w:val="32"/>
          <w:szCs w:val="32"/>
        </w:rPr>
        <w:t>依据副中心人力资源社会保障事业发展需要</w:t>
      </w:r>
      <w:r>
        <w:rPr>
          <w:rFonts w:ascii="仿宋_GB2312" w:eastAsia="仿宋_GB2312"/>
          <w:color w:val="000000" w:themeColor="text1"/>
          <w:sz w:val="32"/>
          <w:szCs w:val="32"/>
        </w:rPr>
        <w:t>,加大</w:t>
      </w:r>
      <w:r>
        <w:rPr>
          <w:rFonts w:hint="eastAsia" w:ascii="仿宋_GB2312" w:eastAsia="仿宋_GB2312"/>
          <w:color w:val="000000" w:themeColor="text1"/>
          <w:sz w:val="32"/>
          <w:szCs w:val="32"/>
        </w:rPr>
        <w:t>对就业创业、社会保障、人事管理、劳动关系等重点领域的财政支持力度，</w:t>
      </w:r>
      <w:r>
        <w:rPr>
          <w:rFonts w:hint="eastAsia" w:ascii="仿宋_GB2312" w:hAnsi="仿宋" w:eastAsia="仿宋_GB2312"/>
          <w:color w:val="000000" w:themeColor="text1"/>
          <w:sz w:val="32"/>
          <w:szCs w:val="32"/>
          <w:lang w:val="zh-CN"/>
        </w:rPr>
        <w:t>保障重大项目顺利实施。加强互联网、大数据、</w:t>
      </w:r>
      <w:r>
        <w:rPr>
          <w:rFonts w:ascii="仿宋_GB2312" w:hAnsi="仿宋" w:eastAsia="仿宋_GB2312"/>
          <w:color w:val="000000" w:themeColor="text1"/>
          <w:sz w:val="32"/>
          <w:szCs w:val="32"/>
          <w:lang w:val="zh-CN"/>
        </w:rPr>
        <w:t>人工智能</w:t>
      </w:r>
      <w:r>
        <w:rPr>
          <w:rFonts w:hint="eastAsia" w:ascii="仿宋_GB2312" w:hAnsi="仿宋" w:eastAsia="仿宋_GB2312"/>
          <w:color w:val="000000" w:themeColor="text1"/>
          <w:sz w:val="32"/>
          <w:szCs w:val="32"/>
          <w:lang w:val="zh-CN"/>
        </w:rPr>
        <w:t>、区块链</w:t>
      </w:r>
      <w:r>
        <w:rPr>
          <w:rFonts w:ascii="仿宋_GB2312" w:hAnsi="仿宋" w:eastAsia="仿宋_GB2312"/>
          <w:color w:val="000000" w:themeColor="text1"/>
          <w:sz w:val="32"/>
          <w:szCs w:val="32"/>
          <w:lang w:val="zh-CN"/>
        </w:rPr>
        <w:t>等</w:t>
      </w:r>
      <w:r>
        <w:rPr>
          <w:rFonts w:hint="eastAsia" w:ascii="仿宋_GB2312" w:hAnsi="仿宋" w:eastAsia="仿宋_GB2312"/>
          <w:color w:val="000000" w:themeColor="text1"/>
          <w:sz w:val="32"/>
          <w:szCs w:val="32"/>
          <w:lang w:val="zh-CN"/>
        </w:rPr>
        <w:t>信息</w:t>
      </w:r>
      <w:r>
        <w:rPr>
          <w:rFonts w:ascii="仿宋_GB2312" w:hAnsi="仿宋" w:eastAsia="仿宋_GB2312"/>
          <w:color w:val="000000" w:themeColor="text1"/>
          <w:sz w:val="32"/>
          <w:szCs w:val="32"/>
          <w:lang w:val="zh-CN"/>
        </w:rPr>
        <w:t>技术</w:t>
      </w:r>
      <w:r>
        <w:rPr>
          <w:rFonts w:hint="eastAsia" w:ascii="仿宋_GB2312" w:hAnsi="仿宋" w:eastAsia="仿宋_GB2312"/>
          <w:color w:val="000000" w:themeColor="text1"/>
          <w:sz w:val="32"/>
          <w:szCs w:val="32"/>
          <w:lang w:val="zh-CN"/>
        </w:rPr>
        <w:t>与业务工作的深度融合，</w:t>
      </w:r>
      <w:r>
        <w:rPr>
          <w:rFonts w:ascii="仿宋_GB2312" w:hAnsi="仿宋" w:eastAsia="仿宋_GB2312"/>
          <w:color w:val="000000" w:themeColor="text1"/>
          <w:sz w:val="32"/>
          <w:szCs w:val="32"/>
          <w:lang w:val="zh-CN"/>
        </w:rPr>
        <w:t>促进管理和服务协同，强化公共服务供给能力。构建网络安全保障体系，提升信息系统突发事件应急处置能力。</w:t>
      </w:r>
      <w:r>
        <w:rPr>
          <w:rFonts w:hint="eastAsia" w:ascii="仿宋_GB2312" w:hAnsi="仿宋" w:eastAsia="仿宋_GB2312"/>
          <w:color w:val="000000" w:themeColor="text1"/>
          <w:sz w:val="32"/>
          <w:szCs w:val="32"/>
          <w:lang w:val="zh-CN"/>
        </w:rPr>
        <w:t>健全重大决策调研论证制度、重大改革跟踪评估机制，完善调研工作支撑体系。加强对规划的宣传贯彻、任务分解、计划制订的管理，对“十四五”时期重大项目进行重点管理，各项工作细化到责任部门，明确考核机制，明确目标、进度与项目内容。协同区域联动工作，</w:t>
      </w:r>
      <w:r>
        <w:rPr>
          <w:rFonts w:ascii="仿宋_GB2312" w:hAnsi="仿宋" w:eastAsia="仿宋_GB2312"/>
          <w:color w:val="000000" w:themeColor="text1"/>
          <w:sz w:val="32"/>
          <w:szCs w:val="32"/>
          <w:lang w:val="zh-CN"/>
        </w:rPr>
        <w:t>加强</w:t>
      </w:r>
      <w:r>
        <w:rPr>
          <w:rFonts w:hint="eastAsia" w:ascii="仿宋_GB2312" w:hAnsi="仿宋" w:eastAsia="仿宋_GB2312"/>
          <w:color w:val="000000" w:themeColor="text1"/>
          <w:sz w:val="32"/>
          <w:szCs w:val="32"/>
          <w:lang w:val="zh-CN"/>
        </w:rPr>
        <w:t>各方</w:t>
      </w:r>
      <w:r>
        <w:rPr>
          <w:rFonts w:ascii="仿宋_GB2312" w:hAnsi="仿宋" w:eastAsia="仿宋_GB2312"/>
          <w:color w:val="000000" w:themeColor="text1"/>
          <w:sz w:val="32"/>
          <w:szCs w:val="32"/>
          <w:lang w:val="zh-CN"/>
        </w:rPr>
        <w:t>沟通</w:t>
      </w:r>
      <w:r>
        <w:rPr>
          <w:rFonts w:hint="eastAsia" w:ascii="仿宋_GB2312" w:hAnsi="仿宋" w:eastAsia="仿宋_GB2312"/>
          <w:color w:val="000000" w:themeColor="text1"/>
          <w:sz w:val="32"/>
          <w:szCs w:val="32"/>
          <w:lang w:val="zh-CN"/>
        </w:rPr>
        <w:t>,</w:t>
      </w:r>
      <w:r>
        <w:rPr>
          <w:rFonts w:ascii="仿宋_GB2312" w:hAnsi="仿宋" w:eastAsia="仿宋_GB2312"/>
          <w:color w:val="000000" w:themeColor="text1"/>
          <w:sz w:val="32"/>
          <w:szCs w:val="32"/>
          <w:lang w:val="zh-CN"/>
        </w:rPr>
        <w:t>密切配合,妥善解决工作中的问题,协同推进规划实施。</w:t>
      </w:r>
    </w:p>
    <w:sectPr>
      <w:footerReference r:id="rId4" w:type="default"/>
      <w:pgSz w:w="11906" w:h="16838"/>
      <w:pgMar w:top="1440" w:right="1800" w:bottom="1440" w:left="180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98761"/>
      <w:docPartObj>
        <w:docPartGallery w:val="autotext"/>
      </w:docPartObj>
    </w:sdtPr>
    <w:sdtContent>
      <w:p>
        <w:pPr>
          <w:pStyle w:val="8"/>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075E"/>
    <w:rsid w:val="00001222"/>
    <w:rsid w:val="00001AFA"/>
    <w:rsid w:val="00002013"/>
    <w:rsid w:val="00002613"/>
    <w:rsid w:val="00002F69"/>
    <w:rsid w:val="00003D1A"/>
    <w:rsid w:val="00003EA2"/>
    <w:rsid w:val="00004139"/>
    <w:rsid w:val="00004172"/>
    <w:rsid w:val="00004B52"/>
    <w:rsid w:val="00005AF5"/>
    <w:rsid w:val="000062ED"/>
    <w:rsid w:val="00006AE5"/>
    <w:rsid w:val="00006CC7"/>
    <w:rsid w:val="00006DD3"/>
    <w:rsid w:val="000075F3"/>
    <w:rsid w:val="000109DF"/>
    <w:rsid w:val="00010B1C"/>
    <w:rsid w:val="00010D59"/>
    <w:rsid w:val="00011AFD"/>
    <w:rsid w:val="00012372"/>
    <w:rsid w:val="000126DC"/>
    <w:rsid w:val="000128FA"/>
    <w:rsid w:val="00012AFB"/>
    <w:rsid w:val="00012B0C"/>
    <w:rsid w:val="000131E5"/>
    <w:rsid w:val="0001334C"/>
    <w:rsid w:val="00013564"/>
    <w:rsid w:val="00013B56"/>
    <w:rsid w:val="00013BA7"/>
    <w:rsid w:val="00013BC2"/>
    <w:rsid w:val="000140C6"/>
    <w:rsid w:val="00015A8C"/>
    <w:rsid w:val="00016764"/>
    <w:rsid w:val="00016911"/>
    <w:rsid w:val="00016955"/>
    <w:rsid w:val="00016CA8"/>
    <w:rsid w:val="00016E09"/>
    <w:rsid w:val="00016F8C"/>
    <w:rsid w:val="00017094"/>
    <w:rsid w:val="0001777B"/>
    <w:rsid w:val="00017A85"/>
    <w:rsid w:val="0002007F"/>
    <w:rsid w:val="00020519"/>
    <w:rsid w:val="00020ADD"/>
    <w:rsid w:val="00021472"/>
    <w:rsid w:val="000215AD"/>
    <w:rsid w:val="00021BAD"/>
    <w:rsid w:val="00021C26"/>
    <w:rsid w:val="00022545"/>
    <w:rsid w:val="000234BF"/>
    <w:rsid w:val="00023BA3"/>
    <w:rsid w:val="00023D72"/>
    <w:rsid w:val="0002403C"/>
    <w:rsid w:val="00024103"/>
    <w:rsid w:val="000244AB"/>
    <w:rsid w:val="00024778"/>
    <w:rsid w:val="00025105"/>
    <w:rsid w:val="0002572B"/>
    <w:rsid w:val="000258A2"/>
    <w:rsid w:val="00025AB5"/>
    <w:rsid w:val="00025DA6"/>
    <w:rsid w:val="000260EC"/>
    <w:rsid w:val="000264E6"/>
    <w:rsid w:val="000265F8"/>
    <w:rsid w:val="00027176"/>
    <w:rsid w:val="00030AC0"/>
    <w:rsid w:val="00030B1F"/>
    <w:rsid w:val="00030E9E"/>
    <w:rsid w:val="00031A5F"/>
    <w:rsid w:val="000321D3"/>
    <w:rsid w:val="00032262"/>
    <w:rsid w:val="00032570"/>
    <w:rsid w:val="00033194"/>
    <w:rsid w:val="00033656"/>
    <w:rsid w:val="00033DB1"/>
    <w:rsid w:val="00034B00"/>
    <w:rsid w:val="00035811"/>
    <w:rsid w:val="00036295"/>
    <w:rsid w:val="00036492"/>
    <w:rsid w:val="000368F2"/>
    <w:rsid w:val="00036CE0"/>
    <w:rsid w:val="0003765E"/>
    <w:rsid w:val="00037678"/>
    <w:rsid w:val="000377C9"/>
    <w:rsid w:val="000378A1"/>
    <w:rsid w:val="00037D85"/>
    <w:rsid w:val="000400A8"/>
    <w:rsid w:val="0004033A"/>
    <w:rsid w:val="00040896"/>
    <w:rsid w:val="00040A2E"/>
    <w:rsid w:val="0004174E"/>
    <w:rsid w:val="00041903"/>
    <w:rsid w:val="00042615"/>
    <w:rsid w:val="00042875"/>
    <w:rsid w:val="00042FB0"/>
    <w:rsid w:val="00043335"/>
    <w:rsid w:val="0004341A"/>
    <w:rsid w:val="000434B3"/>
    <w:rsid w:val="00043A32"/>
    <w:rsid w:val="000440BD"/>
    <w:rsid w:val="00044DB3"/>
    <w:rsid w:val="000450CF"/>
    <w:rsid w:val="0004544F"/>
    <w:rsid w:val="000454EF"/>
    <w:rsid w:val="0004566D"/>
    <w:rsid w:val="0004595F"/>
    <w:rsid w:val="00046124"/>
    <w:rsid w:val="0004617F"/>
    <w:rsid w:val="00046EB4"/>
    <w:rsid w:val="000471BB"/>
    <w:rsid w:val="00050263"/>
    <w:rsid w:val="00050334"/>
    <w:rsid w:val="000503F1"/>
    <w:rsid w:val="00050699"/>
    <w:rsid w:val="00050D77"/>
    <w:rsid w:val="00051121"/>
    <w:rsid w:val="00051EC5"/>
    <w:rsid w:val="00053048"/>
    <w:rsid w:val="00053330"/>
    <w:rsid w:val="00054859"/>
    <w:rsid w:val="00054C6E"/>
    <w:rsid w:val="00055328"/>
    <w:rsid w:val="000558BE"/>
    <w:rsid w:val="000564D5"/>
    <w:rsid w:val="00056A8D"/>
    <w:rsid w:val="00056DE7"/>
    <w:rsid w:val="00057D6F"/>
    <w:rsid w:val="000603AC"/>
    <w:rsid w:val="00060614"/>
    <w:rsid w:val="00060D57"/>
    <w:rsid w:val="00060DB7"/>
    <w:rsid w:val="00061199"/>
    <w:rsid w:val="000615F8"/>
    <w:rsid w:val="000619F0"/>
    <w:rsid w:val="00062DE0"/>
    <w:rsid w:val="000636B1"/>
    <w:rsid w:val="000637FA"/>
    <w:rsid w:val="00063916"/>
    <w:rsid w:val="00063BAF"/>
    <w:rsid w:val="000649A5"/>
    <w:rsid w:val="0006688C"/>
    <w:rsid w:val="00066AE6"/>
    <w:rsid w:val="00067E05"/>
    <w:rsid w:val="00070C61"/>
    <w:rsid w:val="0007158F"/>
    <w:rsid w:val="00071618"/>
    <w:rsid w:val="00071948"/>
    <w:rsid w:val="00071DE2"/>
    <w:rsid w:val="00072091"/>
    <w:rsid w:val="000724CA"/>
    <w:rsid w:val="00072823"/>
    <w:rsid w:val="00072862"/>
    <w:rsid w:val="00073348"/>
    <w:rsid w:val="00073A3D"/>
    <w:rsid w:val="00073AE7"/>
    <w:rsid w:val="00074065"/>
    <w:rsid w:val="0007412E"/>
    <w:rsid w:val="00075651"/>
    <w:rsid w:val="00076AFA"/>
    <w:rsid w:val="00076B4A"/>
    <w:rsid w:val="000771C8"/>
    <w:rsid w:val="000773ED"/>
    <w:rsid w:val="000774B5"/>
    <w:rsid w:val="000777CE"/>
    <w:rsid w:val="00077CC3"/>
    <w:rsid w:val="0008050D"/>
    <w:rsid w:val="0008055C"/>
    <w:rsid w:val="00080607"/>
    <w:rsid w:val="000806A2"/>
    <w:rsid w:val="00080A08"/>
    <w:rsid w:val="00080A7A"/>
    <w:rsid w:val="00081A0C"/>
    <w:rsid w:val="00081B8A"/>
    <w:rsid w:val="00081EC2"/>
    <w:rsid w:val="000828C8"/>
    <w:rsid w:val="0008303B"/>
    <w:rsid w:val="0008343C"/>
    <w:rsid w:val="000835C3"/>
    <w:rsid w:val="0008369A"/>
    <w:rsid w:val="000839BC"/>
    <w:rsid w:val="00083BF9"/>
    <w:rsid w:val="0008402B"/>
    <w:rsid w:val="000840D2"/>
    <w:rsid w:val="000843CA"/>
    <w:rsid w:val="00084958"/>
    <w:rsid w:val="00084E5A"/>
    <w:rsid w:val="00084EF8"/>
    <w:rsid w:val="00085071"/>
    <w:rsid w:val="00085AC6"/>
    <w:rsid w:val="00085D54"/>
    <w:rsid w:val="00085E70"/>
    <w:rsid w:val="00085F1C"/>
    <w:rsid w:val="00085F94"/>
    <w:rsid w:val="00086358"/>
    <w:rsid w:val="000865E7"/>
    <w:rsid w:val="00086AD9"/>
    <w:rsid w:val="00086BAC"/>
    <w:rsid w:val="00087106"/>
    <w:rsid w:val="000873F7"/>
    <w:rsid w:val="00087850"/>
    <w:rsid w:val="00087883"/>
    <w:rsid w:val="00087A7C"/>
    <w:rsid w:val="000910F8"/>
    <w:rsid w:val="00091965"/>
    <w:rsid w:val="00091CD9"/>
    <w:rsid w:val="00091F45"/>
    <w:rsid w:val="00092B24"/>
    <w:rsid w:val="00092F76"/>
    <w:rsid w:val="00093EB2"/>
    <w:rsid w:val="00094052"/>
    <w:rsid w:val="00094DB7"/>
    <w:rsid w:val="00095686"/>
    <w:rsid w:val="00095CDB"/>
    <w:rsid w:val="00096189"/>
    <w:rsid w:val="00096487"/>
    <w:rsid w:val="00096C4F"/>
    <w:rsid w:val="00096CD8"/>
    <w:rsid w:val="00096EA2"/>
    <w:rsid w:val="00096FE6"/>
    <w:rsid w:val="000A042E"/>
    <w:rsid w:val="000A0850"/>
    <w:rsid w:val="000A08DD"/>
    <w:rsid w:val="000A0A98"/>
    <w:rsid w:val="000A16E4"/>
    <w:rsid w:val="000A19EF"/>
    <w:rsid w:val="000A1C42"/>
    <w:rsid w:val="000A1FDD"/>
    <w:rsid w:val="000A2009"/>
    <w:rsid w:val="000A29CD"/>
    <w:rsid w:val="000A2A96"/>
    <w:rsid w:val="000A2B12"/>
    <w:rsid w:val="000A3336"/>
    <w:rsid w:val="000A335A"/>
    <w:rsid w:val="000A377F"/>
    <w:rsid w:val="000A38BA"/>
    <w:rsid w:val="000A40D9"/>
    <w:rsid w:val="000A5859"/>
    <w:rsid w:val="000A5985"/>
    <w:rsid w:val="000A5BEA"/>
    <w:rsid w:val="000A5D7A"/>
    <w:rsid w:val="000A66D6"/>
    <w:rsid w:val="000A67BA"/>
    <w:rsid w:val="000A786E"/>
    <w:rsid w:val="000B007C"/>
    <w:rsid w:val="000B0135"/>
    <w:rsid w:val="000B090F"/>
    <w:rsid w:val="000B09F8"/>
    <w:rsid w:val="000B1499"/>
    <w:rsid w:val="000B2619"/>
    <w:rsid w:val="000B2ABB"/>
    <w:rsid w:val="000B2B11"/>
    <w:rsid w:val="000B34EC"/>
    <w:rsid w:val="000B3617"/>
    <w:rsid w:val="000B4828"/>
    <w:rsid w:val="000B5781"/>
    <w:rsid w:val="000B5D21"/>
    <w:rsid w:val="000B62B4"/>
    <w:rsid w:val="000B6BB2"/>
    <w:rsid w:val="000B7F50"/>
    <w:rsid w:val="000B7FD8"/>
    <w:rsid w:val="000C0D6F"/>
    <w:rsid w:val="000C0EDD"/>
    <w:rsid w:val="000C1383"/>
    <w:rsid w:val="000C1CEF"/>
    <w:rsid w:val="000C2056"/>
    <w:rsid w:val="000C2062"/>
    <w:rsid w:val="000C234F"/>
    <w:rsid w:val="000C2D97"/>
    <w:rsid w:val="000C2DE6"/>
    <w:rsid w:val="000C318B"/>
    <w:rsid w:val="000C3316"/>
    <w:rsid w:val="000C3693"/>
    <w:rsid w:val="000C3755"/>
    <w:rsid w:val="000C3DC9"/>
    <w:rsid w:val="000C41B0"/>
    <w:rsid w:val="000C42DC"/>
    <w:rsid w:val="000C4706"/>
    <w:rsid w:val="000C496B"/>
    <w:rsid w:val="000C4A7E"/>
    <w:rsid w:val="000C51D1"/>
    <w:rsid w:val="000C57D8"/>
    <w:rsid w:val="000C5F34"/>
    <w:rsid w:val="000C652A"/>
    <w:rsid w:val="000C6C15"/>
    <w:rsid w:val="000C6DEE"/>
    <w:rsid w:val="000C7185"/>
    <w:rsid w:val="000C736A"/>
    <w:rsid w:val="000C737C"/>
    <w:rsid w:val="000C7768"/>
    <w:rsid w:val="000C788F"/>
    <w:rsid w:val="000C7AF1"/>
    <w:rsid w:val="000C7B1C"/>
    <w:rsid w:val="000C7F14"/>
    <w:rsid w:val="000D0DE0"/>
    <w:rsid w:val="000D0EB4"/>
    <w:rsid w:val="000D12CC"/>
    <w:rsid w:val="000D1459"/>
    <w:rsid w:val="000D1AD4"/>
    <w:rsid w:val="000D1E82"/>
    <w:rsid w:val="000D2C17"/>
    <w:rsid w:val="000D2FAD"/>
    <w:rsid w:val="000D31A9"/>
    <w:rsid w:val="000D36E2"/>
    <w:rsid w:val="000D381D"/>
    <w:rsid w:val="000D3A9F"/>
    <w:rsid w:val="000D3B43"/>
    <w:rsid w:val="000D3CE7"/>
    <w:rsid w:val="000D62E7"/>
    <w:rsid w:val="000D704A"/>
    <w:rsid w:val="000D7491"/>
    <w:rsid w:val="000D770E"/>
    <w:rsid w:val="000D78A5"/>
    <w:rsid w:val="000E05D9"/>
    <w:rsid w:val="000E0B46"/>
    <w:rsid w:val="000E1191"/>
    <w:rsid w:val="000E19C8"/>
    <w:rsid w:val="000E2825"/>
    <w:rsid w:val="000E2A7C"/>
    <w:rsid w:val="000E3A4A"/>
    <w:rsid w:val="000E3C92"/>
    <w:rsid w:val="000E4031"/>
    <w:rsid w:val="000E417B"/>
    <w:rsid w:val="000E4947"/>
    <w:rsid w:val="000E498E"/>
    <w:rsid w:val="000E4C16"/>
    <w:rsid w:val="000E4C2C"/>
    <w:rsid w:val="000E5238"/>
    <w:rsid w:val="000E5533"/>
    <w:rsid w:val="000E58EF"/>
    <w:rsid w:val="000E6896"/>
    <w:rsid w:val="000E6C95"/>
    <w:rsid w:val="000E6E45"/>
    <w:rsid w:val="000E7578"/>
    <w:rsid w:val="000E7658"/>
    <w:rsid w:val="000E79CE"/>
    <w:rsid w:val="000E7A6B"/>
    <w:rsid w:val="000E7E04"/>
    <w:rsid w:val="000F00CA"/>
    <w:rsid w:val="000F0188"/>
    <w:rsid w:val="000F0454"/>
    <w:rsid w:val="000F14A4"/>
    <w:rsid w:val="000F1D2D"/>
    <w:rsid w:val="000F1DB0"/>
    <w:rsid w:val="000F344C"/>
    <w:rsid w:val="000F3505"/>
    <w:rsid w:val="000F36CE"/>
    <w:rsid w:val="000F4E4E"/>
    <w:rsid w:val="000F5793"/>
    <w:rsid w:val="000F5EC1"/>
    <w:rsid w:val="000F5F9E"/>
    <w:rsid w:val="000F6145"/>
    <w:rsid w:val="000F6528"/>
    <w:rsid w:val="000F6699"/>
    <w:rsid w:val="000F68A4"/>
    <w:rsid w:val="000F68BC"/>
    <w:rsid w:val="000F68D2"/>
    <w:rsid w:val="000F6AE2"/>
    <w:rsid w:val="000F6D63"/>
    <w:rsid w:val="000F708E"/>
    <w:rsid w:val="000F716B"/>
    <w:rsid w:val="000F753A"/>
    <w:rsid w:val="000F7690"/>
    <w:rsid w:val="000F7D89"/>
    <w:rsid w:val="00100A28"/>
    <w:rsid w:val="00100BA2"/>
    <w:rsid w:val="0010151B"/>
    <w:rsid w:val="001016AC"/>
    <w:rsid w:val="00101EA6"/>
    <w:rsid w:val="001020AA"/>
    <w:rsid w:val="00102216"/>
    <w:rsid w:val="00103CE9"/>
    <w:rsid w:val="00103E34"/>
    <w:rsid w:val="00104085"/>
    <w:rsid w:val="00104533"/>
    <w:rsid w:val="00104D58"/>
    <w:rsid w:val="00104FB2"/>
    <w:rsid w:val="00106360"/>
    <w:rsid w:val="00106434"/>
    <w:rsid w:val="00106747"/>
    <w:rsid w:val="00106E2C"/>
    <w:rsid w:val="00107E3A"/>
    <w:rsid w:val="00110187"/>
    <w:rsid w:val="00110754"/>
    <w:rsid w:val="001110DD"/>
    <w:rsid w:val="001114E0"/>
    <w:rsid w:val="00111922"/>
    <w:rsid w:val="00112077"/>
    <w:rsid w:val="00112203"/>
    <w:rsid w:val="0011231F"/>
    <w:rsid w:val="00112596"/>
    <w:rsid w:val="001128CE"/>
    <w:rsid w:val="00112A9C"/>
    <w:rsid w:val="00112EEC"/>
    <w:rsid w:val="001132AC"/>
    <w:rsid w:val="00113C27"/>
    <w:rsid w:val="00114695"/>
    <w:rsid w:val="0011495F"/>
    <w:rsid w:val="001150DB"/>
    <w:rsid w:val="00115DB4"/>
    <w:rsid w:val="001165A3"/>
    <w:rsid w:val="00116662"/>
    <w:rsid w:val="0011684D"/>
    <w:rsid w:val="0011768F"/>
    <w:rsid w:val="00120073"/>
    <w:rsid w:val="001203B5"/>
    <w:rsid w:val="00121E0E"/>
    <w:rsid w:val="00122072"/>
    <w:rsid w:val="00122D5A"/>
    <w:rsid w:val="00123DA2"/>
    <w:rsid w:val="0012402F"/>
    <w:rsid w:val="001243BB"/>
    <w:rsid w:val="0012455E"/>
    <w:rsid w:val="00124732"/>
    <w:rsid w:val="00124945"/>
    <w:rsid w:val="001250AD"/>
    <w:rsid w:val="00125685"/>
    <w:rsid w:val="00125A25"/>
    <w:rsid w:val="00125CCC"/>
    <w:rsid w:val="0012603B"/>
    <w:rsid w:val="00126080"/>
    <w:rsid w:val="0012635D"/>
    <w:rsid w:val="001266AA"/>
    <w:rsid w:val="001267F6"/>
    <w:rsid w:val="00126CED"/>
    <w:rsid w:val="00126E4E"/>
    <w:rsid w:val="00126F0B"/>
    <w:rsid w:val="00127619"/>
    <w:rsid w:val="00127EF5"/>
    <w:rsid w:val="001308DF"/>
    <w:rsid w:val="001309ED"/>
    <w:rsid w:val="00130A30"/>
    <w:rsid w:val="00130A62"/>
    <w:rsid w:val="00130B59"/>
    <w:rsid w:val="00130B67"/>
    <w:rsid w:val="001313C4"/>
    <w:rsid w:val="0013219A"/>
    <w:rsid w:val="001323DC"/>
    <w:rsid w:val="001327BD"/>
    <w:rsid w:val="00132E9D"/>
    <w:rsid w:val="00133141"/>
    <w:rsid w:val="00133671"/>
    <w:rsid w:val="00133681"/>
    <w:rsid w:val="0013426A"/>
    <w:rsid w:val="00134F17"/>
    <w:rsid w:val="00135159"/>
    <w:rsid w:val="00135B66"/>
    <w:rsid w:val="00135ECD"/>
    <w:rsid w:val="00136D4F"/>
    <w:rsid w:val="00136DF0"/>
    <w:rsid w:val="00136FCD"/>
    <w:rsid w:val="001376FB"/>
    <w:rsid w:val="00137A78"/>
    <w:rsid w:val="0014019B"/>
    <w:rsid w:val="00140243"/>
    <w:rsid w:val="00140277"/>
    <w:rsid w:val="00140561"/>
    <w:rsid w:val="001405D4"/>
    <w:rsid w:val="0014092A"/>
    <w:rsid w:val="001409A4"/>
    <w:rsid w:val="00140B15"/>
    <w:rsid w:val="00140C69"/>
    <w:rsid w:val="00140D9F"/>
    <w:rsid w:val="001411ED"/>
    <w:rsid w:val="00141FF7"/>
    <w:rsid w:val="00142261"/>
    <w:rsid w:val="001443B7"/>
    <w:rsid w:val="001444EB"/>
    <w:rsid w:val="0014470B"/>
    <w:rsid w:val="001449E6"/>
    <w:rsid w:val="00144DB8"/>
    <w:rsid w:val="00145AA0"/>
    <w:rsid w:val="0014613F"/>
    <w:rsid w:val="0014713A"/>
    <w:rsid w:val="00147A91"/>
    <w:rsid w:val="00147C86"/>
    <w:rsid w:val="0015001A"/>
    <w:rsid w:val="001508C0"/>
    <w:rsid w:val="00150FC9"/>
    <w:rsid w:val="001513FA"/>
    <w:rsid w:val="00151671"/>
    <w:rsid w:val="00151690"/>
    <w:rsid w:val="00151BF5"/>
    <w:rsid w:val="00151FAA"/>
    <w:rsid w:val="001521FB"/>
    <w:rsid w:val="001524E2"/>
    <w:rsid w:val="001526FD"/>
    <w:rsid w:val="00152834"/>
    <w:rsid w:val="00152DBD"/>
    <w:rsid w:val="00152E8B"/>
    <w:rsid w:val="00152EBF"/>
    <w:rsid w:val="00154C30"/>
    <w:rsid w:val="001552BE"/>
    <w:rsid w:val="0015537B"/>
    <w:rsid w:val="0015540B"/>
    <w:rsid w:val="0015549D"/>
    <w:rsid w:val="00155A93"/>
    <w:rsid w:val="00155C44"/>
    <w:rsid w:val="0015657F"/>
    <w:rsid w:val="00156947"/>
    <w:rsid w:val="00157381"/>
    <w:rsid w:val="0015739D"/>
    <w:rsid w:val="0015742E"/>
    <w:rsid w:val="00157644"/>
    <w:rsid w:val="0015777F"/>
    <w:rsid w:val="00157817"/>
    <w:rsid w:val="001578B4"/>
    <w:rsid w:val="001578D2"/>
    <w:rsid w:val="001602AD"/>
    <w:rsid w:val="00160A2E"/>
    <w:rsid w:val="001611C7"/>
    <w:rsid w:val="0016198F"/>
    <w:rsid w:val="00161B84"/>
    <w:rsid w:val="00162A7B"/>
    <w:rsid w:val="00163235"/>
    <w:rsid w:val="0016456A"/>
    <w:rsid w:val="00164655"/>
    <w:rsid w:val="00164B94"/>
    <w:rsid w:val="00165B84"/>
    <w:rsid w:val="001663B4"/>
    <w:rsid w:val="00167A0E"/>
    <w:rsid w:val="00167C94"/>
    <w:rsid w:val="001703FE"/>
    <w:rsid w:val="00171329"/>
    <w:rsid w:val="00171959"/>
    <w:rsid w:val="00171B3A"/>
    <w:rsid w:val="001727BE"/>
    <w:rsid w:val="00172843"/>
    <w:rsid w:val="0017298C"/>
    <w:rsid w:val="00173189"/>
    <w:rsid w:val="001735DA"/>
    <w:rsid w:val="001736FC"/>
    <w:rsid w:val="00173818"/>
    <w:rsid w:val="00173F3A"/>
    <w:rsid w:val="00174093"/>
    <w:rsid w:val="0017415A"/>
    <w:rsid w:val="00174236"/>
    <w:rsid w:val="001743D6"/>
    <w:rsid w:val="0017473C"/>
    <w:rsid w:val="00174E03"/>
    <w:rsid w:val="0017528F"/>
    <w:rsid w:val="00175648"/>
    <w:rsid w:val="00175949"/>
    <w:rsid w:val="00175B9C"/>
    <w:rsid w:val="00175C79"/>
    <w:rsid w:val="00177321"/>
    <w:rsid w:val="00177CF5"/>
    <w:rsid w:val="00177D03"/>
    <w:rsid w:val="00177FA3"/>
    <w:rsid w:val="0018058D"/>
    <w:rsid w:val="00180853"/>
    <w:rsid w:val="00180ED7"/>
    <w:rsid w:val="00181944"/>
    <w:rsid w:val="00181FED"/>
    <w:rsid w:val="00182738"/>
    <w:rsid w:val="00183BCA"/>
    <w:rsid w:val="00183D3E"/>
    <w:rsid w:val="00184086"/>
    <w:rsid w:val="00184899"/>
    <w:rsid w:val="00184C35"/>
    <w:rsid w:val="001859CD"/>
    <w:rsid w:val="00185EC0"/>
    <w:rsid w:val="00185ECC"/>
    <w:rsid w:val="00186105"/>
    <w:rsid w:val="001869C1"/>
    <w:rsid w:val="0018744B"/>
    <w:rsid w:val="00190B95"/>
    <w:rsid w:val="00191383"/>
    <w:rsid w:val="001920EC"/>
    <w:rsid w:val="0019228B"/>
    <w:rsid w:val="00192389"/>
    <w:rsid w:val="001930D0"/>
    <w:rsid w:val="00194A2D"/>
    <w:rsid w:val="00194C2B"/>
    <w:rsid w:val="00195955"/>
    <w:rsid w:val="001959CD"/>
    <w:rsid w:val="00195A3C"/>
    <w:rsid w:val="00195BFC"/>
    <w:rsid w:val="00195EFE"/>
    <w:rsid w:val="00196EDE"/>
    <w:rsid w:val="00197716"/>
    <w:rsid w:val="001A05F8"/>
    <w:rsid w:val="001A1127"/>
    <w:rsid w:val="001A19D0"/>
    <w:rsid w:val="001A2282"/>
    <w:rsid w:val="001A2A0A"/>
    <w:rsid w:val="001A304E"/>
    <w:rsid w:val="001A3B5C"/>
    <w:rsid w:val="001A4482"/>
    <w:rsid w:val="001A4ACB"/>
    <w:rsid w:val="001A4D91"/>
    <w:rsid w:val="001A545C"/>
    <w:rsid w:val="001A5891"/>
    <w:rsid w:val="001A5959"/>
    <w:rsid w:val="001A59B3"/>
    <w:rsid w:val="001A5AFC"/>
    <w:rsid w:val="001A5B89"/>
    <w:rsid w:val="001A60CE"/>
    <w:rsid w:val="001A6699"/>
    <w:rsid w:val="001A70AC"/>
    <w:rsid w:val="001A73B3"/>
    <w:rsid w:val="001A7A95"/>
    <w:rsid w:val="001B010E"/>
    <w:rsid w:val="001B04DA"/>
    <w:rsid w:val="001B04F6"/>
    <w:rsid w:val="001B098B"/>
    <w:rsid w:val="001B0E39"/>
    <w:rsid w:val="001B0F91"/>
    <w:rsid w:val="001B151E"/>
    <w:rsid w:val="001B2099"/>
    <w:rsid w:val="001B2915"/>
    <w:rsid w:val="001B2B87"/>
    <w:rsid w:val="001B2D41"/>
    <w:rsid w:val="001B2DC5"/>
    <w:rsid w:val="001B320E"/>
    <w:rsid w:val="001B3905"/>
    <w:rsid w:val="001B4BA7"/>
    <w:rsid w:val="001B4D5E"/>
    <w:rsid w:val="001B4D74"/>
    <w:rsid w:val="001B4F84"/>
    <w:rsid w:val="001B543D"/>
    <w:rsid w:val="001B5C33"/>
    <w:rsid w:val="001B5D93"/>
    <w:rsid w:val="001B60FA"/>
    <w:rsid w:val="001B6629"/>
    <w:rsid w:val="001B6730"/>
    <w:rsid w:val="001B6F03"/>
    <w:rsid w:val="001B7286"/>
    <w:rsid w:val="001B741D"/>
    <w:rsid w:val="001B7BCB"/>
    <w:rsid w:val="001B7CC6"/>
    <w:rsid w:val="001C0062"/>
    <w:rsid w:val="001C08E5"/>
    <w:rsid w:val="001C12D4"/>
    <w:rsid w:val="001C21B6"/>
    <w:rsid w:val="001C2648"/>
    <w:rsid w:val="001C2E6F"/>
    <w:rsid w:val="001C34FB"/>
    <w:rsid w:val="001C3553"/>
    <w:rsid w:val="001C3961"/>
    <w:rsid w:val="001C46F0"/>
    <w:rsid w:val="001C4799"/>
    <w:rsid w:val="001C4918"/>
    <w:rsid w:val="001C4AD0"/>
    <w:rsid w:val="001C4B03"/>
    <w:rsid w:val="001C5357"/>
    <w:rsid w:val="001C565C"/>
    <w:rsid w:val="001C59F2"/>
    <w:rsid w:val="001C5AC4"/>
    <w:rsid w:val="001C5CE4"/>
    <w:rsid w:val="001C6CC0"/>
    <w:rsid w:val="001C6DC9"/>
    <w:rsid w:val="001C7284"/>
    <w:rsid w:val="001C766B"/>
    <w:rsid w:val="001C7A13"/>
    <w:rsid w:val="001C7A36"/>
    <w:rsid w:val="001C7CC5"/>
    <w:rsid w:val="001C7D33"/>
    <w:rsid w:val="001D006E"/>
    <w:rsid w:val="001D01C7"/>
    <w:rsid w:val="001D07EE"/>
    <w:rsid w:val="001D0D70"/>
    <w:rsid w:val="001D1671"/>
    <w:rsid w:val="001D1B5B"/>
    <w:rsid w:val="001D1BD7"/>
    <w:rsid w:val="001D1E96"/>
    <w:rsid w:val="001D2405"/>
    <w:rsid w:val="001D288D"/>
    <w:rsid w:val="001D2C68"/>
    <w:rsid w:val="001D377D"/>
    <w:rsid w:val="001D4134"/>
    <w:rsid w:val="001D460D"/>
    <w:rsid w:val="001D5B99"/>
    <w:rsid w:val="001D6006"/>
    <w:rsid w:val="001D66A3"/>
    <w:rsid w:val="001D7AB8"/>
    <w:rsid w:val="001E08FC"/>
    <w:rsid w:val="001E0B32"/>
    <w:rsid w:val="001E0BA8"/>
    <w:rsid w:val="001E0D95"/>
    <w:rsid w:val="001E13B0"/>
    <w:rsid w:val="001E20AC"/>
    <w:rsid w:val="001E262D"/>
    <w:rsid w:val="001E300A"/>
    <w:rsid w:val="001E3737"/>
    <w:rsid w:val="001E3871"/>
    <w:rsid w:val="001E3935"/>
    <w:rsid w:val="001E3BE5"/>
    <w:rsid w:val="001E3BFC"/>
    <w:rsid w:val="001E4438"/>
    <w:rsid w:val="001E4BA8"/>
    <w:rsid w:val="001E53BA"/>
    <w:rsid w:val="001E545F"/>
    <w:rsid w:val="001E604B"/>
    <w:rsid w:val="001E66FE"/>
    <w:rsid w:val="001E6E73"/>
    <w:rsid w:val="001E721E"/>
    <w:rsid w:val="001E7B91"/>
    <w:rsid w:val="001F074C"/>
    <w:rsid w:val="001F0A94"/>
    <w:rsid w:val="001F0D9A"/>
    <w:rsid w:val="001F1271"/>
    <w:rsid w:val="001F14F7"/>
    <w:rsid w:val="001F20FF"/>
    <w:rsid w:val="001F2581"/>
    <w:rsid w:val="001F2726"/>
    <w:rsid w:val="001F28CC"/>
    <w:rsid w:val="001F3255"/>
    <w:rsid w:val="001F34B4"/>
    <w:rsid w:val="001F3D0D"/>
    <w:rsid w:val="001F438F"/>
    <w:rsid w:val="001F445F"/>
    <w:rsid w:val="001F4938"/>
    <w:rsid w:val="001F4E17"/>
    <w:rsid w:val="001F57EB"/>
    <w:rsid w:val="001F580C"/>
    <w:rsid w:val="001F5C35"/>
    <w:rsid w:val="001F6300"/>
    <w:rsid w:val="001F673B"/>
    <w:rsid w:val="00200141"/>
    <w:rsid w:val="002004E0"/>
    <w:rsid w:val="002009A0"/>
    <w:rsid w:val="00200A3B"/>
    <w:rsid w:val="00200D0C"/>
    <w:rsid w:val="002010CA"/>
    <w:rsid w:val="002016C7"/>
    <w:rsid w:val="002017AB"/>
    <w:rsid w:val="00201BCE"/>
    <w:rsid w:val="00201FBE"/>
    <w:rsid w:val="00202571"/>
    <w:rsid w:val="002029A6"/>
    <w:rsid w:val="00203023"/>
    <w:rsid w:val="00203634"/>
    <w:rsid w:val="00203964"/>
    <w:rsid w:val="002041ED"/>
    <w:rsid w:val="00205C16"/>
    <w:rsid w:val="002060BD"/>
    <w:rsid w:val="00206167"/>
    <w:rsid w:val="0020634E"/>
    <w:rsid w:val="00207076"/>
    <w:rsid w:val="00207645"/>
    <w:rsid w:val="00207CD4"/>
    <w:rsid w:val="002100FF"/>
    <w:rsid w:val="00210A59"/>
    <w:rsid w:val="00211235"/>
    <w:rsid w:val="00211979"/>
    <w:rsid w:val="0021201C"/>
    <w:rsid w:val="00212445"/>
    <w:rsid w:val="00213894"/>
    <w:rsid w:val="00213FA6"/>
    <w:rsid w:val="00214384"/>
    <w:rsid w:val="002152E1"/>
    <w:rsid w:val="002155A1"/>
    <w:rsid w:val="002163D7"/>
    <w:rsid w:val="00216779"/>
    <w:rsid w:val="00216D91"/>
    <w:rsid w:val="00216FF5"/>
    <w:rsid w:val="002171A4"/>
    <w:rsid w:val="00217D49"/>
    <w:rsid w:val="0022014B"/>
    <w:rsid w:val="002202C3"/>
    <w:rsid w:val="002206F4"/>
    <w:rsid w:val="00220E58"/>
    <w:rsid w:val="00221323"/>
    <w:rsid w:val="00221460"/>
    <w:rsid w:val="002220F0"/>
    <w:rsid w:val="00222256"/>
    <w:rsid w:val="00222817"/>
    <w:rsid w:val="002230D3"/>
    <w:rsid w:val="002236FB"/>
    <w:rsid w:val="00224438"/>
    <w:rsid w:val="00224C97"/>
    <w:rsid w:val="00224DAA"/>
    <w:rsid w:val="002250E8"/>
    <w:rsid w:val="002253DA"/>
    <w:rsid w:val="0022541A"/>
    <w:rsid w:val="00225804"/>
    <w:rsid w:val="00225956"/>
    <w:rsid w:val="00225AB7"/>
    <w:rsid w:val="00225BF7"/>
    <w:rsid w:val="00225E6F"/>
    <w:rsid w:val="002261B9"/>
    <w:rsid w:val="0022704C"/>
    <w:rsid w:val="002273AC"/>
    <w:rsid w:val="002302C1"/>
    <w:rsid w:val="002307C7"/>
    <w:rsid w:val="002309E8"/>
    <w:rsid w:val="00230F55"/>
    <w:rsid w:val="00230FDC"/>
    <w:rsid w:val="0023111D"/>
    <w:rsid w:val="00231713"/>
    <w:rsid w:val="00232089"/>
    <w:rsid w:val="002321B0"/>
    <w:rsid w:val="0023245B"/>
    <w:rsid w:val="00232EE8"/>
    <w:rsid w:val="00233213"/>
    <w:rsid w:val="00233BB3"/>
    <w:rsid w:val="00233C9E"/>
    <w:rsid w:val="00233FBF"/>
    <w:rsid w:val="00234AD8"/>
    <w:rsid w:val="00234E25"/>
    <w:rsid w:val="00235197"/>
    <w:rsid w:val="0023533A"/>
    <w:rsid w:val="00235551"/>
    <w:rsid w:val="002356F8"/>
    <w:rsid w:val="00235F02"/>
    <w:rsid w:val="00236D74"/>
    <w:rsid w:val="00236E53"/>
    <w:rsid w:val="00236EB5"/>
    <w:rsid w:val="00237008"/>
    <w:rsid w:val="00237445"/>
    <w:rsid w:val="00237469"/>
    <w:rsid w:val="00237873"/>
    <w:rsid w:val="002379A3"/>
    <w:rsid w:val="00237DF4"/>
    <w:rsid w:val="00237F97"/>
    <w:rsid w:val="002411F6"/>
    <w:rsid w:val="00241261"/>
    <w:rsid w:val="00241EE5"/>
    <w:rsid w:val="00242900"/>
    <w:rsid w:val="00242E2B"/>
    <w:rsid w:val="00243268"/>
    <w:rsid w:val="00243389"/>
    <w:rsid w:val="0024343C"/>
    <w:rsid w:val="002435D2"/>
    <w:rsid w:val="0024378B"/>
    <w:rsid w:val="00244030"/>
    <w:rsid w:val="002445FB"/>
    <w:rsid w:val="002448D1"/>
    <w:rsid w:val="002448EC"/>
    <w:rsid w:val="00244ECE"/>
    <w:rsid w:val="00245486"/>
    <w:rsid w:val="00245676"/>
    <w:rsid w:val="00245BB8"/>
    <w:rsid w:val="00246252"/>
    <w:rsid w:val="002466BF"/>
    <w:rsid w:val="00246B3D"/>
    <w:rsid w:val="00246C83"/>
    <w:rsid w:val="00246D04"/>
    <w:rsid w:val="00246EF7"/>
    <w:rsid w:val="00246F51"/>
    <w:rsid w:val="002472EE"/>
    <w:rsid w:val="00247DE2"/>
    <w:rsid w:val="0025089D"/>
    <w:rsid w:val="0025110E"/>
    <w:rsid w:val="00251829"/>
    <w:rsid w:val="0025229A"/>
    <w:rsid w:val="0025284D"/>
    <w:rsid w:val="00252AB0"/>
    <w:rsid w:val="00253069"/>
    <w:rsid w:val="0025325B"/>
    <w:rsid w:val="0025354E"/>
    <w:rsid w:val="00253E52"/>
    <w:rsid w:val="00254A69"/>
    <w:rsid w:val="00255928"/>
    <w:rsid w:val="00255FB1"/>
    <w:rsid w:val="00256526"/>
    <w:rsid w:val="0025736F"/>
    <w:rsid w:val="00257687"/>
    <w:rsid w:val="00257736"/>
    <w:rsid w:val="0025798F"/>
    <w:rsid w:val="00257CCB"/>
    <w:rsid w:val="00260547"/>
    <w:rsid w:val="0026147E"/>
    <w:rsid w:val="00261BFA"/>
    <w:rsid w:val="002630AA"/>
    <w:rsid w:val="00263495"/>
    <w:rsid w:val="00263784"/>
    <w:rsid w:val="00263DCB"/>
    <w:rsid w:val="00264158"/>
    <w:rsid w:val="002642DE"/>
    <w:rsid w:val="002646BF"/>
    <w:rsid w:val="002647B7"/>
    <w:rsid w:val="00264843"/>
    <w:rsid w:val="00264D0A"/>
    <w:rsid w:val="00264E3A"/>
    <w:rsid w:val="00264F82"/>
    <w:rsid w:val="002666E8"/>
    <w:rsid w:val="00267939"/>
    <w:rsid w:val="0026794A"/>
    <w:rsid w:val="00267A1F"/>
    <w:rsid w:val="00267D0A"/>
    <w:rsid w:val="00267DF4"/>
    <w:rsid w:val="00270821"/>
    <w:rsid w:val="002712BB"/>
    <w:rsid w:val="0027136B"/>
    <w:rsid w:val="0027162A"/>
    <w:rsid w:val="00271A4E"/>
    <w:rsid w:val="00271EE7"/>
    <w:rsid w:val="002720D6"/>
    <w:rsid w:val="002723E4"/>
    <w:rsid w:val="00272DC0"/>
    <w:rsid w:val="00274488"/>
    <w:rsid w:val="00274B61"/>
    <w:rsid w:val="00274E6A"/>
    <w:rsid w:val="00274FD8"/>
    <w:rsid w:val="00275235"/>
    <w:rsid w:val="0027579C"/>
    <w:rsid w:val="00275AEA"/>
    <w:rsid w:val="00275E87"/>
    <w:rsid w:val="00275F90"/>
    <w:rsid w:val="00276037"/>
    <w:rsid w:val="00276397"/>
    <w:rsid w:val="0027669E"/>
    <w:rsid w:val="00277690"/>
    <w:rsid w:val="00277B0A"/>
    <w:rsid w:val="0028020C"/>
    <w:rsid w:val="002803C3"/>
    <w:rsid w:val="00280755"/>
    <w:rsid w:val="00281640"/>
    <w:rsid w:val="00281CD9"/>
    <w:rsid w:val="00281D00"/>
    <w:rsid w:val="00282481"/>
    <w:rsid w:val="002825DC"/>
    <w:rsid w:val="0028366E"/>
    <w:rsid w:val="0028376A"/>
    <w:rsid w:val="002839D7"/>
    <w:rsid w:val="00283C85"/>
    <w:rsid w:val="00284CAB"/>
    <w:rsid w:val="00285932"/>
    <w:rsid w:val="00285BB1"/>
    <w:rsid w:val="00286001"/>
    <w:rsid w:val="00286223"/>
    <w:rsid w:val="0028630F"/>
    <w:rsid w:val="00286BBA"/>
    <w:rsid w:val="00286E46"/>
    <w:rsid w:val="00287E10"/>
    <w:rsid w:val="00290330"/>
    <w:rsid w:val="002906AF"/>
    <w:rsid w:val="002908CF"/>
    <w:rsid w:val="002914EC"/>
    <w:rsid w:val="0029211F"/>
    <w:rsid w:val="00292C4E"/>
    <w:rsid w:val="00292DDA"/>
    <w:rsid w:val="00292E0A"/>
    <w:rsid w:val="00292E3A"/>
    <w:rsid w:val="00293AAF"/>
    <w:rsid w:val="00293B1F"/>
    <w:rsid w:val="00293E8F"/>
    <w:rsid w:val="00293F44"/>
    <w:rsid w:val="002943FC"/>
    <w:rsid w:val="00294E3E"/>
    <w:rsid w:val="00295BBB"/>
    <w:rsid w:val="002961E2"/>
    <w:rsid w:val="0029623D"/>
    <w:rsid w:val="002962E2"/>
    <w:rsid w:val="00296C08"/>
    <w:rsid w:val="00297B41"/>
    <w:rsid w:val="002A0204"/>
    <w:rsid w:val="002A077E"/>
    <w:rsid w:val="002A0B8D"/>
    <w:rsid w:val="002A1402"/>
    <w:rsid w:val="002A1413"/>
    <w:rsid w:val="002A1522"/>
    <w:rsid w:val="002A1870"/>
    <w:rsid w:val="002A1B34"/>
    <w:rsid w:val="002A1DA4"/>
    <w:rsid w:val="002A2387"/>
    <w:rsid w:val="002A250B"/>
    <w:rsid w:val="002A2B00"/>
    <w:rsid w:val="002A2EB8"/>
    <w:rsid w:val="002A2FDC"/>
    <w:rsid w:val="002A3547"/>
    <w:rsid w:val="002A35D9"/>
    <w:rsid w:val="002A38B0"/>
    <w:rsid w:val="002A3A78"/>
    <w:rsid w:val="002A4EC8"/>
    <w:rsid w:val="002A53EA"/>
    <w:rsid w:val="002A5936"/>
    <w:rsid w:val="002A5F65"/>
    <w:rsid w:val="002A62C6"/>
    <w:rsid w:val="002A62ED"/>
    <w:rsid w:val="002A688F"/>
    <w:rsid w:val="002A6B7F"/>
    <w:rsid w:val="002A7C5C"/>
    <w:rsid w:val="002B045D"/>
    <w:rsid w:val="002B15B3"/>
    <w:rsid w:val="002B220A"/>
    <w:rsid w:val="002B2915"/>
    <w:rsid w:val="002B432B"/>
    <w:rsid w:val="002B4559"/>
    <w:rsid w:val="002B4D2F"/>
    <w:rsid w:val="002B4DAA"/>
    <w:rsid w:val="002B53C9"/>
    <w:rsid w:val="002B5FBB"/>
    <w:rsid w:val="002B612B"/>
    <w:rsid w:val="002B6359"/>
    <w:rsid w:val="002B69B6"/>
    <w:rsid w:val="002B6D1C"/>
    <w:rsid w:val="002B766D"/>
    <w:rsid w:val="002B7DDB"/>
    <w:rsid w:val="002C0752"/>
    <w:rsid w:val="002C0F34"/>
    <w:rsid w:val="002C10E7"/>
    <w:rsid w:val="002C1BD7"/>
    <w:rsid w:val="002C1C3A"/>
    <w:rsid w:val="002C24E4"/>
    <w:rsid w:val="002C2813"/>
    <w:rsid w:val="002C2E9F"/>
    <w:rsid w:val="002C375B"/>
    <w:rsid w:val="002C38E6"/>
    <w:rsid w:val="002C3C3E"/>
    <w:rsid w:val="002C4201"/>
    <w:rsid w:val="002C4557"/>
    <w:rsid w:val="002C49F5"/>
    <w:rsid w:val="002C4E8D"/>
    <w:rsid w:val="002C5021"/>
    <w:rsid w:val="002C5494"/>
    <w:rsid w:val="002C54D1"/>
    <w:rsid w:val="002C5A44"/>
    <w:rsid w:val="002C5C05"/>
    <w:rsid w:val="002C5C56"/>
    <w:rsid w:val="002C612B"/>
    <w:rsid w:val="002C6379"/>
    <w:rsid w:val="002C6FBF"/>
    <w:rsid w:val="002C7451"/>
    <w:rsid w:val="002C77F9"/>
    <w:rsid w:val="002C7A62"/>
    <w:rsid w:val="002C7C7F"/>
    <w:rsid w:val="002C7D2B"/>
    <w:rsid w:val="002D0C28"/>
    <w:rsid w:val="002D1B3E"/>
    <w:rsid w:val="002D1B4D"/>
    <w:rsid w:val="002D1C84"/>
    <w:rsid w:val="002D203E"/>
    <w:rsid w:val="002D21CF"/>
    <w:rsid w:val="002D2380"/>
    <w:rsid w:val="002D2D2E"/>
    <w:rsid w:val="002D2DF3"/>
    <w:rsid w:val="002D3184"/>
    <w:rsid w:val="002D31D4"/>
    <w:rsid w:val="002D32A2"/>
    <w:rsid w:val="002D33C7"/>
    <w:rsid w:val="002D43DC"/>
    <w:rsid w:val="002D4A01"/>
    <w:rsid w:val="002D4A98"/>
    <w:rsid w:val="002D4D9D"/>
    <w:rsid w:val="002D4EFC"/>
    <w:rsid w:val="002D501E"/>
    <w:rsid w:val="002D518A"/>
    <w:rsid w:val="002D52FD"/>
    <w:rsid w:val="002D5386"/>
    <w:rsid w:val="002D5811"/>
    <w:rsid w:val="002D5AE9"/>
    <w:rsid w:val="002D6379"/>
    <w:rsid w:val="002D6407"/>
    <w:rsid w:val="002D6496"/>
    <w:rsid w:val="002D6639"/>
    <w:rsid w:val="002D6712"/>
    <w:rsid w:val="002D6A9A"/>
    <w:rsid w:val="002D6ADF"/>
    <w:rsid w:val="002D7906"/>
    <w:rsid w:val="002D7FA0"/>
    <w:rsid w:val="002E0654"/>
    <w:rsid w:val="002E09B7"/>
    <w:rsid w:val="002E1010"/>
    <w:rsid w:val="002E16F9"/>
    <w:rsid w:val="002E2AC0"/>
    <w:rsid w:val="002E3A1F"/>
    <w:rsid w:val="002E3DE4"/>
    <w:rsid w:val="002E3E3C"/>
    <w:rsid w:val="002E438D"/>
    <w:rsid w:val="002E4544"/>
    <w:rsid w:val="002E4787"/>
    <w:rsid w:val="002E5572"/>
    <w:rsid w:val="002E6BC7"/>
    <w:rsid w:val="002E6C94"/>
    <w:rsid w:val="002E7215"/>
    <w:rsid w:val="002E7878"/>
    <w:rsid w:val="002E7AE6"/>
    <w:rsid w:val="002E7D1C"/>
    <w:rsid w:val="002E7EA6"/>
    <w:rsid w:val="002E7F73"/>
    <w:rsid w:val="002F001A"/>
    <w:rsid w:val="002F053A"/>
    <w:rsid w:val="002F09E8"/>
    <w:rsid w:val="002F1054"/>
    <w:rsid w:val="002F13AE"/>
    <w:rsid w:val="002F14F9"/>
    <w:rsid w:val="002F1FCE"/>
    <w:rsid w:val="002F2143"/>
    <w:rsid w:val="002F2659"/>
    <w:rsid w:val="002F2AD5"/>
    <w:rsid w:val="002F2DBD"/>
    <w:rsid w:val="002F3496"/>
    <w:rsid w:val="002F3CE4"/>
    <w:rsid w:val="002F402F"/>
    <w:rsid w:val="002F4697"/>
    <w:rsid w:val="002F479F"/>
    <w:rsid w:val="002F5C56"/>
    <w:rsid w:val="002F7441"/>
    <w:rsid w:val="002F7C5D"/>
    <w:rsid w:val="002F7E1C"/>
    <w:rsid w:val="00300573"/>
    <w:rsid w:val="003009CC"/>
    <w:rsid w:val="00300F13"/>
    <w:rsid w:val="0030136F"/>
    <w:rsid w:val="0030187A"/>
    <w:rsid w:val="00301E34"/>
    <w:rsid w:val="00302A5A"/>
    <w:rsid w:val="003032B9"/>
    <w:rsid w:val="00303371"/>
    <w:rsid w:val="00303717"/>
    <w:rsid w:val="003038A8"/>
    <w:rsid w:val="00303A6F"/>
    <w:rsid w:val="00304D00"/>
    <w:rsid w:val="0030512A"/>
    <w:rsid w:val="00306255"/>
    <w:rsid w:val="003062EA"/>
    <w:rsid w:val="00306A09"/>
    <w:rsid w:val="0030750A"/>
    <w:rsid w:val="0030792B"/>
    <w:rsid w:val="00307DFF"/>
    <w:rsid w:val="00310CD4"/>
    <w:rsid w:val="00310E3F"/>
    <w:rsid w:val="00310F37"/>
    <w:rsid w:val="00311869"/>
    <w:rsid w:val="00311B22"/>
    <w:rsid w:val="00311B8C"/>
    <w:rsid w:val="00311DFE"/>
    <w:rsid w:val="00311E84"/>
    <w:rsid w:val="0031278A"/>
    <w:rsid w:val="0031288B"/>
    <w:rsid w:val="00313265"/>
    <w:rsid w:val="00314BC5"/>
    <w:rsid w:val="003158AD"/>
    <w:rsid w:val="00315D0F"/>
    <w:rsid w:val="0031654B"/>
    <w:rsid w:val="00316F89"/>
    <w:rsid w:val="00317114"/>
    <w:rsid w:val="00317359"/>
    <w:rsid w:val="0031776F"/>
    <w:rsid w:val="00317D70"/>
    <w:rsid w:val="003207C5"/>
    <w:rsid w:val="00320E78"/>
    <w:rsid w:val="003214F3"/>
    <w:rsid w:val="00323B43"/>
    <w:rsid w:val="003244AD"/>
    <w:rsid w:val="00324B17"/>
    <w:rsid w:val="003251D3"/>
    <w:rsid w:val="00325500"/>
    <w:rsid w:val="00325632"/>
    <w:rsid w:val="00325B4E"/>
    <w:rsid w:val="00325D09"/>
    <w:rsid w:val="00325E1E"/>
    <w:rsid w:val="00326526"/>
    <w:rsid w:val="003266FB"/>
    <w:rsid w:val="0032699A"/>
    <w:rsid w:val="00326AB4"/>
    <w:rsid w:val="00326ADE"/>
    <w:rsid w:val="00326CE6"/>
    <w:rsid w:val="00326D0F"/>
    <w:rsid w:val="003309A3"/>
    <w:rsid w:val="00330C88"/>
    <w:rsid w:val="00331741"/>
    <w:rsid w:val="00331D38"/>
    <w:rsid w:val="00332016"/>
    <w:rsid w:val="003327C5"/>
    <w:rsid w:val="00332C1F"/>
    <w:rsid w:val="00332EBB"/>
    <w:rsid w:val="0033309A"/>
    <w:rsid w:val="00333687"/>
    <w:rsid w:val="00333F84"/>
    <w:rsid w:val="00334458"/>
    <w:rsid w:val="003348FE"/>
    <w:rsid w:val="00334A7C"/>
    <w:rsid w:val="00335146"/>
    <w:rsid w:val="00335598"/>
    <w:rsid w:val="003364CC"/>
    <w:rsid w:val="00336590"/>
    <w:rsid w:val="003366F0"/>
    <w:rsid w:val="0033734B"/>
    <w:rsid w:val="00337394"/>
    <w:rsid w:val="00337501"/>
    <w:rsid w:val="0034028B"/>
    <w:rsid w:val="003407DC"/>
    <w:rsid w:val="00340814"/>
    <w:rsid w:val="00340D94"/>
    <w:rsid w:val="0034134A"/>
    <w:rsid w:val="0034229A"/>
    <w:rsid w:val="003428BA"/>
    <w:rsid w:val="00343B63"/>
    <w:rsid w:val="00343FF1"/>
    <w:rsid w:val="003444E2"/>
    <w:rsid w:val="00344C39"/>
    <w:rsid w:val="003454F9"/>
    <w:rsid w:val="00345E40"/>
    <w:rsid w:val="003462A2"/>
    <w:rsid w:val="00346B3F"/>
    <w:rsid w:val="00346F7D"/>
    <w:rsid w:val="003477DC"/>
    <w:rsid w:val="003478ED"/>
    <w:rsid w:val="00350629"/>
    <w:rsid w:val="00350D1C"/>
    <w:rsid w:val="00350F50"/>
    <w:rsid w:val="00351540"/>
    <w:rsid w:val="00351CB6"/>
    <w:rsid w:val="003534CE"/>
    <w:rsid w:val="0035368E"/>
    <w:rsid w:val="00354248"/>
    <w:rsid w:val="003543F5"/>
    <w:rsid w:val="003559E8"/>
    <w:rsid w:val="00355C05"/>
    <w:rsid w:val="00356006"/>
    <w:rsid w:val="00356920"/>
    <w:rsid w:val="00356B7D"/>
    <w:rsid w:val="00357D05"/>
    <w:rsid w:val="00357E90"/>
    <w:rsid w:val="0036001C"/>
    <w:rsid w:val="0036074A"/>
    <w:rsid w:val="00360775"/>
    <w:rsid w:val="0036136F"/>
    <w:rsid w:val="003627BE"/>
    <w:rsid w:val="003635D2"/>
    <w:rsid w:val="00364271"/>
    <w:rsid w:val="003649A3"/>
    <w:rsid w:val="00365949"/>
    <w:rsid w:val="00365BC8"/>
    <w:rsid w:val="003667D8"/>
    <w:rsid w:val="00366C12"/>
    <w:rsid w:val="0036736E"/>
    <w:rsid w:val="00367B1A"/>
    <w:rsid w:val="003705F9"/>
    <w:rsid w:val="003707D9"/>
    <w:rsid w:val="00370810"/>
    <w:rsid w:val="00370A55"/>
    <w:rsid w:val="00370C88"/>
    <w:rsid w:val="00370EF9"/>
    <w:rsid w:val="00370FAC"/>
    <w:rsid w:val="003721C8"/>
    <w:rsid w:val="003727E5"/>
    <w:rsid w:val="00372C49"/>
    <w:rsid w:val="00372ED1"/>
    <w:rsid w:val="003731BB"/>
    <w:rsid w:val="00373282"/>
    <w:rsid w:val="003734DF"/>
    <w:rsid w:val="00373981"/>
    <w:rsid w:val="00373B1D"/>
    <w:rsid w:val="00374123"/>
    <w:rsid w:val="003751CA"/>
    <w:rsid w:val="003753EB"/>
    <w:rsid w:val="00375787"/>
    <w:rsid w:val="0037582C"/>
    <w:rsid w:val="00375B00"/>
    <w:rsid w:val="00375FAD"/>
    <w:rsid w:val="0037608A"/>
    <w:rsid w:val="0037623F"/>
    <w:rsid w:val="00376613"/>
    <w:rsid w:val="00377252"/>
    <w:rsid w:val="003779D1"/>
    <w:rsid w:val="00380267"/>
    <w:rsid w:val="0038088E"/>
    <w:rsid w:val="00381724"/>
    <w:rsid w:val="0038198B"/>
    <w:rsid w:val="00381F0C"/>
    <w:rsid w:val="003824F4"/>
    <w:rsid w:val="003826DC"/>
    <w:rsid w:val="00382B42"/>
    <w:rsid w:val="003848CF"/>
    <w:rsid w:val="00384B77"/>
    <w:rsid w:val="0038582D"/>
    <w:rsid w:val="00385832"/>
    <w:rsid w:val="003861FC"/>
    <w:rsid w:val="00386429"/>
    <w:rsid w:val="0038648F"/>
    <w:rsid w:val="003864F9"/>
    <w:rsid w:val="00386B06"/>
    <w:rsid w:val="00386B4C"/>
    <w:rsid w:val="00386CD5"/>
    <w:rsid w:val="00387A30"/>
    <w:rsid w:val="003900A0"/>
    <w:rsid w:val="003904C5"/>
    <w:rsid w:val="0039075B"/>
    <w:rsid w:val="00390F96"/>
    <w:rsid w:val="0039143E"/>
    <w:rsid w:val="00391491"/>
    <w:rsid w:val="00391956"/>
    <w:rsid w:val="00391966"/>
    <w:rsid w:val="00392754"/>
    <w:rsid w:val="003927EF"/>
    <w:rsid w:val="003938AC"/>
    <w:rsid w:val="003938C8"/>
    <w:rsid w:val="00394351"/>
    <w:rsid w:val="00394C1A"/>
    <w:rsid w:val="00395047"/>
    <w:rsid w:val="00395743"/>
    <w:rsid w:val="0039590D"/>
    <w:rsid w:val="003962E1"/>
    <w:rsid w:val="0039679A"/>
    <w:rsid w:val="00396953"/>
    <w:rsid w:val="003975E9"/>
    <w:rsid w:val="003976DC"/>
    <w:rsid w:val="00397895"/>
    <w:rsid w:val="00397E24"/>
    <w:rsid w:val="003A08C1"/>
    <w:rsid w:val="003A0E56"/>
    <w:rsid w:val="003A1F96"/>
    <w:rsid w:val="003A261D"/>
    <w:rsid w:val="003A319C"/>
    <w:rsid w:val="003A32AD"/>
    <w:rsid w:val="003A3AAF"/>
    <w:rsid w:val="003A3AFA"/>
    <w:rsid w:val="003A3C36"/>
    <w:rsid w:val="003A472C"/>
    <w:rsid w:val="003A47B2"/>
    <w:rsid w:val="003A47FF"/>
    <w:rsid w:val="003A4C14"/>
    <w:rsid w:val="003A65B5"/>
    <w:rsid w:val="003A6C06"/>
    <w:rsid w:val="003A71E2"/>
    <w:rsid w:val="003A742B"/>
    <w:rsid w:val="003A7C14"/>
    <w:rsid w:val="003B04E3"/>
    <w:rsid w:val="003B0502"/>
    <w:rsid w:val="003B165D"/>
    <w:rsid w:val="003B16CC"/>
    <w:rsid w:val="003B1D57"/>
    <w:rsid w:val="003B2EA6"/>
    <w:rsid w:val="003B30D4"/>
    <w:rsid w:val="003B386B"/>
    <w:rsid w:val="003B42B4"/>
    <w:rsid w:val="003B459B"/>
    <w:rsid w:val="003B46D1"/>
    <w:rsid w:val="003B4919"/>
    <w:rsid w:val="003B4995"/>
    <w:rsid w:val="003B4CE7"/>
    <w:rsid w:val="003B4FB9"/>
    <w:rsid w:val="003B4FC0"/>
    <w:rsid w:val="003B5EA3"/>
    <w:rsid w:val="003B68A4"/>
    <w:rsid w:val="003B6A9D"/>
    <w:rsid w:val="003B7467"/>
    <w:rsid w:val="003B7559"/>
    <w:rsid w:val="003B75BB"/>
    <w:rsid w:val="003B762D"/>
    <w:rsid w:val="003B7687"/>
    <w:rsid w:val="003B7955"/>
    <w:rsid w:val="003B7EEF"/>
    <w:rsid w:val="003C079C"/>
    <w:rsid w:val="003C0C34"/>
    <w:rsid w:val="003C13B6"/>
    <w:rsid w:val="003C16E6"/>
    <w:rsid w:val="003C3FE1"/>
    <w:rsid w:val="003C42C0"/>
    <w:rsid w:val="003C5383"/>
    <w:rsid w:val="003C5AF2"/>
    <w:rsid w:val="003C6207"/>
    <w:rsid w:val="003C625B"/>
    <w:rsid w:val="003C6C88"/>
    <w:rsid w:val="003C6ECF"/>
    <w:rsid w:val="003C6F18"/>
    <w:rsid w:val="003C705C"/>
    <w:rsid w:val="003C76A1"/>
    <w:rsid w:val="003C7DBF"/>
    <w:rsid w:val="003D0EB3"/>
    <w:rsid w:val="003D1263"/>
    <w:rsid w:val="003D14CA"/>
    <w:rsid w:val="003D167E"/>
    <w:rsid w:val="003D16C1"/>
    <w:rsid w:val="003D3373"/>
    <w:rsid w:val="003D37D8"/>
    <w:rsid w:val="003D4C71"/>
    <w:rsid w:val="003D4D7C"/>
    <w:rsid w:val="003D5F87"/>
    <w:rsid w:val="003D64B5"/>
    <w:rsid w:val="003D7255"/>
    <w:rsid w:val="003E109F"/>
    <w:rsid w:val="003E128A"/>
    <w:rsid w:val="003E1372"/>
    <w:rsid w:val="003E1392"/>
    <w:rsid w:val="003E1713"/>
    <w:rsid w:val="003E191A"/>
    <w:rsid w:val="003E1CD7"/>
    <w:rsid w:val="003E2280"/>
    <w:rsid w:val="003E2A2B"/>
    <w:rsid w:val="003E2BC5"/>
    <w:rsid w:val="003E2BFD"/>
    <w:rsid w:val="003E32D9"/>
    <w:rsid w:val="003E3ADD"/>
    <w:rsid w:val="003E3D8E"/>
    <w:rsid w:val="003E3E43"/>
    <w:rsid w:val="003E4025"/>
    <w:rsid w:val="003E42BB"/>
    <w:rsid w:val="003E4C27"/>
    <w:rsid w:val="003E4F87"/>
    <w:rsid w:val="003E5A7D"/>
    <w:rsid w:val="003E5B43"/>
    <w:rsid w:val="003E5B52"/>
    <w:rsid w:val="003E5C84"/>
    <w:rsid w:val="003E6592"/>
    <w:rsid w:val="003E666E"/>
    <w:rsid w:val="003E6B48"/>
    <w:rsid w:val="003E727A"/>
    <w:rsid w:val="003F0194"/>
    <w:rsid w:val="003F01FD"/>
    <w:rsid w:val="003F0AB7"/>
    <w:rsid w:val="003F0E2C"/>
    <w:rsid w:val="003F1377"/>
    <w:rsid w:val="003F1734"/>
    <w:rsid w:val="003F1FE9"/>
    <w:rsid w:val="003F2080"/>
    <w:rsid w:val="003F20C2"/>
    <w:rsid w:val="003F2692"/>
    <w:rsid w:val="003F3724"/>
    <w:rsid w:val="003F3A88"/>
    <w:rsid w:val="003F5464"/>
    <w:rsid w:val="003F554F"/>
    <w:rsid w:val="003F5C2C"/>
    <w:rsid w:val="003F5CEA"/>
    <w:rsid w:val="003F60F4"/>
    <w:rsid w:val="003F67D0"/>
    <w:rsid w:val="003F7C97"/>
    <w:rsid w:val="0040093C"/>
    <w:rsid w:val="00400B0A"/>
    <w:rsid w:val="00400EAF"/>
    <w:rsid w:val="004010CA"/>
    <w:rsid w:val="00401718"/>
    <w:rsid w:val="0040176B"/>
    <w:rsid w:val="00401C1C"/>
    <w:rsid w:val="00401E98"/>
    <w:rsid w:val="004020D3"/>
    <w:rsid w:val="004025C3"/>
    <w:rsid w:val="00402EC7"/>
    <w:rsid w:val="0040375F"/>
    <w:rsid w:val="0040494B"/>
    <w:rsid w:val="00404F7C"/>
    <w:rsid w:val="0040506F"/>
    <w:rsid w:val="00405399"/>
    <w:rsid w:val="0040553C"/>
    <w:rsid w:val="004060D9"/>
    <w:rsid w:val="00406D68"/>
    <w:rsid w:val="00406F1B"/>
    <w:rsid w:val="0040795F"/>
    <w:rsid w:val="00407DB2"/>
    <w:rsid w:val="004106BE"/>
    <w:rsid w:val="00411B2A"/>
    <w:rsid w:val="00411F30"/>
    <w:rsid w:val="00412148"/>
    <w:rsid w:val="00412786"/>
    <w:rsid w:val="00413BCD"/>
    <w:rsid w:val="00413F86"/>
    <w:rsid w:val="00414EE0"/>
    <w:rsid w:val="004159F8"/>
    <w:rsid w:val="00415F82"/>
    <w:rsid w:val="00416448"/>
    <w:rsid w:val="00420026"/>
    <w:rsid w:val="00421121"/>
    <w:rsid w:val="0042129D"/>
    <w:rsid w:val="00421FE0"/>
    <w:rsid w:val="0042221C"/>
    <w:rsid w:val="0042316C"/>
    <w:rsid w:val="0042317F"/>
    <w:rsid w:val="00423B88"/>
    <w:rsid w:val="00423C94"/>
    <w:rsid w:val="004244DE"/>
    <w:rsid w:val="0042470E"/>
    <w:rsid w:val="0042473F"/>
    <w:rsid w:val="00424E85"/>
    <w:rsid w:val="00425ED6"/>
    <w:rsid w:val="00425F68"/>
    <w:rsid w:val="00426133"/>
    <w:rsid w:val="00426441"/>
    <w:rsid w:val="00426A23"/>
    <w:rsid w:val="00426A27"/>
    <w:rsid w:val="00427433"/>
    <w:rsid w:val="004276DD"/>
    <w:rsid w:val="0042780B"/>
    <w:rsid w:val="0042794D"/>
    <w:rsid w:val="00427F21"/>
    <w:rsid w:val="004300E2"/>
    <w:rsid w:val="00430266"/>
    <w:rsid w:val="0043050A"/>
    <w:rsid w:val="00430947"/>
    <w:rsid w:val="00430F85"/>
    <w:rsid w:val="004312D1"/>
    <w:rsid w:val="00431BB0"/>
    <w:rsid w:val="00431C9F"/>
    <w:rsid w:val="00431DDA"/>
    <w:rsid w:val="004323B8"/>
    <w:rsid w:val="004328E3"/>
    <w:rsid w:val="00432AD6"/>
    <w:rsid w:val="0043307E"/>
    <w:rsid w:val="004333DF"/>
    <w:rsid w:val="00433A2E"/>
    <w:rsid w:val="00433F66"/>
    <w:rsid w:val="00434613"/>
    <w:rsid w:val="00434B7A"/>
    <w:rsid w:val="00434C99"/>
    <w:rsid w:val="004357C7"/>
    <w:rsid w:val="004358AB"/>
    <w:rsid w:val="004359B8"/>
    <w:rsid w:val="00435FAE"/>
    <w:rsid w:val="00436B59"/>
    <w:rsid w:val="004379BC"/>
    <w:rsid w:val="00437D50"/>
    <w:rsid w:val="0044096E"/>
    <w:rsid w:val="0044158B"/>
    <w:rsid w:val="004421A6"/>
    <w:rsid w:val="0044262B"/>
    <w:rsid w:val="004432DF"/>
    <w:rsid w:val="00443A34"/>
    <w:rsid w:val="00443A36"/>
    <w:rsid w:val="00443AC8"/>
    <w:rsid w:val="00444216"/>
    <w:rsid w:val="004442FD"/>
    <w:rsid w:val="00445420"/>
    <w:rsid w:val="00445F9E"/>
    <w:rsid w:val="00446575"/>
    <w:rsid w:val="00446E61"/>
    <w:rsid w:val="00447153"/>
    <w:rsid w:val="00447334"/>
    <w:rsid w:val="00447793"/>
    <w:rsid w:val="00447B84"/>
    <w:rsid w:val="00450244"/>
    <w:rsid w:val="004503D0"/>
    <w:rsid w:val="004504CB"/>
    <w:rsid w:val="00450511"/>
    <w:rsid w:val="004509F9"/>
    <w:rsid w:val="004516FE"/>
    <w:rsid w:val="00451D40"/>
    <w:rsid w:val="00452127"/>
    <w:rsid w:val="00452303"/>
    <w:rsid w:val="004524D7"/>
    <w:rsid w:val="00453FFF"/>
    <w:rsid w:val="00455AFD"/>
    <w:rsid w:val="00456289"/>
    <w:rsid w:val="00457207"/>
    <w:rsid w:val="0046029D"/>
    <w:rsid w:val="00460925"/>
    <w:rsid w:val="00460DCE"/>
    <w:rsid w:val="00460E6C"/>
    <w:rsid w:val="004624F6"/>
    <w:rsid w:val="00462705"/>
    <w:rsid w:val="00462EF0"/>
    <w:rsid w:val="0046344E"/>
    <w:rsid w:val="004634AF"/>
    <w:rsid w:val="00463950"/>
    <w:rsid w:val="004654BF"/>
    <w:rsid w:val="004659D0"/>
    <w:rsid w:val="00465E58"/>
    <w:rsid w:val="0046679C"/>
    <w:rsid w:val="00466DD1"/>
    <w:rsid w:val="00467ED7"/>
    <w:rsid w:val="004702F7"/>
    <w:rsid w:val="00470B07"/>
    <w:rsid w:val="00470CCD"/>
    <w:rsid w:val="004710BC"/>
    <w:rsid w:val="00471B03"/>
    <w:rsid w:val="004727FE"/>
    <w:rsid w:val="00472915"/>
    <w:rsid w:val="00472A22"/>
    <w:rsid w:val="00473615"/>
    <w:rsid w:val="004739E0"/>
    <w:rsid w:val="00473C2C"/>
    <w:rsid w:val="00473F7E"/>
    <w:rsid w:val="0047438C"/>
    <w:rsid w:val="00474957"/>
    <w:rsid w:val="00474A8E"/>
    <w:rsid w:val="00475958"/>
    <w:rsid w:val="00475D87"/>
    <w:rsid w:val="0047675E"/>
    <w:rsid w:val="0047724A"/>
    <w:rsid w:val="0048051D"/>
    <w:rsid w:val="00480CD9"/>
    <w:rsid w:val="0048146D"/>
    <w:rsid w:val="00481A22"/>
    <w:rsid w:val="0048206C"/>
    <w:rsid w:val="00483124"/>
    <w:rsid w:val="0048314B"/>
    <w:rsid w:val="0048364F"/>
    <w:rsid w:val="00484AD2"/>
    <w:rsid w:val="00484E6F"/>
    <w:rsid w:val="00484F69"/>
    <w:rsid w:val="00485428"/>
    <w:rsid w:val="00485A6C"/>
    <w:rsid w:val="00485B3E"/>
    <w:rsid w:val="00485FB0"/>
    <w:rsid w:val="00486484"/>
    <w:rsid w:val="004864E6"/>
    <w:rsid w:val="00486854"/>
    <w:rsid w:val="00490889"/>
    <w:rsid w:val="00490CE6"/>
    <w:rsid w:val="00491180"/>
    <w:rsid w:val="00492040"/>
    <w:rsid w:val="0049264D"/>
    <w:rsid w:val="004931F9"/>
    <w:rsid w:val="00493A1B"/>
    <w:rsid w:val="0049458E"/>
    <w:rsid w:val="0049475E"/>
    <w:rsid w:val="00494AD9"/>
    <w:rsid w:val="0049500E"/>
    <w:rsid w:val="00495314"/>
    <w:rsid w:val="0049536F"/>
    <w:rsid w:val="00495933"/>
    <w:rsid w:val="00495C81"/>
    <w:rsid w:val="00495D10"/>
    <w:rsid w:val="00496524"/>
    <w:rsid w:val="00496B14"/>
    <w:rsid w:val="004975A1"/>
    <w:rsid w:val="00497C83"/>
    <w:rsid w:val="00497D89"/>
    <w:rsid w:val="00497EE6"/>
    <w:rsid w:val="004A0956"/>
    <w:rsid w:val="004A12A7"/>
    <w:rsid w:val="004A193F"/>
    <w:rsid w:val="004A19D1"/>
    <w:rsid w:val="004A1CBB"/>
    <w:rsid w:val="004A201A"/>
    <w:rsid w:val="004A2314"/>
    <w:rsid w:val="004A30AE"/>
    <w:rsid w:val="004A3406"/>
    <w:rsid w:val="004A40E2"/>
    <w:rsid w:val="004A4417"/>
    <w:rsid w:val="004A4C4A"/>
    <w:rsid w:val="004A5886"/>
    <w:rsid w:val="004A5FD8"/>
    <w:rsid w:val="004A6375"/>
    <w:rsid w:val="004A6A22"/>
    <w:rsid w:val="004A6BCF"/>
    <w:rsid w:val="004A71F0"/>
    <w:rsid w:val="004A72EB"/>
    <w:rsid w:val="004A7920"/>
    <w:rsid w:val="004A7A6B"/>
    <w:rsid w:val="004A7B20"/>
    <w:rsid w:val="004A7B51"/>
    <w:rsid w:val="004A7D2E"/>
    <w:rsid w:val="004A7FA1"/>
    <w:rsid w:val="004B02C6"/>
    <w:rsid w:val="004B0AFB"/>
    <w:rsid w:val="004B1045"/>
    <w:rsid w:val="004B15F1"/>
    <w:rsid w:val="004B168D"/>
    <w:rsid w:val="004B18DE"/>
    <w:rsid w:val="004B1D65"/>
    <w:rsid w:val="004B24F4"/>
    <w:rsid w:val="004B2DDE"/>
    <w:rsid w:val="004B2F97"/>
    <w:rsid w:val="004B4A59"/>
    <w:rsid w:val="004B4C95"/>
    <w:rsid w:val="004B58F9"/>
    <w:rsid w:val="004B5BB2"/>
    <w:rsid w:val="004B600F"/>
    <w:rsid w:val="004B6BFC"/>
    <w:rsid w:val="004B6C5A"/>
    <w:rsid w:val="004B72B9"/>
    <w:rsid w:val="004B74AA"/>
    <w:rsid w:val="004C0B47"/>
    <w:rsid w:val="004C0C65"/>
    <w:rsid w:val="004C1806"/>
    <w:rsid w:val="004C1B17"/>
    <w:rsid w:val="004C2148"/>
    <w:rsid w:val="004C21A8"/>
    <w:rsid w:val="004C2DB9"/>
    <w:rsid w:val="004C2F38"/>
    <w:rsid w:val="004C46AD"/>
    <w:rsid w:val="004C4BCF"/>
    <w:rsid w:val="004C4C0F"/>
    <w:rsid w:val="004C5059"/>
    <w:rsid w:val="004C5152"/>
    <w:rsid w:val="004C56B0"/>
    <w:rsid w:val="004C6374"/>
    <w:rsid w:val="004C649D"/>
    <w:rsid w:val="004C64F7"/>
    <w:rsid w:val="004C67BB"/>
    <w:rsid w:val="004D0805"/>
    <w:rsid w:val="004D0C37"/>
    <w:rsid w:val="004D16D7"/>
    <w:rsid w:val="004D1D5B"/>
    <w:rsid w:val="004D1FCE"/>
    <w:rsid w:val="004D20B8"/>
    <w:rsid w:val="004D2264"/>
    <w:rsid w:val="004D3334"/>
    <w:rsid w:val="004D33C4"/>
    <w:rsid w:val="004D4164"/>
    <w:rsid w:val="004D4A51"/>
    <w:rsid w:val="004D57ED"/>
    <w:rsid w:val="004D5C08"/>
    <w:rsid w:val="004D738E"/>
    <w:rsid w:val="004D7945"/>
    <w:rsid w:val="004D7D8A"/>
    <w:rsid w:val="004D7F48"/>
    <w:rsid w:val="004E0399"/>
    <w:rsid w:val="004E08E1"/>
    <w:rsid w:val="004E0AC5"/>
    <w:rsid w:val="004E0E3D"/>
    <w:rsid w:val="004E13F6"/>
    <w:rsid w:val="004E1786"/>
    <w:rsid w:val="004E1CC3"/>
    <w:rsid w:val="004E29AD"/>
    <w:rsid w:val="004E2AA4"/>
    <w:rsid w:val="004E3398"/>
    <w:rsid w:val="004E3539"/>
    <w:rsid w:val="004E3605"/>
    <w:rsid w:val="004E38FA"/>
    <w:rsid w:val="004E394B"/>
    <w:rsid w:val="004E395E"/>
    <w:rsid w:val="004E4214"/>
    <w:rsid w:val="004E48C8"/>
    <w:rsid w:val="004E49FD"/>
    <w:rsid w:val="004E4FE5"/>
    <w:rsid w:val="004E690A"/>
    <w:rsid w:val="004E6C2E"/>
    <w:rsid w:val="004E7399"/>
    <w:rsid w:val="004E7641"/>
    <w:rsid w:val="004E7A84"/>
    <w:rsid w:val="004E7EDA"/>
    <w:rsid w:val="004F0188"/>
    <w:rsid w:val="004F05E7"/>
    <w:rsid w:val="004F07C1"/>
    <w:rsid w:val="004F0A4B"/>
    <w:rsid w:val="004F0B16"/>
    <w:rsid w:val="004F0CF2"/>
    <w:rsid w:val="004F0E3B"/>
    <w:rsid w:val="004F0F35"/>
    <w:rsid w:val="004F1CE6"/>
    <w:rsid w:val="004F1EC4"/>
    <w:rsid w:val="004F29CB"/>
    <w:rsid w:val="004F2BE4"/>
    <w:rsid w:val="004F319C"/>
    <w:rsid w:val="004F32FA"/>
    <w:rsid w:val="004F3548"/>
    <w:rsid w:val="004F3619"/>
    <w:rsid w:val="004F3A87"/>
    <w:rsid w:val="004F3B04"/>
    <w:rsid w:val="004F6127"/>
    <w:rsid w:val="004F61ED"/>
    <w:rsid w:val="004F62A5"/>
    <w:rsid w:val="004F7DE9"/>
    <w:rsid w:val="004F7E7E"/>
    <w:rsid w:val="00500BF3"/>
    <w:rsid w:val="00501642"/>
    <w:rsid w:val="00501C64"/>
    <w:rsid w:val="00502734"/>
    <w:rsid w:val="00502B2E"/>
    <w:rsid w:val="005030E2"/>
    <w:rsid w:val="005032CB"/>
    <w:rsid w:val="0050349D"/>
    <w:rsid w:val="00503A2A"/>
    <w:rsid w:val="00503F7E"/>
    <w:rsid w:val="0050418F"/>
    <w:rsid w:val="005041DB"/>
    <w:rsid w:val="005049D6"/>
    <w:rsid w:val="00504AC0"/>
    <w:rsid w:val="00504E51"/>
    <w:rsid w:val="00506960"/>
    <w:rsid w:val="005070BB"/>
    <w:rsid w:val="00507647"/>
    <w:rsid w:val="00507743"/>
    <w:rsid w:val="0050798F"/>
    <w:rsid w:val="00507EE9"/>
    <w:rsid w:val="00507EF0"/>
    <w:rsid w:val="00507FE2"/>
    <w:rsid w:val="005100B5"/>
    <w:rsid w:val="0051084C"/>
    <w:rsid w:val="00510A7E"/>
    <w:rsid w:val="00510CC7"/>
    <w:rsid w:val="00510CFA"/>
    <w:rsid w:val="0051153A"/>
    <w:rsid w:val="00512E6D"/>
    <w:rsid w:val="005132E3"/>
    <w:rsid w:val="00513566"/>
    <w:rsid w:val="00513830"/>
    <w:rsid w:val="00513D39"/>
    <w:rsid w:val="00513E40"/>
    <w:rsid w:val="005148E4"/>
    <w:rsid w:val="00514F94"/>
    <w:rsid w:val="0051503F"/>
    <w:rsid w:val="00515397"/>
    <w:rsid w:val="005155CF"/>
    <w:rsid w:val="00515A80"/>
    <w:rsid w:val="00515E33"/>
    <w:rsid w:val="00515F91"/>
    <w:rsid w:val="0051604E"/>
    <w:rsid w:val="005162BF"/>
    <w:rsid w:val="0051641F"/>
    <w:rsid w:val="00516F67"/>
    <w:rsid w:val="0051765E"/>
    <w:rsid w:val="005200FB"/>
    <w:rsid w:val="00520479"/>
    <w:rsid w:val="00521444"/>
    <w:rsid w:val="00521A6C"/>
    <w:rsid w:val="00521C08"/>
    <w:rsid w:val="00521D58"/>
    <w:rsid w:val="00521F72"/>
    <w:rsid w:val="00522045"/>
    <w:rsid w:val="0052237B"/>
    <w:rsid w:val="00523210"/>
    <w:rsid w:val="005233CA"/>
    <w:rsid w:val="00523B9E"/>
    <w:rsid w:val="00523E92"/>
    <w:rsid w:val="005244AE"/>
    <w:rsid w:val="0052537D"/>
    <w:rsid w:val="005257CB"/>
    <w:rsid w:val="00526C27"/>
    <w:rsid w:val="00526DB1"/>
    <w:rsid w:val="00526FAD"/>
    <w:rsid w:val="0052703E"/>
    <w:rsid w:val="0052767C"/>
    <w:rsid w:val="00527E33"/>
    <w:rsid w:val="005300B7"/>
    <w:rsid w:val="005305E4"/>
    <w:rsid w:val="005307F4"/>
    <w:rsid w:val="005308C6"/>
    <w:rsid w:val="0053121A"/>
    <w:rsid w:val="00531835"/>
    <w:rsid w:val="0053223A"/>
    <w:rsid w:val="00532263"/>
    <w:rsid w:val="00532B7A"/>
    <w:rsid w:val="005332DA"/>
    <w:rsid w:val="00533347"/>
    <w:rsid w:val="00533E4A"/>
    <w:rsid w:val="005343B9"/>
    <w:rsid w:val="0053483A"/>
    <w:rsid w:val="005349C0"/>
    <w:rsid w:val="00534DD6"/>
    <w:rsid w:val="00535326"/>
    <w:rsid w:val="005357C1"/>
    <w:rsid w:val="00535B27"/>
    <w:rsid w:val="0053622F"/>
    <w:rsid w:val="00536D4A"/>
    <w:rsid w:val="00536F43"/>
    <w:rsid w:val="005372BC"/>
    <w:rsid w:val="00537747"/>
    <w:rsid w:val="0053790A"/>
    <w:rsid w:val="00537E4E"/>
    <w:rsid w:val="00537F0C"/>
    <w:rsid w:val="00541C01"/>
    <w:rsid w:val="005423DA"/>
    <w:rsid w:val="00542B78"/>
    <w:rsid w:val="00543183"/>
    <w:rsid w:val="005439EA"/>
    <w:rsid w:val="00543D36"/>
    <w:rsid w:val="00543D6B"/>
    <w:rsid w:val="00543F9B"/>
    <w:rsid w:val="00544CFC"/>
    <w:rsid w:val="0054500D"/>
    <w:rsid w:val="00545165"/>
    <w:rsid w:val="00545324"/>
    <w:rsid w:val="00545412"/>
    <w:rsid w:val="005457F9"/>
    <w:rsid w:val="005459E3"/>
    <w:rsid w:val="00545A56"/>
    <w:rsid w:val="00545BB4"/>
    <w:rsid w:val="00545C17"/>
    <w:rsid w:val="00545D53"/>
    <w:rsid w:val="00546154"/>
    <w:rsid w:val="00546382"/>
    <w:rsid w:val="005463DA"/>
    <w:rsid w:val="00546694"/>
    <w:rsid w:val="00546A70"/>
    <w:rsid w:val="00546C7F"/>
    <w:rsid w:val="00547697"/>
    <w:rsid w:val="00547972"/>
    <w:rsid w:val="00547A3E"/>
    <w:rsid w:val="00547DA3"/>
    <w:rsid w:val="0055014D"/>
    <w:rsid w:val="005506C5"/>
    <w:rsid w:val="00550A6E"/>
    <w:rsid w:val="005510D2"/>
    <w:rsid w:val="005517C0"/>
    <w:rsid w:val="00551C82"/>
    <w:rsid w:val="00551C89"/>
    <w:rsid w:val="00551EB3"/>
    <w:rsid w:val="00552775"/>
    <w:rsid w:val="00552829"/>
    <w:rsid w:val="00552C68"/>
    <w:rsid w:val="00552CA2"/>
    <w:rsid w:val="00552D95"/>
    <w:rsid w:val="00552EB4"/>
    <w:rsid w:val="005530A4"/>
    <w:rsid w:val="00555BBE"/>
    <w:rsid w:val="0055604A"/>
    <w:rsid w:val="005566F2"/>
    <w:rsid w:val="00556B29"/>
    <w:rsid w:val="0055708F"/>
    <w:rsid w:val="0055714E"/>
    <w:rsid w:val="005577D9"/>
    <w:rsid w:val="00557CE5"/>
    <w:rsid w:val="00561B85"/>
    <w:rsid w:val="00563386"/>
    <w:rsid w:val="00563677"/>
    <w:rsid w:val="005639F5"/>
    <w:rsid w:val="0056446F"/>
    <w:rsid w:val="005647A5"/>
    <w:rsid w:val="00564A1B"/>
    <w:rsid w:val="005653ED"/>
    <w:rsid w:val="005657A7"/>
    <w:rsid w:val="00565EBB"/>
    <w:rsid w:val="00566D7D"/>
    <w:rsid w:val="00567AF0"/>
    <w:rsid w:val="00567BD1"/>
    <w:rsid w:val="00567C9C"/>
    <w:rsid w:val="00567D57"/>
    <w:rsid w:val="005701D7"/>
    <w:rsid w:val="00570576"/>
    <w:rsid w:val="00570AAA"/>
    <w:rsid w:val="00570C2B"/>
    <w:rsid w:val="005710CE"/>
    <w:rsid w:val="0057189B"/>
    <w:rsid w:val="005720C3"/>
    <w:rsid w:val="0057335A"/>
    <w:rsid w:val="00573461"/>
    <w:rsid w:val="005738B0"/>
    <w:rsid w:val="00573FBD"/>
    <w:rsid w:val="00574121"/>
    <w:rsid w:val="005745B3"/>
    <w:rsid w:val="005749A6"/>
    <w:rsid w:val="0057535D"/>
    <w:rsid w:val="00575E63"/>
    <w:rsid w:val="00576251"/>
    <w:rsid w:val="005764F1"/>
    <w:rsid w:val="00576814"/>
    <w:rsid w:val="00576D38"/>
    <w:rsid w:val="00576DFB"/>
    <w:rsid w:val="00577A94"/>
    <w:rsid w:val="00577D09"/>
    <w:rsid w:val="00577D30"/>
    <w:rsid w:val="005801F7"/>
    <w:rsid w:val="00580378"/>
    <w:rsid w:val="005808CC"/>
    <w:rsid w:val="00580BFB"/>
    <w:rsid w:val="005816D3"/>
    <w:rsid w:val="005817D6"/>
    <w:rsid w:val="00581D68"/>
    <w:rsid w:val="00581ECC"/>
    <w:rsid w:val="00582BE4"/>
    <w:rsid w:val="005844E8"/>
    <w:rsid w:val="00584C63"/>
    <w:rsid w:val="00584F87"/>
    <w:rsid w:val="00585183"/>
    <w:rsid w:val="005855FD"/>
    <w:rsid w:val="00585BB9"/>
    <w:rsid w:val="00586C82"/>
    <w:rsid w:val="00586D6C"/>
    <w:rsid w:val="00586FF2"/>
    <w:rsid w:val="00587105"/>
    <w:rsid w:val="00587108"/>
    <w:rsid w:val="00591C7A"/>
    <w:rsid w:val="00592576"/>
    <w:rsid w:val="00592A9F"/>
    <w:rsid w:val="00593352"/>
    <w:rsid w:val="005937F7"/>
    <w:rsid w:val="005940D0"/>
    <w:rsid w:val="005941D0"/>
    <w:rsid w:val="00594666"/>
    <w:rsid w:val="00594C6E"/>
    <w:rsid w:val="0059625A"/>
    <w:rsid w:val="005968A1"/>
    <w:rsid w:val="0059721C"/>
    <w:rsid w:val="005A084D"/>
    <w:rsid w:val="005A0D0E"/>
    <w:rsid w:val="005A0E6E"/>
    <w:rsid w:val="005A0EF2"/>
    <w:rsid w:val="005A1592"/>
    <w:rsid w:val="005A1709"/>
    <w:rsid w:val="005A1A4D"/>
    <w:rsid w:val="005A1E33"/>
    <w:rsid w:val="005A233E"/>
    <w:rsid w:val="005A27B0"/>
    <w:rsid w:val="005A2C27"/>
    <w:rsid w:val="005A34A3"/>
    <w:rsid w:val="005A3698"/>
    <w:rsid w:val="005A4750"/>
    <w:rsid w:val="005A47FB"/>
    <w:rsid w:val="005A4E4D"/>
    <w:rsid w:val="005A50B2"/>
    <w:rsid w:val="005A5498"/>
    <w:rsid w:val="005A5DF3"/>
    <w:rsid w:val="005A6877"/>
    <w:rsid w:val="005A6D53"/>
    <w:rsid w:val="005A6FD0"/>
    <w:rsid w:val="005A7788"/>
    <w:rsid w:val="005A7C83"/>
    <w:rsid w:val="005B0839"/>
    <w:rsid w:val="005B0DD0"/>
    <w:rsid w:val="005B0DD4"/>
    <w:rsid w:val="005B1A57"/>
    <w:rsid w:val="005B1C6F"/>
    <w:rsid w:val="005B1D57"/>
    <w:rsid w:val="005B1D85"/>
    <w:rsid w:val="005B1E90"/>
    <w:rsid w:val="005B2026"/>
    <w:rsid w:val="005B26AF"/>
    <w:rsid w:val="005B28FD"/>
    <w:rsid w:val="005B29DD"/>
    <w:rsid w:val="005B2B24"/>
    <w:rsid w:val="005B2FCA"/>
    <w:rsid w:val="005B344E"/>
    <w:rsid w:val="005B37A4"/>
    <w:rsid w:val="005B39BB"/>
    <w:rsid w:val="005B3CB7"/>
    <w:rsid w:val="005B3EC5"/>
    <w:rsid w:val="005B4975"/>
    <w:rsid w:val="005B5247"/>
    <w:rsid w:val="005B53C4"/>
    <w:rsid w:val="005B5FCD"/>
    <w:rsid w:val="005B6CE2"/>
    <w:rsid w:val="005B6F83"/>
    <w:rsid w:val="005B73DA"/>
    <w:rsid w:val="005B7773"/>
    <w:rsid w:val="005C049F"/>
    <w:rsid w:val="005C04A1"/>
    <w:rsid w:val="005C09BF"/>
    <w:rsid w:val="005C0B0A"/>
    <w:rsid w:val="005C1A93"/>
    <w:rsid w:val="005C1D1A"/>
    <w:rsid w:val="005C1F09"/>
    <w:rsid w:val="005C1FAD"/>
    <w:rsid w:val="005C250B"/>
    <w:rsid w:val="005C2872"/>
    <w:rsid w:val="005C2E0C"/>
    <w:rsid w:val="005C342A"/>
    <w:rsid w:val="005C3492"/>
    <w:rsid w:val="005C3D86"/>
    <w:rsid w:val="005C4169"/>
    <w:rsid w:val="005C43C6"/>
    <w:rsid w:val="005C6663"/>
    <w:rsid w:val="005C66DA"/>
    <w:rsid w:val="005C6B71"/>
    <w:rsid w:val="005C74C2"/>
    <w:rsid w:val="005C77D8"/>
    <w:rsid w:val="005C7AA2"/>
    <w:rsid w:val="005C7E71"/>
    <w:rsid w:val="005D0059"/>
    <w:rsid w:val="005D0093"/>
    <w:rsid w:val="005D0E57"/>
    <w:rsid w:val="005D1D25"/>
    <w:rsid w:val="005D2E0E"/>
    <w:rsid w:val="005D3B56"/>
    <w:rsid w:val="005D44D8"/>
    <w:rsid w:val="005D49A9"/>
    <w:rsid w:val="005D4B26"/>
    <w:rsid w:val="005D6236"/>
    <w:rsid w:val="005D6975"/>
    <w:rsid w:val="005D7A15"/>
    <w:rsid w:val="005E0046"/>
    <w:rsid w:val="005E03B6"/>
    <w:rsid w:val="005E04F8"/>
    <w:rsid w:val="005E057B"/>
    <w:rsid w:val="005E0999"/>
    <w:rsid w:val="005E12AE"/>
    <w:rsid w:val="005E1BD1"/>
    <w:rsid w:val="005E1EF0"/>
    <w:rsid w:val="005E21E5"/>
    <w:rsid w:val="005E279E"/>
    <w:rsid w:val="005E2B92"/>
    <w:rsid w:val="005E3739"/>
    <w:rsid w:val="005E3AC6"/>
    <w:rsid w:val="005E3EDB"/>
    <w:rsid w:val="005E40CB"/>
    <w:rsid w:val="005E45D2"/>
    <w:rsid w:val="005E48B0"/>
    <w:rsid w:val="005E48DA"/>
    <w:rsid w:val="005E507C"/>
    <w:rsid w:val="005E512B"/>
    <w:rsid w:val="005E54F1"/>
    <w:rsid w:val="005E61C1"/>
    <w:rsid w:val="005E6237"/>
    <w:rsid w:val="005E63B3"/>
    <w:rsid w:val="005E6604"/>
    <w:rsid w:val="005E6BEB"/>
    <w:rsid w:val="005E7855"/>
    <w:rsid w:val="005E786B"/>
    <w:rsid w:val="005E7CE9"/>
    <w:rsid w:val="005F0245"/>
    <w:rsid w:val="005F0979"/>
    <w:rsid w:val="005F0AFB"/>
    <w:rsid w:val="005F1635"/>
    <w:rsid w:val="005F1670"/>
    <w:rsid w:val="005F1805"/>
    <w:rsid w:val="005F1B6C"/>
    <w:rsid w:val="005F1DD3"/>
    <w:rsid w:val="005F3092"/>
    <w:rsid w:val="005F30BB"/>
    <w:rsid w:val="005F31FD"/>
    <w:rsid w:val="005F3632"/>
    <w:rsid w:val="005F3BE6"/>
    <w:rsid w:val="005F40F9"/>
    <w:rsid w:val="005F5069"/>
    <w:rsid w:val="005F5A87"/>
    <w:rsid w:val="005F5B9A"/>
    <w:rsid w:val="005F5BF2"/>
    <w:rsid w:val="005F5DB4"/>
    <w:rsid w:val="005F6184"/>
    <w:rsid w:val="005F630F"/>
    <w:rsid w:val="005F6D3D"/>
    <w:rsid w:val="005F727D"/>
    <w:rsid w:val="005F77EC"/>
    <w:rsid w:val="00600A75"/>
    <w:rsid w:val="00602392"/>
    <w:rsid w:val="006023D0"/>
    <w:rsid w:val="00602D05"/>
    <w:rsid w:val="00603182"/>
    <w:rsid w:val="006032A4"/>
    <w:rsid w:val="00604632"/>
    <w:rsid w:val="00604A9F"/>
    <w:rsid w:val="00605707"/>
    <w:rsid w:val="00605923"/>
    <w:rsid w:val="00605D4D"/>
    <w:rsid w:val="0060717E"/>
    <w:rsid w:val="006078DC"/>
    <w:rsid w:val="00607DD9"/>
    <w:rsid w:val="00610061"/>
    <w:rsid w:val="00610FE1"/>
    <w:rsid w:val="00611355"/>
    <w:rsid w:val="00611CD7"/>
    <w:rsid w:val="00612370"/>
    <w:rsid w:val="006129DF"/>
    <w:rsid w:val="00613F6A"/>
    <w:rsid w:val="0061474C"/>
    <w:rsid w:val="00614E39"/>
    <w:rsid w:val="00615382"/>
    <w:rsid w:val="00615950"/>
    <w:rsid w:val="006159EF"/>
    <w:rsid w:val="00615BAC"/>
    <w:rsid w:val="006165DE"/>
    <w:rsid w:val="00616AB7"/>
    <w:rsid w:val="00616BAA"/>
    <w:rsid w:val="0061703E"/>
    <w:rsid w:val="00617969"/>
    <w:rsid w:val="00617D88"/>
    <w:rsid w:val="00617E52"/>
    <w:rsid w:val="00621DD6"/>
    <w:rsid w:val="00622939"/>
    <w:rsid w:val="0062301D"/>
    <w:rsid w:val="006234B1"/>
    <w:rsid w:val="00623641"/>
    <w:rsid w:val="00623AA6"/>
    <w:rsid w:val="00624214"/>
    <w:rsid w:val="0062437B"/>
    <w:rsid w:val="006260FA"/>
    <w:rsid w:val="006261BC"/>
    <w:rsid w:val="00627B55"/>
    <w:rsid w:val="00630262"/>
    <w:rsid w:val="00630DEE"/>
    <w:rsid w:val="00630E9B"/>
    <w:rsid w:val="00631F2B"/>
    <w:rsid w:val="00632C10"/>
    <w:rsid w:val="0063390B"/>
    <w:rsid w:val="00634415"/>
    <w:rsid w:val="00634BB7"/>
    <w:rsid w:val="00634D4A"/>
    <w:rsid w:val="00634DD9"/>
    <w:rsid w:val="006351B7"/>
    <w:rsid w:val="006354A2"/>
    <w:rsid w:val="0063663A"/>
    <w:rsid w:val="006378B1"/>
    <w:rsid w:val="0064048B"/>
    <w:rsid w:val="0064087C"/>
    <w:rsid w:val="00640CD1"/>
    <w:rsid w:val="006410E4"/>
    <w:rsid w:val="0064178A"/>
    <w:rsid w:val="0064215D"/>
    <w:rsid w:val="0064255F"/>
    <w:rsid w:val="00643801"/>
    <w:rsid w:val="00643D97"/>
    <w:rsid w:val="00643E50"/>
    <w:rsid w:val="006443ED"/>
    <w:rsid w:val="006445ED"/>
    <w:rsid w:val="00644878"/>
    <w:rsid w:val="00644A96"/>
    <w:rsid w:val="00644CCB"/>
    <w:rsid w:val="0064512C"/>
    <w:rsid w:val="00645D33"/>
    <w:rsid w:val="006461CC"/>
    <w:rsid w:val="00646641"/>
    <w:rsid w:val="0064695E"/>
    <w:rsid w:val="00646C78"/>
    <w:rsid w:val="00647192"/>
    <w:rsid w:val="006473D9"/>
    <w:rsid w:val="006476A6"/>
    <w:rsid w:val="006479D3"/>
    <w:rsid w:val="00647F84"/>
    <w:rsid w:val="00650C57"/>
    <w:rsid w:val="00650DFE"/>
    <w:rsid w:val="0065147A"/>
    <w:rsid w:val="0065163B"/>
    <w:rsid w:val="00651D47"/>
    <w:rsid w:val="00651F0F"/>
    <w:rsid w:val="0065202E"/>
    <w:rsid w:val="00652179"/>
    <w:rsid w:val="0065228B"/>
    <w:rsid w:val="006523DC"/>
    <w:rsid w:val="00652CF7"/>
    <w:rsid w:val="006532A7"/>
    <w:rsid w:val="00653810"/>
    <w:rsid w:val="006544C4"/>
    <w:rsid w:val="00654AA7"/>
    <w:rsid w:val="00654E5C"/>
    <w:rsid w:val="00654F20"/>
    <w:rsid w:val="006557BC"/>
    <w:rsid w:val="00655CF9"/>
    <w:rsid w:val="00656328"/>
    <w:rsid w:val="006567D3"/>
    <w:rsid w:val="00656ECC"/>
    <w:rsid w:val="00657882"/>
    <w:rsid w:val="006579B8"/>
    <w:rsid w:val="006607C2"/>
    <w:rsid w:val="00660913"/>
    <w:rsid w:val="00660AC2"/>
    <w:rsid w:val="00660AC4"/>
    <w:rsid w:val="006614A2"/>
    <w:rsid w:val="00661D6E"/>
    <w:rsid w:val="00661E6D"/>
    <w:rsid w:val="00663067"/>
    <w:rsid w:val="006637D8"/>
    <w:rsid w:val="00663ECF"/>
    <w:rsid w:val="00664493"/>
    <w:rsid w:val="00664510"/>
    <w:rsid w:val="00665388"/>
    <w:rsid w:val="00665D09"/>
    <w:rsid w:val="00665D7C"/>
    <w:rsid w:val="0066639B"/>
    <w:rsid w:val="00666495"/>
    <w:rsid w:val="00666B0E"/>
    <w:rsid w:val="00670C59"/>
    <w:rsid w:val="0067126D"/>
    <w:rsid w:val="00671532"/>
    <w:rsid w:val="006715F1"/>
    <w:rsid w:val="006718F5"/>
    <w:rsid w:val="00671C18"/>
    <w:rsid w:val="00671C64"/>
    <w:rsid w:val="00671FE4"/>
    <w:rsid w:val="0067236F"/>
    <w:rsid w:val="0067275F"/>
    <w:rsid w:val="00673083"/>
    <w:rsid w:val="00673125"/>
    <w:rsid w:val="00673264"/>
    <w:rsid w:val="00673F6F"/>
    <w:rsid w:val="006746F5"/>
    <w:rsid w:val="006749DF"/>
    <w:rsid w:val="00674ADB"/>
    <w:rsid w:val="00674C34"/>
    <w:rsid w:val="00674D61"/>
    <w:rsid w:val="00674E80"/>
    <w:rsid w:val="00675409"/>
    <w:rsid w:val="00675593"/>
    <w:rsid w:val="00675851"/>
    <w:rsid w:val="00675D66"/>
    <w:rsid w:val="00675F6C"/>
    <w:rsid w:val="006766FD"/>
    <w:rsid w:val="00676E70"/>
    <w:rsid w:val="00677502"/>
    <w:rsid w:val="00677AC1"/>
    <w:rsid w:val="00677F74"/>
    <w:rsid w:val="00680399"/>
    <w:rsid w:val="00680F10"/>
    <w:rsid w:val="00681105"/>
    <w:rsid w:val="0068123C"/>
    <w:rsid w:val="0068126F"/>
    <w:rsid w:val="0068254F"/>
    <w:rsid w:val="006825C1"/>
    <w:rsid w:val="00683096"/>
    <w:rsid w:val="0068378A"/>
    <w:rsid w:val="006843F1"/>
    <w:rsid w:val="00684A5F"/>
    <w:rsid w:val="00685358"/>
    <w:rsid w:val="00685860"/>
    <w:rsid w:val="006862E0"/>
    <w:rsid w:val="00686587"/>
    <w:rsid w:val="00686B16"/>
    <w:rsid w:val="00686E92"/>
    <w:rsid w:val="00687CD7"/>
    <w:rsid w:val="0069085C"/>
    <w:rsid w:val="00691ADA"/>
    <w:rsid w:val="0069239C"/>
    <w:rsid w:val="00692609"/>
    <w:rsid w:val="006929DE"/>
    <w:rsid w:val="006930A1"/>
    <w:rsid w:val="006933CA"/>
    <w:rsid w:val="006936DD"/>
    <w:rsid w:val="0069423A"/>
    <w:rsid w:val="00694B2F"/>
    <w:rsid w:val="00694BF9"/>
    <w:rsid w:val="00694C73"/>
    <w:rsid w:val="00695472"/>
    <w:rsid w:val="0069575B"/>
    <w:rsid w:val="00696109"/>
    <w:rsid w:val="00696137"/>
    <w:rsid w:val="00696518"/>
    <w:rsid w:val="006965A9"/>
    <w:rsid w:val="0069749B"/>
    <w:rsid w:val="00697577"/>
    <w:rsid w:val="00697B30"/>
    <w:rsid w:val="00697F7F"/>
    <w:rsid w:val="006A0297"/>
    <w:rsid w:val="006A032F"/>
    <w:rsid w:val="006A090E"/>
    <w:rsid w:val="006A0A51"/>
    <w:rsid w:val="006A0AEC"/>
    <w:rsid w:val="006A0B69"/>
    <w:rsid w:val="006A0BAE"/>
    <w:rsid w:val="006A0C99"/>
    <w:rsid w:val="006A0DDE"/>
    <w:rsid w:val="006A32CB"/>
    <w:rsid w:val="006A3DBA"/>
    <w:rsid w:val="006A3E1F"/>
    <w:rsid w:val="006A3FE4"/>
    <w:rsid w:val="006A42D8"/>
    <w:rsid w:val="006A4A8D"/>
    <w:rsid w:val="006A538B"/>
    <w:rsid w:val="006A5F10"/>
    <w:rsid w:val="006A646E"/>
    <w:rsid w:val="006A67D7"/>
    <w:rsid w:val="006A6820"/>
    <w:rsid w:val="006A6A3F"/>
    <w:rsid w:val="006A6A46"/>
    <w:rsid w:val="006A6C62"/>
    <w:rsid w:val="006A7086"/>
    <w:rsid w:val="006A7180"/>
    <w:rsid w:val="006A724A"/>
    <w:rsid w:val="006A7C9A"/>
    <w:rsid w:val="006B040A"/>
    <w:rsid w:val="006B065A"/>
    <w:rsid w:val="006B0968"/>
    <w:rsid w:val="006B0FB2"/>
    <w:rsid w:val="006B15E7"/>
    <w:rsid w:val="006B1C66"/>
    <w:rsid w:val="006B21C8"/>
    <w:rsid w:val="006B2583"/>
    <w:rsid w:val="006B2AFE"/>
    <w:rsid w:val="006B34B1"/>
    <w:rsid w:val="006B3645"/>
    <w:rsid w:val="006B492C"/>
    <w:rsid w:val="006B531C"/>
    <w:rsid w:val="006B7135"/>
    <w:rsid w:val="006B7B3F"/>
    <w:rsid w:val="006B7FC5"/>
    <w:rsid w:val="006C0165"/>
    <w:rsid w:val="006C06FE"/>
    <w:rsid w:val="006C0736"/>
    <w:rsid w:val="006C077E"/>
    <w:rsid w:val="006C0BCA"/>
    <w:rsid w:val="006C0FA0"/>
    <w:rsid w:val="006C1B6E"/>
    <w:rsid w:val="006C243B"/>
    <w:rsid w:val="006C2665"/>
    <w:rsid w:val="006C27F8"/>
    <w:rsid w:val="006C2FD1"/>
    <w:rsid w:val="006C36F6"/>
    <w:rsid w:val="006C394D"/>
    <w:rsid w:val="006C3A0E"/>
    <w:rsid w:val="006C4A74"/>
    <w:rsid w:val="006C5BE7"/>
    <w:rsid w:val="006C5F7F"/>
    <w:rsid w:val="006C60AA"/>
    <w:rsid w:val="006C6445"/>
    <w:rsid w:val="006C65B0"/>
    <w:rsid w:val="006C684F"/>
    <w:rsid w:val="006C6A78"/>
    <w:rsid w:val="006C6F6B"/>
    <w:rsid w:val="006C7182"/>
    <w:rsid w:val="006C744E"/>
    <w:rsid w:val="006D0014"/>
    <w:rsid w:val="006D04CA"/>
    <w:rsid w:val="006D0540"/>
    <w:rsid w:val="006D06FD"/>
    <w:rsid w:val="006D157B"/>
    <w:rsid w:val="006D2492"/>
    <w:rsid w:val="006D31A1"/>
    <w:rsid w:val="006D431D"/>
    <w:rsid w:val="006D5688"/>
    <w:rsid w:val="006D586F"/>
    <w:rsid w:val="006D5D2B"/>
    <w:rsid w:val="006D65EA"/>
    <w:rsid w:val="006D66E1"/>
    <w:rsid w:val="006D6CE9"/>
    <w:rsid w:val="006D76F6"/>
    <w:rsid w:val="006E0B54"/>
    <w:rsid w:val="006E10EC"/>
    <w:rsid w:val="006E1218"/>
    <w:rsid w:val="006E133D"/>
    <w:rsid w:val="006E1343"/>
    <w:rsid w:val="006E1E14"/>
    <w:rsid w:val="006E2370"/>
    <w:rsid w:val="006E299C"/>
    <w:rsid w:val="006E4183"/>
    <w:rsid w:val="006E467A"/>
    <w:rsid w:val="006E4BBD"/>
    <w:rsid w:val="006E4CA0"/>
    <w:rsid w:val="006E5C1F"/>
    <w:rsid w:val="006E5CFC"/>
    <w:rsid w:val="006E6285"/>
    <w:rsid w:val="006E6352"/>
    <w:rsid w:val="006E639E"/>
    <w:rsid w:val="006E7349"/>
    <w:rsid w:val="006E76D3"/>
    <w:rsid w:val="006E7737"/>
    <w:rsid w:val="006E7EC5"/>
    <w:rsid w:val="006F0FCC"/>
    <w:rsid w:val="006F14FF"/>
    <w:rsid w:val="006F1692"/>
    <w:rsid w:val="006F1D42"/>
    <w:rsid w:val="006F1D69"/>
    <w:rsid w:val="006F24B0"/>
    <w:rsid w:val="006F2F84"/>
    <w:rsid w:val="006F3086"/>
    <w:rsid w:val="006F34DB"/>
    <w:rsid w:val="006F4438"/>
    <w:rsid w:val="006F4763"/>
    <w:rsid w:val="006F4899"/>
    <w:rsid w:val="006F59FB"/>
    <w:rsid w:val="006F6427"/>
    <w:rsid w:val="006F672F"/>
    <w:rsid w:val="00700974"/>
    <w:rsid w:val="00700F91"/>
    <w:rsid w:val="00701A4D"/>
    <w:rsid w:val="00701B46"/>
    <w:rsid w:val="00701BE7"/>
    <w:rsid w:val="00701E36"/>
    <w:rsid w:val="00702245"/>
    <w:rsid w:val="007022DD"/>
    <w:rsid w:val="0070284B"/>
    <w:rsid w:val="00702F60"/>
    <w:rsid w:val="00704957"/>
    <w:rsid w:val="00704E08"/>
    <w:rsid w:val="00705063"/>
    <w:rsid w:val="00705233"/>
    <w:rsid w:val="00705787"/>
    <w:rsid w:val="00706388"/>
    <w:rsid w:val="007077F2"/>
    <w:rsid w:val="007079AA"/>
    <w:rsid w:val="00707C8D"/>
    <w:rsid w:val="007100EE"/>
    <w:rsid w:val="00710390"/>
    <w:rsid w:val="00710A0B"/>
    <w:rsid w:val="00710A5B"/>
    <w:rsid w:val="00710AED"/>
    <w:rsid w:val="00710AF0"/>
    <w:rsid w:val="0071186D"/>
    <w:rsid w:val="00712096"/>
    <w:rsid w:val="00712218"/>
    <w:rsid w:val="007129FD"/>
    <w:rsid w:val="0071325C"/>
    <w:rsid w:val="00713774"/>
    <w:rsid w:val="00713CC3"/>
    <w:rsid w:val="00713D71"/>
    <w:rsid w:val="00713EB5"/>
    <w:rsid w:val="00714174"/>
    <w:rsid w:val="007148BB"/>
    <w:rsid w:val="00714AA8"/>
    <w:rsid w:val="00715166"/>
    <w:rsid w:val="00715C7B"/>
    <w:rsid w:val="00716267"/>
    <w:rsid w:val="0071640A"/>
    <w:rsid w:val="00716921"/>
    <w:rsid w:val="00717269"/>
    <w:rsid w:val="00717354"/>
    <w:rsid w:val="00717712"/>
    <w:rsid w:val="00717930"/>
    <w:rsid w:val="00717F57"/>
    <w:rsid w:val="00720880"/>
    <w:rsid w:val="007208E4"/>
    <w:rsid w:val="007220F0"/>
    <w:rsid w:val="00722724"/>
    <w:rsid w:val="00722A3B"/>
    <w:rsid w:val="00722AE5"/>
    <w:rsid w:val="00722D7F"/>
    <w:rsid w:val="00724DED"/>
    <w:rsid w:val="00724FFB"/>
    <w:rsid w:val="0072531B"/>
    <w:rsid w:val="00725F3C"/>
    <w:rsid w:val="00726081"/>
    <w:rsid w:val="00726A41"/>
    <w:rsid w:val="00726A68"/>
    <w:rsid w:val="00726D62"/>
    <w:rsid w:val="00727AD9"/>
    <w:rsid w:val="00727E94"/>
    <w:rsid w:val="00730323"/>
    <w:rsid w:val="007304FF"/>
    <w:rsid w:val="00730DE9"/>
    <w:rsid w:val="007315A1"/>
    <w:rsid w:val="0073185E"/>
    <w:rsid w:val="007327A9"/>
    <w:rsid w:val="007333EE"/>
    <w:rsid w:val="00733A5B"/>
    <w:rsid w:val="00733E39"/>
    <w:rsid w:val="007343FE"/>
    <w:rsid w:val="0073454E"/>
    <w:rsid w:val="007346CA"/>
    <w:rsid w:val="00734DFA"/>
    <w:rsid w:val="00735157"/>
    <w:rsid w:val="00735581"/>
    <w:rsid w:val="00735D8C"/>
    <w:rsid w:val="007363E5"/>
    <w:rsid w:val="00736851"/>
    <w:rsid w:val="00736898"/>
    <w:rsid w:val="00736952"/>
    <w:rsid w:val="00736BEA"/>
    <w:rsid w:val="00737235"/>
    <w:rsid w:val="0073738E"/>
    <w:rsid w:val="007406CF"/>
    <w:rsid w:val="007414A0"/>
    <w:rsid w:val="007421A0"/>
    <w:rsid w:val="00742C70"/>
    <w:rsid w:val="00743074"/>
    <w:rsid w:val="007436CE"/>
    <w:rsid w:val="00743882"/>
    <w:rsid w:val="007438BE"/>
    <w:rsid w:val="00744279"/>
    <w:rsid w:val="007445D7"/>
    <w:rsid w:val="007456D4"/>
    <w:rsid w:val="00745D34"/>
    <w:rsid w:val="007464D2"/>
    <w:rsid w:val="00746521"/>
    <w:rsid w:val="007470E9"/>
    <w:rsid w:val="00747A35"/>
    <w:rsid w:val="007504FE"/>
    <w:rsid w:val="00751496"/>
    <w:rsid w:val="007515E3"/>
    <w:rsid w:val="00751E04"/>
    <w:rsid w:val="007520C8"/>
    <w:rsid w:val="00752154"/>
    <w:rsid w:val="007522A8"/>
    <w:rsid w:val="00752B36"/>
    <w:rsid w:val="00752F8E"/>
    <w:rsid w:val="0075310A"/>
    <w:rsid w:val="0075310F"/>
    <w:rsid w:val="00753982"/>
    <w:rsid w:val="00754034"/>
    <w:rsid w:val="00754138"/>
    <w:rsid w:val="007545D8"/>
    <w:rsid w:val="007546A8"/>
    <w:rsid w:val="00754EA5"/>
    <w:rsid w:val="007552AC"/>
    <w:rsid w:val="00755DE5"/>
    <w:rsid w:val="00755EF0"/>
    <w:rsid w:val="00755FA9"/>
    <w:rsid w:val="00756C43"/>
    <w:rsid w:val="00756C7F"/>
    <w:rsid w:val="00756CF0"/>
    <w:rsid w:val="00757652"/>
    <w:rsid w:val="00757660"/>
    <w:rsid w:val="00757670"/>
    <w:rsid w:val="00757C3A"/>
    <w:rsid w:val="0076079E"/>
    <w:rsid w:val="007609BD"/>
    <w:rsid w:val="00760D69"/>
    <w:rsid w:val="00760E40"/>
    <w:rsid w:val="00761186"/>
    <w:rsid w:val="00761D80"/>
    <w:rsid w:val="00762099"/>
    <w:rsid w:val="00762E13"/>
    <w:rsid w:val="007631F2"/>
    <w:rsid w:val="00763371"/>
    <w:rsid w:val="007637C2"/>
    <w:rsid w:val="00763BDA"/>
    <w:rsid w:val="00763CCA"/>
    <w:rsid w:val="00763E8D"/>
    <w:rsid w:val="00763F2F"/>
    <w:rsid w:val="00764DEE"/>
    <w:rsid w:val="00764E97"/>
    <w:rsid w:val="0076544A"/>
    <w:rsid w:val="00765AC7"/>
    <w:rsid w:val="00765B4F"/>
    <w:rsid w:val="00766141"/>
    <w:rsid w:val="00766184"/>
    <w:rsid w:val="007663C2"/>
    <w:rsid w:val="00766674"/>
    <w:rsid w:val="00767364"/>
    <w:rsid w:val="00767B10"/>
    <w:rsid w:val="0077010B"/>
    <w:rsid w:val="007701C4"/>
    <w:rsid w:val="007705AD"/>
    <w:rsid w:val="007708D0"/>
    <w:rsid w:val="00770EB6"/>
    <w:rsid w:val="00771D84"/>
    <w:rsid w:val="00771F2A"/>
    <w:rsid w:val="007731AE"/>
    <w:rsid w:val="007736A4"/>
    <w:rsid w:val="007739CD"/>
    <w:rsid w:val="0077421A"/>
    <w:rsid w:val="007750C4"/>
    <w:rsid w:val="00775923"/>
    <w:rsid w:val="0077663B"/>
    <w:rsid w:val="00777113"/>
    <w:rsid w:val="007778EF"/>
    <w:rsid w:val="00777A17"/>
    <w:rsid w:val="00777CE9"/>
    <w:rsid w:val="00777FAE"/>
    <w:rsid w:val="007806CE"/>
    <w:rsid w:val="00780769"/>
    <w:rsid w:val="00780A53"/>
    <w:rsid w:val="00780B65"/>
    <w:rsid w:val="007822CB"/>
    <w:rsid w:val="00782A9E"/>
    <w:rsid w:val="00782BB8"/>
    <w:rsid w:val="0078311F"/>
    <w:rsid w:val="00783E1E"/>
    <w:rsid w:val="00784AC6"/>
    <w:rsid w:val="00784E23"/>
    <w:rsid w:val="00785315"/>
    <w:rsid w:val="00785EB8"/>
    <w:rsid w:val="0078619B"/>
    <w:rsid w:val="007861BA"/>
    <w:rsid w:val="00786270"/>
    <w:rsid w:val="00786A3F"/>
    <w:rsid w:val="007904F2"/>
    <w:rsid w:val="007905DB"/>
    <w:rsid w:val="00791B90"/>
    <w:rsid w:val="00792AF4"/>
    <w:rsid w:val="00793C4A"/>
    <w:rsid w:val="007943FE"/>
    <w:rsid w:val="007945B4"/>
    <w:rsid w:val="00794FAF"/>
    <w:rsid w:val="0079577B"/>
    <w:rsid w:val="00796140"/>
    <w:rsid w:val="007961FB"/>
    <w:rsid w:val="007A0118"/>
    <w:rsid w:val="007A09FC"/>
    <w:rsid w:val="007A1ABD"/>
    <w:rsid w:val="007A1DF8"/>
    <w:rsid w:val="007A20DD"/>
    <w:rsid w:val="007A226E"/>
    <w:rsid w:val="007A24E6"/>
    <w:rsid w:val="007A2C3D"/>
    <w:rsid w:val="007A2E19"/>
    <w:rsid w:val="007A37C0"/>
    <w:rsid w:val="007A3C1E"/>
    <w:rsid w:val="007A4852"/>
    <w:rsid w:val="007A7157"/>
    <w:rsid w:val="007A72AB"/>
    <w:rsid w:val="007A7654"/>
    <w:rsid w:val="007A778E"/>
    <w:rsid w:val="007A795C"/>
    <w:rsid w:val="007A7A4E"/>
    <w:rsid w:val="007A7CE8"/>
    <w:rsid w:val="007B03FC"/>
    <w:rsid w:val="007B082A"/>
    <w:rsid w:val="007B0D61"/>
    <w:rsid w:val="007B1269"/>
    <w:rsid w:val="007B13B3"/>
    <w:rsid w:val="007B1511"/>
    <w:rsid w:val="007B158E"/>
    <w:rsid w:val="007B15F1"/>
    <w:rsid w:val="007B1758"/>
    <w:rsid w:val="007B19C9"/>
    <w:rsid w:val="007B2494"/>
    <w:rsid w:val="007B249D"/>
    <w:rsid w:val="007B2774"/>
    <w:rsid w:val="007B2A0B"/>
    <w:rsid w:val="007B2EB4"/>
    <w:rsid w:val="007B4400"/>
    <w:rsid w:val="007B5096"/>
    <w:rsid w:val="007B5A37"/>
    <w:rsid w:val="007B626A"/>
    <w:rsid w:val="007B73DC"/>
    <w:rsid w:val="007B7F35"/>
    <w:rsid w:val="007C089E"/>
    <w:rsid w:val="007C09D2"/>
    <w:rsid w:val="007C1D4D"/>
    <w:rsid w:val="007C202A"/>
    <w:rsid w:val="007C2941"/>
    <w:rsid w:val="007C2C1F"/>
    <w:rsid w:val="007C2D4E"/>
    <w:rsid w:val="007C34D9"/>
    <w:rsid w:val="007C3FAF"/>
    <w:rsid w:val="007C428D"/>
    <w:rsid w:val="007C49E6"/>
    <w:rsid w:val="007C4BF0"/>
    <w:rsid w:val="007C4D3E"/>
    <w:rsid w:val="007C4D47"/>
    <w:rsid w:val="007C6328"/>
    <w:rsid w:val="007C6CD3"/>
    <w:rsid w:val="007C70F7"/>
    <w:rsid w:val="007C7271"/>
    <w:rsid w:val="007C747A"/>
    <w:rsid w:val="007C74C1"/>
    <w:rsid w:val="007C7B35"/>
    <w:rsid w:val="007D0ED5"/>
    <w:rsid w:val="007D3BBB"/>
    <w:rsid w:val="007D4176"/>
    <w:rsid w:val="007D4AAD"/>
    <w:rsid w:val="007D4F29"/>
    <w:rsid w:val="007D57EC"/>
    <w:rsid w:val="007D599A"/>
    <w:rsid w:val="007D5D17"/>
    <w:rsid w:val="007D5E02"/>
    <w:rsid w:val="007D64E7"/>
    <w:rsid w:val="007D67A2"/>
    <w:rsid w:val="007D71A7"/>
    <w:rsid w:val="007E087E"/>
    <w:rsid w:val="007E0968"/>
    <w:rsid w:val="007E1D6C"/>
    <w:rsid w:val="007E1E15"/>
    <w:rsid w:val="007E20D6"/>
    <w:rsid w:val="007E260A"/>
    <w:rsid w:val="007E30D4"/>
    <w:rsid w:val="007E3E95"/>
    <w:rsid w:val="007E41D5"/>
    <w:rsid w:val="007E437D"/>
    <w:rsid w:val="007E479A"/>
    <w:rsid w:val="007E488D"/>
    <w:rsid w:val="007E49AF"/>
    <w:rsid w:val="007E4A36"/>
    <w:rsid w:val="007E4CAA"/>
    <w:rsid w:val="007E4D48"/>
    <w:rsid w:val="007E5A30"/>
    <w:rsid w:val="007E5BE6"/>
    <w:rsid w:val="007E623D"/>
    <w:rsid w:val="007E6E6E"/>
    <w:rsid w:val="007E72AE"/>
    <w:rsid w:val="007E7AA8"/>
    <w:rsid w:val="007F003B"/>
    <w:rsid w:val="007F16A2"/>
    <w:rsid w:val="007F185D"/>
    <w:rsid w:val="007F38BC"/>
    <w:rsid w:val="007F3CB1"/>
    <w:rsid w:val="007F4138"/>
    <w:rsid w:val="007F435B"/>
    <w:rsid w:val="007F475A"/>
    <w:rsid w:val="007F48F1"/>
    <w:rsid w:val="007F4A8C"/>
    <w:rsid w:val="007F5B05"/>
    <w:rsid w:val="007F60D4"/>
    <w:rsid w:val="007F66AD"/>
    <w:rsid w:val="007F7229"/>
    <w:rsid w:val="007F726B"/>
    <w:rsid w:val="007F76FD"/>
    <w:rsid w:val="00800008"/>
    <w:rsid w:val="0080031A"/>
    <w:rsid w:val="008004CE"/>
    <w:rsid w:val="008008B8"/>
    <w:rsid w:val="0080159F"/>
    <w:rsid w:val="008023DA"/>
    <w:rsid w:val="00802412"/>
    <w:rsid w:val="00802FA6"/>
    <w:rsid w:val="0080311A"/>
    <w:rsid w:val="00803534"/>
    <w:rsid w:val="008035D5"/>
    <w:rsid w:val="00803B0F"/>
    <w:rsid w:val="00803B93"/>
    <w:rsid w:val="00803FCE"/>
    <w:rsid w:val="0080577B"/>
    <w:rsid w:val="00805D27"/>
    <w:rsid w:val="00806359"/>
    <w:rsid w:val="00806E20"/>
    <w:rsid w:val="00806FEA"/>
    <w:rsid w:val="008072A0"/>
    <w:rsid w:val="00807F00"/>
    <w:rsid w:val="00810748"/>
    <w:rsid w:val="008110F6"/>
    <w:rsid w:val="00811AB3"/>
    <w:rsid w:val="00811EC6"/>
    <w:rsid w:val="008122B3"/>
    <w:rsid w:val="0081245D"/>
    <w:rsid w:val="00812A1E"/>
    <w:rsid w:val="008131C4"/>
    <w:rsid w:val="008132CD"/>
    <w:rsid w:val="0081371B"/>
    <w:rsid w:val="00814352"/>
    <w:rsid w:val="00814D5A"/>
    <w:rsid w:val="00815EF8"/>
    <w:rsid w:val="008166F1"/>
    <w:rsid w:val="0081690D"/>
    <w:rsid w:val="0081696A"/>
    <w:rsid w:val="0081701C"/>
    <w:rsid w:val="008170EE"/>
    <w:rsid w:val="0081733B"/>
    <w:rsid w:val="008177B1"/>
    <w:rsid w:val="00817A7C"/>
    <w:rsid w:val="00817B32"/>
    <w:rsid w:val="008208B9"/>
    <w:rsid w:val="00820977"/>
    <w:rsid w:val="008213F1"/>
    <w:rsid w:val="00821EE5"/>
    <w:rsid w:val="0082298D"/>
    <w:rsid w:val="00822FC5"/>
    <w:rsid w:val="008238FD"/>
    <w:rsid w:val="008242BF"/>
    <w:rsid w:val="00824807"/>
    <w:rsid w:val="00824D46"/>
    <w:rsid w:val="00824D5C"/>
    <w:rsid w:val="00825218"/>
    <w:rsid w:val="00826758"/>
    <w:rsid w:val="0082684B"/>
    <w:rsid w:val="00826EFE"/>
    <w:rsid w:val="00827A65"/>
    <w:rsid w:val="00827D2E"/>
    <w:rsid w:val="00827F64"/>
    <w:rsid w:val="00830772"/>
    <w:rsid w:val="00830B45"/>
    <w:rsid w:val="00830DDA"/>
    <w:rsid w:val="00831AF2"/>
    <w:rsid w:val="008320B2"/>
    <w:rsid w:val="008322D2"/>
    <w:rsid w:val="0083241A"/>
    <w:rsid w:val="0083258D"/>
    <w:rsid w:val="00832E58"/>
    <w:rsid w:val="008338F7"/>
    <w:rsid w:val="00834016"/>
    <w:rsid w:val="00834460"/>
    <w:rsid w:val="00836596"/>
    <w:rsid w:val="0083694C"/>
    <w:rsid w:val="00836C8E"/>
    <w:rsid w:val="00836D31"/>
    <w:rsid w:val="00837ED2"/>
    <w:rsid w:val="008407DC"/>
    <w:rsid w:val="008409D7"/>
    <w:rsid w:val="00841A0E"/>
    <w:rsid w:val="008427E0"/>
    <w:rsid w:val="008428F9"/>
    <w:rsid w:val="00844A02"/>
    <w:rsid w:val="00844A70"/>
    <w:rsid w:val="008450E5"/>
    <w:rsid w:val="008452ED"/>
    <w:rsid w:val="00845C6A"/>
    <w:rsid w:val="00846298"/>
    <w:rsid w:val="008466A2"/>
    <w:rsid w:val="00846891"/>
    <w:rsid w:val="00846C38"/>
    <w:rsid w:val="00846CC0"/>
    <w:rsid w:val="00846DE8"/>
    <w:rsid w:val="00846F5D"/>
    <w:rsid w:val="0084727F"/>
    <w:rsid w:val="00847883"/>
    <w:rsid w:val="00847D50"/>
    <w:rsid w:val="00847FB4"/>
    <w:rsid w:val="00847FEF"/>
    <w:rsid w:val="00850A89"/>
    <w:rsid w:val="00850E16"/>
    <w:rsid w:val="00850F55"/>
    <w:rsid w:val="00851015"/>
    <w:rsid w:val="00851399"/>
    <w:rsid w:val="00851AC6"/>
    <w:rsid w:val="00851B51"/>
    <w:rsid w:val="00852128"/>
    <w:rsid w:val="008524A0"/>
    <w:rsid w:val="00852C04"/>
    <w:rsid w:val="00852CBE"/>
    <w:rsid w:val="0085334F"/>
    <w:rsid w:val="008542CE"/>
    <w:rsid w:val="00854793"/>
    <w:rsid w:val="0085526E"/>
    <w:rsid w:val="008556D3"/>
    <w:rsid w:val="0085640F"/>
    <w:rsid w:val="00856EB5"/>
    <w:rsid w:val="00857FB1"/>
    <w:rsid w:val="008604E8"/>
    <w:rsid w:val="00860843"/>
    <w:rsid w:val="00860DD3"/>
    <w:rsid w:val="00861157"/>
    <w:rsid w:val="00861A3A"/>
    <w:rsid w:val="00862294"/>
    <w:rsid w:val="00862E9D"/>
    <w:rsid w:val="00863A7F"/>
    <w:rsid w:val="008652E9"/>
    <w:rsid w:val="00865ED9"/>
    <w:rsid w:val="0086635C"/>
    <w:rsid w:val="0086647B"/>
    <w:rsid w:val="00866747"/>
    <w:rsid w:val="00866853"/>
    <w:rsid w:val="00866B26"/>
    <w:rsid w:val="00866F5A"/>
    <w:rsid w:val="0086732F"/>
    <w:rsid w:val="0086770D"/>
    <w:rsid w:val="0086776A"/>
    <w:rsid w:val="00867F4C"/>
    <w:rsid w:val="00870086"/>
    <w:rsid w:val="00871764"/>
    <w:rsid w:val="00871A19"/>
    <w:rsid w:val="00871D23"/>
    <w:rsid w:val="00871E96"/>
    <w:rsid w:val="00871F98"/>
    <w:rsid w:val="00872967"/>
    <w:rsid w:val="00873CD2"/>
    <w:rsid w:val="00873E6C"/>
    <w:rsid w:val="0087441D"/>
    <w:rsid w:val="00874E92"/>
    <w:rsid w:val="008753EF"/>
    <w:rsid w:val="008756D7"/>
    <w:rsid w:val="00875CDA"/>
    <w:rsid w:val="00876688"/>
    <w:rsid w:val="00876CEC"/>
    <w:rsid w:val="00876D6B"/>
    <w:rsid w:val="008775E1"/>
    <w:rsid w:val="0087771E"/>
    <w:rsid w:val="008808CF"/>
    <w:rsid w:val="00880F62"/>
    <w:rsid w:val="008822AC"/>
    <w:rsid w:val="00882D1B"/>
    <w:rsid w:val="008831C9"/>
    <w:rsid w:val="008837CD"/>
    <w:rsid w:val="0088474D"/>
    <w:rsid w:val="00884C80"/>
    <w:rsid w:val="00884DB1"/>
    <w:rsid w:val="00884F49"/>
    <w:rsid w:val="00885DF2"/>
    <w:rsid w:val="00886273"/>
    <w:rsid w:val="0088664C"/>
    <w:rsid w:val="0088666E"/>
    <w:rsid w:val="00886733"/>
    <w:rsid w:val="00886809"/>
    <w:rsid w:val="00890214"/>
    <w:rsid w:val="008902FE"/>
    <w:rsid w:val="0089118A"/>
    <w:rsid w:val="008914AB"/>
    <w:rsid w:val="00891CA5"/>
    <w:rsid w:val="008925AE"/>
    <w:rsid w:val="00892C40"/>
    <w:rsid w:val="00892DB2"/>
    <w:rsid w:val="008930C4"/>
    <w:rsid w:val="008934D0"/>
    <w:rsid w:val="008937B0"/>
    <w:rsid w:val="008937E7"/>
    <w:rsid w:val="0089394E"/>
    <w:rsid w:val="0089417A"/>
    <w:rsid w:val="008942C9"/>
    <w:rsid w:val="00894740"/>
    <w:rsid w:val="00895631"/>
    <w:rsid w:val="0089671F"/>
    <w:rsid w:val="008969DA"/>
    <w:rsid w:val="00896B4F"/>
    <w:rsid w:val="00896B9F"/>
    <w:rsid w:val="00896D67"/>
    <w:rsid w:val="008979CD"/>
    <w:rsid w:val="00897E4A"/>
    <w:rsid w:val="00897EE8"/>
    <w:rsid w:val="008A1779"/>
    <w:rsid w:val="008A1F6C"/>
    <w:rsid w:val="008A263C"/>
    <w:rsid w:val="008A2E44"/>
    <w:rsid w:val="008A3342"/>
    <w:rsid w:val="008A3609"/>
    <w:rsid w:val="008A3730"/>
    <w:rsid w:val="008A3B64"/>
    <w:rsid w:val="008A3EDC"/>
    <w:rsid w:val="008A43A9"/>
    <w:rsid w:val="008A44F6"/>
    <w:rsid w:val="008A56B2"/>
    <w:rsid w:val="008A5FDA"/>
    <w:rsid w:val="008A6327"/>
    <w:rsid w:val="008A686A"/>
    <w:rsid w:val="008A6955"/>
    <w:rsid w:val="008A709A"/>
    <w:rsid w:val="008A75AF"/>
    <w:rsid w:val="008A760A"/>
    <w:rsid w:val="008B1035"/>
    <w:rsid w:val="008B113B"/>
    <w:rsid w:val="008B12F7"/>
    <w:rsid w:val="008B2C7A"/>
    <w:rsid w:val="008B3FDA"/>
    <w:rsid w:val="008B40F5"/>
    <w:rsid w:val="008B53E3"/>
    <w:rsid w:val="008B5783"/>
    <w:rsid w:val="008B5C06"/>
    <w:rsid w:val="008B5DD2"/>
    <w:rsid w:val="008B617D"/>
    <w:rsid w:val="008B6CBB"/>
    <w:rsid w:val="008B7726"/>
    <w:rsid w:val="008B7F2F"/>
    <w:rsid w:val="008C04F3"/>
    <w:rsid w:val="008C0841"/>
    <w:rsid w:val="008C0DF0"/>
    <w:rsid w:val="008C16AA"/>
    <w:rsid w:val="008C356B"/>
    <w:rsid w:val="008C3B5E"/>
    <w:rsid w:val="008C3B8C"/>
    <w:rsid w:val="008C4BF2"/>
    <w:rsid w:val="008C4CF4"/>
    <w:rsid w:val="008C55CE"/>
    <w:rsid w:val="008C62C7"/>
    <w:rsid w:val="008D03F3"/>
    <w:rsid w:val="008D06A6"/>
    <w:rsid w:val="008D16F8"/>
    <w:rsid w:val="008D1F74"/>
    <w:rsid w:val="008D2528"/>
    <w:rsid w:val="008D2919"/>
    <w:rsid w:val="008D2DC6"/>
    <w:rsid w:val="008D30DC"/>
    <w:rsid w:val="008D43DF"/>
    <w:rsid w:val="008D4F96"/>
    <w:rsid w:val="008D5F03"/>
    <w:rsid w:val="008D6466"/>
    <w:rsid w:val="008D6D2E"/>
    <w:rsid w:val="008D7394"/>
    <w:rsid w:val="008D748E"/>
    <w:rsid w:val="008D7678"/>
    <w:rsid w:val="008D77D2"/>
    <w:rsid w:val="008E05FF"/>
    <w:rsid w:val="008E0EB6"/>
    <w:rsid w:val="008E1C58"/>
    <w:rsid w:val="008E2048"/>
    <w:rsid w:val="008E23EE"/>
    <w:rsid w:val="008E2909"/>
    <w:rsid w:val="008E2C15"/>
    <w:rsid w:val="008E2CFC"/>
    <w:rsid w:val="008E2E30"/>
    <w:rsid w:val="008E34B2"/>
    <w:rsid w:val="008E4B9A"/>
    <w:rsid w:val="008E4BFF"/>
    <w:rsid w:val="008E4D05"/>
    <w:rsid w:val="008E610B"/>
    <w:rsid w:val="008E7D9D"/>
    <w:rsid w:val="008F0657"/>
    <w:rsid w:val="008F1050"/>
    <w:rsid w:val="008F134C"/>
    <w:rsid w:val="008F18F5"/>
    <w:rsid w:val="008F1ACE"/>
    <w:rsid w:val="008F1BA1"/>
    <w:rsid w:val="008F20B2"/>
    <w:rsid w:val="008F24C6"/>
    <w:rsid w:val="008F3172"/>
    <w:rsid w:val="008F3E3D"/>
    <w:rsid w:val="008F4A6C"/>
    <w:rsid w:val="008F584F"/>
    <w:rsid w:val="008F6369"/>
    <w:rsid w:val="008F688D"/>
    <w:rsid w:val="008F6917"/>
    <w:rsid w:val="008F7434"/>
    <w:rsid w:val="008F799A"/>
    <w:rsid w:val="0090004F"/>
    <w:rsid w:val="009004FD"/>
    <w:rsid w:val="00900D33"/>
    <w:rsid w:val="00900EFE"/>
    <w:rsid w:val="0090188F"/>
    <w:rsid w:val="00902018"/>
    <w:rsid w:val="00902A07"/>
    <w:rsid w:val="00902C87"/>
    <w:rsid w:val="00902D9C"/>
    <w:rsid w:val="00903500"/>
    <w:rsid w:val="00903F37"/>
    <w:rsid w:val="00904BAA"/>
    <w:rsid w:val="009055D2"/>
    <w:rsid w:val="0090575C"/>
    <w:rsid w:val="009057AD"/>
    <w:rsid w:val="009061B1"/>
    <w:rsid w:val="0090693F"/>
    <w:rsid w:val="0090750D"/>
    <w:rsid w:val="00907816"/>
    <w:rsid w:val="00911295"/>
    <w:rsid w:val="00912FF5"/>
    <w:rsid w:val="00913ACD"/>
    <w:rsid w:val="00914491"/>
    <w:rsid w:val="00914F7E"/>
    <w:rsid w:val="00915537"/>
    <w:rsid w:val="00915F79"/>
    <w:rsid w:val="009167B4"/>
    <w:rsid w:val="00916BA2"/>
    <w:rsid w:val="00916C2B"/>
    <w:rsid w:val="00917FC2"/>
    <w:rsid w:val="0092055B"/>
    <w:rsid w:val="009205C8"/>
    <w:rsid w:val="00920D4C"/>
    <w:rsid w:val="0092126D"/>
    <w:rsid w:val="009216C0"/>
    <w:rsid w:val="00921CE1"/>
    <w:rsid w:val="00922244"/>
    <w:rsid w:val="009226F1"/>
    <w:rsid w:val="00922845"/>
    <w:rsid w:val="009228BD"/>
    <w:rsid w:val="00923022"/>
    <w:rsid w:val="00923054"/>
    <w:rsid w:val="00923657"/>
    <w:rsid w:val="00923678"/>
    <w:rsid w:val="00924964"/>
    <w:rsid w:val="00924CA8"/>
    <w:rsid w:val="0092552A"/>
    <w:rsid w:val="00926BB1"/>
    <w:rsid w:val="00926DF0"/>
    <w:rsid w:val="00927339"/>
    <w:rsid w:val="00927F6E"/>
    <w:rsid w:val="009308C0"/>
    <w:rsid w:val="009308FD"/>
    <w:rsid w:val="00930B3B"/>
    <w:rsid w:val="00931187"/>
    <w:rsid w:val="00931499"/>
    <w:rsid w:val="009315C4"/>
    <w:rsid w:val="00931AC9"/>
    <w:rsid w:val="0093235D"/>
    <w:rsid w:val="00932679"/>
    <w:rsid w:val="0093297E"/>
    <w:rsid w:val="00932C48"/>
    <w:rsid w:val="00933C1E"/>
    <w:rsid w:val="009340E0"/>
    <w:rsid w:val="0093576E"/>
    <w:rsid w:val="00935E78"/>
    <w:rsid w:val="00935F37"/>
    <w:rsid w:val="00935F4F"/>
    <w:rsid w:val="0093613A"/>
    <w:rsid w:val="00936241"/>
    <w:rsid w:val="009363B7"/>
    <w:rsid w:val="009366FF"/>
    <w:rsid w:val="00936803"/>
    <w:rsid w:val="00936AE6"/>
    <w:rsid w:val="00936C3E"/>
    <w:rsid w:val="00936E43"/>
    <w:rsid w:val="009374D1"/>
    <w:rsid w:val="0093791C"/>
    <w:rsid w:val="00937F91"/>
    <w:rsid w:val="0094003C"/>
    <w:rsid w:val="0094010A"/>
    <w:rsid w:val="00940C2A"/>
    <w:rsid w:val="0094142B"/>
    <w:rsid w:val="009416DE"/>
    <w:rsid w:val="00941844"/>
    <w:rsid w:val="0094196E"/>
    <w:rsid w:val="00941A33"/>
    <w:rsid w:val="00942865"/>
    <w:rsid w:val="009435DA"/>
    <w:rsid w:val="009437DE"/>
    <w:rsid w:val="0094448B"/>
    <w:rsid w:val="00944B77"/>
    <w:rsid w:val="00944F78"/>
    <w:rsid w:val="0094591C"/>
    <w:rsid w:val="009462A1"/>
    <w:rsid w:val="009462AC"/>
    <w:rsid w:val="009471B6"/>
    <w:rsid w:val="00947988"/>
    <w:rsid w:val="00947B99"/>
    <w:rsid w:val="009502B6"/>
    <w:rsid w:val="0095040B"/>
    <w:rsid w:val="0095059D"/>
    <w:rsid w:val="009507F2"/>
    <w:rsid w:val="00950844"/>
    <w:rsid w:val="00950B20"/>
    <w:rsid w:val="00950E9A"/>
    <w:rsid w:val="00950F77"/>
    <w:rsid w:val="00950FEF"/>
    <w:rsid w:val="00951E3B"/>
    <w:rsid w:val="00951EC9"/>
    <w:rsid w:val="0095267A"/>
    <w:rsid w:val="00952C49"/>
    <w:rsid w:val="00952E5A"/>
    <w:rsid w:val="009537BC"/>
    <w:rsid w:val="00953E9B"/>
    <w:rsid w:val="00954CBE"/>
    <w:rsid w:val="00954DC8"/>
    <w:rsid w:val="00955447"/>
    <w:rsid w:val="00955B78"/>
    <w:rsid w:val="00955B79"/>
    <w:rsid w:val="00955D58"/>
    <w:rsid w:val="0095634B"/>
    <w:rsid w:val="009569D0"/>
    <w:rsid w:val="0095775A"/>
    <w:rsid w:val="0095787C"/>
    <w:rsid w:val="009609FB"/>
    <w:rsid w:val="00960D49"/>
    <w:rsid w:val="00961CC0"/>
    <w:rsid w:val="009624AA"/>
    <w:rsid w:val="009624B7"/>
    <w:rsid w:val="00963058"/>
    <w:rsid w:val="00963F25"/>
    <w:rsid w:val="0096579D"/>
    <w:rsid w:val="00966457"/>
    <w:rsid w:val="00966F09"/>
    <w:rsid w:val="00967794"/>
    <w:rsid w:val="0096787C"/>
    <w:rsid w:val="0096787E"/>
    <w:rsid w:val="00967A77"/>
    <w:rsid w:val="00967D9E"/>
    <w:rsid w:val="00967E02"/>
    <w:rsid w:val="00967E3D"/>
    <w:rsid w:val="00970288"/>
    <w:rsid w:val="00970AEF"/>
    <w:rsid w:val="00971890"/>
    <w:rsid w:val="00971D11"/>
    <w:rsid w:val="009720BA"/>
    <w:rsid w:val="00972473"/>
    <w:rsid w:val="00972D3B"/>
    <w:rsid w:val="00973AAB"/>
    <w:rsid w:val="009754A3"/>
    <w:rsid w:val="009757B4"/>
    <w:rsid w:val="00976020"/>
    <w:rsid w:val="00976B8D"/>
    <w:rsid w:val="00976BFC"/>
    <w:rsid w:val="00977C2C"/>
    <w:rsid w:val="0098001D"/>
    <w:rsid w:val="0098002C"/>
    <w:rsid w:val="00980D03"/>
    <w:rsid w:val="00980D9A"/>
    <w:rsid w:val="00981057"/>
    <w:rsid w:val="00981A1C"/>
    <w:rsid w:val="00981EE5"/>
    <w:rsid w:val="0098209F"/>
    <w:rsid w:val="00982B2E"/>
    <w:rsid w:val="00983C33"/>
    <w:rsid w:val="00984147"/>
    <w:rsid w:val="00984AF3"/>
    <w:rsid w:val="009854DD"/>
    <w:rsid w:val="00985757"/>
    <w:rsid w:val="00985DAD"/>
    <w:rsid w:val="0098604F"/>
    <w:rsid w:val="0098623B"/>
    <w:rsid w:val="0098629D"/>
    <w:rsid w:val="00986634"/>
    <w:rsid w:val="0098677D"/>
    <w:rsid w:val="009867AD"/>
    <w:rsid w:val="009869EE"/>
    <w:rsid w:val="00987C75"/>
    <w:rsid w:val="00987C81"/>
    <w:rsid w:val="00987F91"/>
    <w:rsid w:val="009904EC"/>
    <w:rsid w:val="00990FAC"/>
    <w:rsid w:val="00991012"/>
    <w:rsid w:val="00991BBA"/>
    <w:rsid w:val="009920B0"/>
    <w:rsid w:val="00992613"/>
    <w:rsid w:val="00992DD1"/>
    <w:rsid w:val="009930F2"/>
    <w:rsid w:val="0099339C"/>
    <w:rsid w:val="009941E2"/>
    <w:rsid w:val="009943A9"/>
    <w:rsid w:val="00994AB4"/>
    <w:rsid w:val="00994C44"/>
    <w:rsid w:val="00994EF3"/>
    <w:rsid w:val="00995143"/>
    <w:rsid w:val="009967CF"/>
    <w:rsid w:val="009969E8"/>
    <w:rsid w:val="009A1049"/>
    <w:rsid w:val="009A13A1"/>
    <w:rsid w:val="009A1529"/>
    <w:rsid w:val="009A1674"/>
    <w:rsid w:val="009A1BCF"/>
    <w:rsid w:val="009A1EDA"/>
    <w:rsid w:val="009A229D"/>
    <w:rsid w:val="009A2E91"/>
    <w:rsid w:val="009A2F1D"/>
    <w:rsid w:val="009A3A59"/>
    <w:rsid w:val="009A3AD9"/>
    <w:rsid w:val="009A3EEB"/>
    <w:rsid w:val="009A47AB"/>
    <w:rsid w:val="009A5968"/>
    <w:rsid w:val="009B049A"/>
    <w:rsid w:val="009B191C"/>
    <w:rsid w:val="009B1D14"/>
    <w:rsid w:val="009B28BD"/>
    <w:rsid w:val="009B2D4E"/>
    <w:rsid w:val="009B36F3"/>
    <w:rsid w:val="009B414E"/>
    <w:rsid w:val="009B451D"/>
    <w:rsid w:val="009B477D"/>
    <w:rsid w:val="009B4B8B"/>
    <w:rsid w:val="009B4ED7"/>
    <w:rsid w:val="009B51D6"/>
    <w:rsid w:val="009B5503"/>
    <w:rsid w:val="009B62D0"/>
    <w:rsid w:val="009B6383"/>
    <w:rsid w:val="009B65C9"/>
    <w:rsid w:val="009B705A"/>
    <w:rsid w:val="009B74EB"/>
    <w:rsid w:val="009B798A"/>
    <w:rsid w:val="009B7B60"/>
    <w:rsid w:val="009C0EFC"/>
    <w:rsid w:val="009C17A0"/>
    <w:rsid w:val="009C1AAD"/>
    <w:rsid w:val="009C1C14"/>
    <w:rsid w:val="009C24C6"/>
    <w:rsid w:val="009C24E1"/>
    <w:rsid w:val="009C271D"/>
    <w:rsid w:val="009C271E"/>
    <w:rsid w:val="009C3927"/>
    <w:rsid w:val="009C3952"/>
    <w:rsid w:val="009C39EB"/>
    <w:rsid w:val="009C42F4"/>
    <w:rsid w:val="009C4568"/>
    <w:rsid w:val="009C47F6"/>
    <w:rsid w:val="009C4899"/>
    <w:rsid w:val="009C491C"/>
    <w:rsid w:val="009C4C0B"/>
    <w:rsid w:val="009C4C13"/>
    <w:rsid w:val="009C51D7"/>
    <w:rsid w:val="009C67C0"/>
    <w:rsid w:val="009C736D"/>
    <w:rsid w:val="009C7C57"/>
    <w:rsid w:val="009C7CF5"/>
    <w:rsid w:val="009C7E30"/>
    <w:rsid w:val="009D0164"/>
    <w:rsid w:val="009D032D"/>
    <w:rsid w:val="009D06E5"/>
    <w:rsid w:val="009D13BD"/>
    <w:rsid w:val="009D18C5"/>
    <w:rsid w:val="009D1E24"/>
    <w:rsid w:val="009D221E"/>
    <w:rsid w:val="009D2232"/>
    <w:rsid w:val="009D2E42"/>
    <w:rsid w:val="009D349D"/>
    <w:rsid w:val="009D3DBC"/>
    <w:rsid w:val="009D4730"/>
    <w:rsid w:val="009D4A1C"/>
    <w:rsid w:val="009D53CC"/>
    <w:rsid w:val="009D549F"/>
    <w:rsid w:val="009D569C"/>
    <w:rsid w:val="009D5D75"/>
    <w:rsid w:val="009D6CC2"/>
    <w:rsid w:val="009D74BC"/>
    <w:rsid w:val="009D76AA"/>
    <w:rsid w:val="009E0C65"/>
    <w:rsid w:val="009E0ED5"/>
    <w:rsid w:val="009E0FA6"/>
    <w:rsid w:val="009E1B91"/>
    <w:rsid w:val="009E1DC4"/>
    <w:rsid w:val="009E23B1"/>
    <w:rsid w:val="009E2683"/>
    <w:rsid w:val="009E2B8C"/>
    <w:rsid w:val="009E35E9"/>
    <w:rsid w:val="009E39E4"/>
    <w:rsid w:val="009E3B64"/>
    <w:rsid w:val="009E3FE9"/>
    <w:rsid w:val="009E4072"/>
    <w:rsid w:val="009E426D"/>
    <w:rsid w:val="009E4EBF"/>
    <w:rsid w:val="009E53F3"/>
    <w:rsid w:val="009E5989"/>
    <w:rsid w:val="009E5C30"/>
    <w:rsid w:val="009E5FB1"/>
    <w:rsid w:val="009E679B"/>
    <w:rsid w:val="009E679D"/>
    <w:rsid w:val="009E7890"/>
    <w:rsid w:val="009E7E8C"/>
    <w:rsid w:val="009F0198"/>
    <w:rsid w:val="009F110D"/>
    <w:rsid w:val="009F23B7"/>
    <w:rsid w:val="009F2758"/>
    <w:rsid w:val="009F277D"/>
    <w:rsid w:val="009F27AB"/>
    <w:rsid w:val="009F3110"/>
    <w:rsid w:val="009F36BC"/>
    <w:rsid w:val="009F3D5E"/>
    <w:rsid w:val="009F527A"/>
    <w:rsid w:val="009F5F59"/>
    <w:rsid w:val="009F6161"/>
    <w:rsid w:val="009F6785"/>
    <w:rsid w:val="009F67D4"/>
    <w:rsid w:val="009F692C"/>
    <w:rsid w:val="009F6B3E"/>
    <w:rsid w:val="009F70D8"/>
    <w:rsid w:val="009F72AA"/>
    <w:rsid w:val="009F7423"/>
    <w:rsid w:val="009F7B7F"/>
    <w:rsid w:val="00A00951"/>
    <w:rsid w:val="00A00FFB"/>
    <w:rsid w:val="00A01AF8"/>
    <w:rsid w:val="00A01B16"/>
    <w:rsid w:val="00A0247A"/>
    <w:rsid w:val="00A026B1"/>
    <w:rsid w:val="00A031EF"/>
    <w:rsid w:val="00A035D2"/>
    <w:rsid w:val="00A038F0"/>
    <w:rsid w:val="00A04497"/>
    <w:rsid w:val="00A045B0"/>
    <w:rsid w:val="00A04602"/>
    <w:rsid w:val="00A0480E"/>
    <w:rsid w:val="00A04DA3"/>
    <w:rsid w:val="00A05ED6"/>
    <w:rsid w:val="00A065AA"/>
    <w:rsid w:val="00A069F9"/>
    <w:rsid w:val="00A071E4"/>
    <w:rsid w:val="00A0742B"/>
    <w:rsid w:val="00A07819"/>
    <w:rsid w:val="00A07F08"/>
    <w:rsid w:val="00A10822"/>
    <w:rsid w:val="00A10EAE"/>
    <w:rsid w:val="00A11581"/>
    <w:rsid w:val="00A12B76"/>
    <w:rsid w:val="00A12BE9"/>
    <w:rsid w:val="00A13261"/>
    <w:rsid w:val="00A1346E"/>
    <w:rsid w:val="00A13E1B"/>
    <w:rsid w:val="00A13F98"/>
    <w:rsid w:val="00A142C4"/>
    <w:rsid w:val="00A14A11"/>
    <w:rsid w:val="00A14B3C"/>
    <w:rsid w:val="00A15445"/>
    <w:rsid w:val="00A15ADC"/>
    <w:rsid w:val="00A1625A"/>
    <w:rsid w:val="00A20AFF"/>
    <w:rsid w:val="00A20C67"/>
    <w:rsid w:val="00A21C86"/>
    <w:rsid w:val="00A21DAC"/>
    <w:rsid w:val="00A22152"/>
    <w:rsid w:val="00A2244B"/>
    <w:rsid w:val="00A235E1"/>
    <w:rsid w:val="00A23ECB"/>
    <w:rsid w:val="00A241FD"/>
    <w:rsid w:val="00A2463E"/>
    <w:rsid w:val="00A24DBB"/>
    <w:rsid w:val="00A2599D"/>
    <w:rsid w:val="00A25B18"/>
    <w:rsid w:val="00A261B3"/>
    <w:rsid w:val="00A265D9"/>
    <w:rsid w:val="00A265E0"/>
    <w:rsid w:val="00A27EAF"/>
    <w:rsid w:val="00A27F48"/>
    <w:rsid w:val="00A30E75"/>
    <w:rsid w:val="00A30EB8"/>
    <w:rsid w:val="00A314D1"/>
    <w:rsid w:val="00A31AEB"/>
    <w:rsid w:val="00A321C1"/>
    <w:rsid w:val="00A32813"/>
    <w:rsid w:val="00A33330"/>
    <w:rsid w:val="00A334E9"/>
    <w:rsid w:val="00A33A91"/>
    <w:rsid w:val="00A33F3B"/>
    <w:rsid w:val="00A349F9"/>
    <w:rsid w:val="00A34CC8"/>
    <w:rsid w:val="00A34D32"/>
    <w:rsid w:val="00A3546B"/>
    <w:rsid w:val="00A35765"/>
    <w:rsid w:val="00A36B40"/>
    <w:rsid w:val="00A36DF1"/>
    <w:rsid w:val="00A3720F"/>
    <w:rsid w:val="00A378E8"/>
    <w:rsid w:val="00A400B7"/>
    <w:rsid w:val="00A40D3D"/>
    <w:rsid w:val="00A41225"/>
    <w:rsid w:val="00A41423"/>
    <w:rsid w:val="00A416A4"/>
    <w:rsid w:val="00A41744"/>
    <w:rsid w:val="00A41FA1"/>
    <w:rsid w:val="00A42101"/>
    <w:rsid w:val="00A422CF"/>
    <w:rsid w:val="00A42B55"/>
    <w:rsid w:val="00A42B92"/>
    <w:rsid w:val="00A43244"/>
    <w:rsid w:val="00A436AD"/>
    <w:rsid w:val="00A437AA"/>
    <w:rsid w:val="00A437CF"/>
    <w:rsid w:val="00A43D24"/>
    <w:rsid w:val="00A43EDA"/>
    <w:rsid w:val="00A444BE"/>
    <w:rsid w:val="00A454E2"/>
    <w:rsid w:val="00A4590E"/>
    <w:rsid w:val="00A45E18"/>
    <w:rsid w:val="00A4617B"/>
    <w:rsid w:val="00A466AE"/>
    <w:rsid w:val="00A46710"/>
    <w:rsid w:val="00A46736"/>
    <w:rsid w:val="00A47AD7"/>
    <w:rsid w:val="00A47CA4"/>
    <w:rsid w:val="00A47CE6"/>
    <w:rsid w:val="00A47F6A"/>
    <w:rsid w:val="00A5018A"/>
    <w:rsid w:val="00A50B62"/>
    <w:rsid w:val="00A50FC1"/>
    <w:rsid w:val="00A51999"/>
    <w:rsid w:val="00A51A46"/>
    <w:rsid w:val="00A51B85"/>
    <w:rsid w:val="00A51C41"/>
    <w:rsid w:val="00A5241F"/>
    <w:rsid w:val="00A52AF6"/>
    <w:rsid w:val="00A52FAF"/>
    <w:rsid w:val="00A53210"/>
    <w:rsid w:val="00A53440"/>
    <w:rsid w:val="00A535D3"/>
    <w:rsid w:val="00A53821"/>
    <w:rsid w:val="00A53D51"/>
    <w:rsid w:val="00A54874"/>
    <w:rsid w:val="00A5494D"/>
    <w:rsid w:val="00A56351"/>
    <w:rsid w:val="00A56852"/>
    <w:rsid w:val="00A56AF0"/>
    <w:rsid w:val="00A56B00"/>
    <w:rsid w:val="00A57081"/>
    <w:rsid w:val="00A57374"/>
    <w:rsid w:val="00A57A18"/>
    <w:rsid w:val="00A57CC8"/>
    <w:rsid w:val="00A57F7B"/>
    <w:rsid w:val="00A60382"/>
    <w:rsid w:val="00A60B61"/>
    <w:rsid w:val="00A60DF0"/>
    <w:rsid w:val="00A6108F"/>
    <w:rsid w:val="00A611FB"/>
    <w:rsid w:val="00A6125A"/>
    <w:rsid w:val="00A624BC"/>
    <w:rsid w:val="00A62DD1"/>
    <w:rsid w:val="00A63872"/>
    <w:rsid w:val="00A63C46"/>
    <w:rsid w:val="00A64222"/>
    <w:rsid w:val="00A65AAC"/>
    <w:rsid w:val="00A65AE9"/>
    <w:rsid w:val="00A65ED6"/>
    <w:rsid w:val="00A6644F"/>
    <w:rsid w:val="00A66868"/>
    <w:rsid w:val="00A66B6F"/>
    <w:rsid w:val="00A67EE7"/>
    <w:rsid w:val="00A70A9D"/>
    <w:rsid w:val="00A7121D"/>
    <w:rsid w:val="00A71630"/>
    <w:rsid w:val="00A71D35"/>
    <w:rsid w:val="00A726BC"/>
    <w:rsid w:val="00A7358E"/>
    <w:rsid w:val="00A73860"/>
    <w:rsid w:val="00A73EE6"/>
    <w:rsid w:val="00A74713"/>
    <w:rsid w:val="00A76237"/>
    <w:rsid w:val="00A76B3E"/>
    <w:rsid w:val="00A80AF7"/>
    <w:rsid w:val="00A81097"/>
    <w:rsid w:val="00A811B5"/>
    <w:rsid w:val="00A81AD7"/>
    <w:rsid w:val="00A81C95"/>
    <w:rsid w:val="00A8210B"/>
    <w:rsid w:val="00A829C2"/>
    <w:rsid w:val="00A83690"/>
    <w:rsid w:val="00A83C47"/>
    <w:rsid w:val="00A843F6"/>
    <w:rsid w:val="00A85075"/>
    <w:rsid w:val="00A8517D"/>
    <w:rsid w:val="00A870A4"/>
    <w:rsid w:val="00A872BC"/>
    <w:rsid w:val="00A87A96"/>
    <w:rsid w:val="00A87D29"/>
    <w:rsid w:val="00A87DE8"/>
    <w:rsid w:val="00A90B4C"/>
    <w:rsid w:val="00A90C21"/>
    <w:rsid w:val="00A9148A"/>
    <w:rsid w:val="00A91E8A"/>
    <w:rsid w:val="00A92033"/>
    <w:rsid w:val="00A9216A"/>
    <w:rsid w:val="00A9242B"/>
    <w:rsid w:val="00A9271F"/>
    <w:rsid w:val="00A9273A"/>
    <w:rsid w:val="00A92FC8"/>
    <w:rsid w:val="00A936B1"/>
    <w:rsid w:val="00A93BC5"/>
    <w:rsid w:val="00A943B7"/>
    <w:rsid w:val="00A9456E"/>
    <w:rsid w:val="00A95A59"/>
    <w:rsid w:val="00A964FA"/>
    <w:rsid w:val="00A97111"/>
    <w:rsid w:val="00AA0196"/>
    <w:rsid w:val="00AA0C00"/>
    <w:rsid w:val="00AA11F5"/>
    <w:rsid w:val="00AA1752"/>
    <w:rsid w:val="00AA19A5"/>
    <w:rsid w:val="00AA1BF7"/>
    <w:rsid w:val="00AA295A"/>
    <w:rsid w:val="00AA373E"/>
    <w:rsid w:val="00AA3FC3"/>
    <w:rsid w:val="00AA4042"/>
    <w:rsid w:val="00AA53E7"/>
    <w:rsid w:val="00AA5DDF"/>
    <w:rsid w:val="00AA6BA5"/>
    <w:rsid w:val="00AA6BC0"/>
    <w:rsid w:val="00AA74E8"/>
    <w:rsid w:val="00AB0034"/>
    <w:rsid w:val="00AB03B3"/>
    <w:rsid w:val="00AB04EF"/>
    <w:rsid w:val="00AB139D"/>
    <w:rsid w:val="00AB1D6D"/>
    <w:rsid w:val="00AB1F10"/>
    <w:rsid w:val="00AB222A"/>
    <w:rsid w:val="00AB2AB0"/>
    <w:rsid w:val="00AB31F7"/>
    <w:rsid w:val="00AB34FB"/>
    <w:rsid w:val="00AB3726"/>
    <w:rsid w:val="00AB3786"/>
    <w:rsid w:val="00AB39A8"/>
    <w:rsid w:val="00AB3D59"/>
    <w:rsid w:val="00AB4017"/>
    <w:rsid w:val="00AB40A7"/>
    <w:rsid w:val="00AB4208"/>
    <w:rsid w:val="00AB43D3"/>
    <w:rsid w:val="00AB48F2"/>
    <w:rsid w:val="00AB528D"/>
    <w:rsid w:val="00AB53BD"/>
    <w:rsid w:val="00AB5A57"/>
    <w:rsid w:val="00AB6293"/>
    <w:rsid w:val="00AB70F7"/>
    <w:rsid w:val="00AB7443"/>
    <w:rsid w:val="00AC05B7"/>
    <w:rsid w:val="00AC06F6"/>
    <w:rsid w:val="00AC12B5"/>
    <w:rsid w:val="00AC1C7D"/>
    <w:rsid w:val="00AC1DE5"/>
    <w:rsid w:val="00AC242B"/>
    <w:rsid w:val="00AC2C23"/>
    <w:rsid w:val="00AC417A"/>
    <w:rsid w:val="00AC45B9"/>
    <w:rsid w:val="00AC45C8"/>
    <w:rsid w:val="00AC4677"/>
    <w:rsid w:val="00AC4AA0"/>
    <w:rsid w:val="00AC50FF"/>
    <w:rsid w:val="00AC57CD"/>
    <w:rsid w:val="00AC5B1D"/>
    <w:rsid w:val="00AC5B8A"/>
    <w:rsid w:val="00AC5C02"/>
    <w:rsid w:val="00AC60BE"/>
    <w:rsid w:val="00AC62BB"/>
    <w:rsid w:val="00AC62E8"/>
    <w:rsid w:val="00AC662C"/>
    <w:rsid w:val="00AC6BBA"/>
    <w:rsid w:val="00AC70DA"/>
    <w:rsid w:val="00AC7212"/>
    <w:rsid w:val="00AC7899"/>
    <w:rsid w:val="00AC7ECD"/>
    <w:rsid w:val="00AD0690"/>
    <w:rsid w:val="00AD0F24"/>
    <w:rsid w:val="00AD0FBF"/>
    <w:rsid w:val="00AD1152"/>
    <w:rsid w:val="00AD1AE8"/>
    <w:rsid w:val="00AD1D9D"/>
    <w:rsid w:val="00AD1F4F"/>
    <w:rsid w:val="00AD27E8"/>
    <w:rsid w:val="00AD3436"/>
    <w:rsid w:val="00AD3C3B"/>
    <w:rsid w:val="00AD4245"/>
    <w:rsid w:val="00AD445F"/>
    <w:rsid w:val="00AD462D"/>
    <w:rsid w:val="00AD4B9C"/>
    <w:rsid w:val="00AD555F"/>
    <w:rsid w:val="00AD6A0B"/>
    <w:rsid w:val="00AD7023"/>
    <w:rsid w:val="00AE005C"/>
    <w:rsid w:val="00AE09FC"/>
    <w:rsid w:val="00AE1766"/>
    <w:rsid w:val="00AE19BC"/>
    <w:rsid w:val="00AE1A6F"/>
    <w:rsid w:val="00AE1FA8"/>
    <w:rsid w:val="00AE3022"/>
    <w:rsid w:val="00AE368C"/>
    <w:rsid w:val="00AE442B"/>
    <w:rsid w:val="00AE4788"/>
    <w:rsid w:val="00AE49EC"/>
    <w:rsid w:val="00AE4B38"/>
    <w:rsid w:val="00AE4E95"/>
    <w:rsid w:val="00AE4FC3"/>
    <w:rsid w:val="00AE53A1"/>
    <w:rsid w:val="00AE5412"/>
    <w:rsid w:val="00AE5708"/>
    <w:rsid w:val="00AE6632"/>
    <w:rsid w:val="00AE6B70"/>
    <w:rsid w:val="00AE7111"/>
    <w:rsid w:val="00AF0114"/>
    <w:rsid w:val="00AF018B"/>
    <w:rsid w:val="00AF050A"/>
    <w:rsid w:val="00AF1383"/>
    <w:rsid w:val="00AF160B"/>
    <w:rsid w:val="00AF16FE"/>
    <w:rsid w:val="00AF1DA6"/>
    <w:rsid w:val="00AF206D"/>
    <w:rsid w:val="00AF229F"/>
    <w:rsid w:val="00AF2A41"/>
    <w:rsid w:val="00AF2B2D"/>
    <w:rsid w:val="00AF3068"/>
    <w:rsid w:val="00AF318D"/>
    <w:rsid w:val="00AF35DC"/>
    <w:rsid w:val="00AF389E"/>
    <w:rsid w:val="00AF4AE8"/>
    <w:rsid w:val="00AF50EE"/>
    <w:rsid w:val="00AF59C5"/>
    <w:rsid w:val="00AF5A4F"/>
    <w:rsid w:val="00AF5DAF"/>
    <w:rsid w:val="00AF5EBF"/>
    <w:rsid w:val="00AF6133"/>
    <w:rsid w:val="00AF631D"/>
    <w:rsid w:val="00AF6429"/>
    <w:rsid w:val="00AF64E4"/>
    <w:rsid w:val="00AF6710"/>
    <w:rsid w:val="00AF690B"/>
    <w:rsid w:val="00AF7A83"/>
    <w:rsid w:val="00B00F43"/>
    <w:rsid w:val="00B0233E"/>
    <w:rsid w:val="00B02A08"/>
    <w:rsid w:val="00B02B69"/>
    <w:rsid w:val="00B02B6B"/>
    <w:rsid w:val="00B03083"/>
    <w:rsid w:val="00B04173"/>
    <w:rsid w:val="00B042C6"/>
    <w:rsid w:val="00B0441D"/>
    <w:rsid w:val="00B046F2"/>
    <w:rsid w:val="00B04ADF"/>
    <w:rsid w:val="00B04DFB"/>
    <w:rsid w:val="00B0538D"/>
    <w:rsid w:val="00B0579C"/>
    <w:rsid w:val="00B0594B"/>
    <w:rsid w:val="00B065E6"/>
    <w:rsid w:val="00B067DF"/>
    <w:rsid w:val="00B07410"/>
    <w:rsid w:val="00B07499"/>
    <w:rsid w:val="00B07633"/>
    <w:rsid w:val="00B077E9"/>
    <w:rsid w:val="00B101FE"/>
    <w:rsid w:val="00B11AB1"/>
    <w:rsid w:val="00B12081"/>
    <w:rsid w:val="00B13645"/>
    <w:rsid w:val="00B13B8D"/>
    <w:rsid w:val="00B13C61"/>
    <w:rsid w:val="00B13D00"/>
    <w:rsid w:val="00B13F73"/>
    <w:rsid w:val="00B14AE5"/>
    <w:rsid w:val="00B14FCF"/>
    <w:rsid w:val="00B15658"/>
    <w:rsid w:val="00B1593B"/>
    <w:rsid w:val="00B15E8D"/>
    <w:rsid w:val="00B16828"/>
    <w:rsid w:val="00B16BB2"/>
    <w:rsid w:val="00B16C00"/>
    <w:rsid w:val="00B175C5"/>
    <w:rsid w:val="00B17EC6"/>
    <w:rsid w:val="00B17FDF"/>
    <w:rsid w:val="00B200DA"/>
    <w:rsid w:val="00B202A2"/>
    <w:rsid w:val="00B2097C"/>
    <w:rsid w:val="00B20F0C"/>
    <w:rsid w:val="00B21739"/>
    <w:rsid w:val="00B21927"/>
    <w:rsid w:val="00B2206D"/>
    <w:rsid w:val="00B220B9"/>
    <w:rsid w:val="00B221A3"/>
    <w:rsid w:val="00B22353"/>
    <w:rsid w:val="00B22603"/>
    <w:rsid w:val="00B22A9C"/>
    <w:rsid w:val="00B232E5"/>
    <w:rsid w:val="00B236F6"/>
    <w:rsid w:val="00B2379D"/>
    <w:rsid w:val="00B2415D"/>
    <w:rsid w:val="00B243CB"/>
    <w:rsid w:val="00B24D67"/>
    <w:rsid w:val="00B25011"/>
    <w:rsid w:val="00B25DEB"/>
    <w:rsid w:val="00B2640B"/>
    <w:rsid w:val="00B279E0"/>
    <w:rsid w:val="00B27A69"/>
    <w:rsid w:val="00B30734"/>
    <w:rsid w:val="00B30C14"/>
    <w:rsid w:val="00B30CCF"/>
    <w:rsid w:val="00B31BE5"/>
    <w:rsid w:val="00B321E7"/>
    <w:rsid w:val="00B32E1C"/>
    <w:rsid w:val="00B32F01"/>
    <w:rsid w:val="00B3305B"/>
    <w:rsid w:val="00B33823"/>
    <w:rsid w:val="00B33B5D"/>
    <w:rsid w:val="00B33C5E"/>
    <w:rsid w:val="00B33E09"/>
    <w:rsid w:val="00B347B2"/>
    <w:rsid w:val="00B348B9"/>
    <w:rsid w:val="00B35711"/>
    <w:rsid w:val="00B36039"/>
    <w:rsid w:val="00B36DD6"/>
    <w:rsid w:val="00B3704E"/>
    <w:rsid w:val="00B372FA"/>
    <w:rsid w:val="00B37530"/>
    <w:rsid w:val="00B378A7"/>
    <w:rsid w:val="00B37957"/>
    <w:rsid w:val="00B37A57"/>
    <w:rsid w:val="00B40949"/>
    <w:rsid w:val="00B412B5"/>
    <w:rsid w:val="00B41BA8"/>
    <w:rsid w:val="00B41BC9"/>
    <w:rsid w:val="00B41C13"/>
    <w:rsid w:val="00B41FB7"/>
    <w:rsid w:val="00B42225"/>
    <w:rsid w:val="00B4249B"/>
    <w:rsid w:val="00B43269"/>
    <w:rsid w:val="00B4383E"/>
    <w:rsid w:val="00B43841"/>
    <w:rsid w:val="00B44691"/>
    <w:rsid w:val="00B45F01"/>
    <w:rsid w:val="00B46F23"/>
    <w:rsid w:val="00B477A1"/>
    <w:rsid w:val="00B47E2B"/>
    <w:rsid w:val="00B50719"/>
    <w:rsid w:val="00B50CF8"/>
    <w:rsid w:val="00B51843"/>
    <w:rsid w:val="00B51A87"/>
    <w:rsid w:val="00B51B92"/>
    <w:rsid w:val="00B51C20"/>
    <w:rsid w:val="00B51D66"/>
    <w:rsid w:val="00B523B0"/>
    <w:rsid w:val="00B52B21"/>
    <w:rsid w:val="00B5308A"/>
    <w:rsid w:val="00B533CB"/>
    <w:rsid w:val="00B5361A"/>
    <w:rsid w:val="00B53D9F"/>
    <w:rsid w:val="00B545F5"/>
    <w:rsid w:val="00B54A2F"/>
    <w:rsid w:val="00B54B6F"/>
    <w:rsid w:val="00B54E40"/>
    <w:rsid w:val="00B55BFE"/>
    <w:rsid w:val="00B55D49"/>
    <w:rsid w:val="00B56370"/>
    <w:rsid w:val="00B5676D"/>
    <w:rsid w:val="00B570A4"/>
    <w:rsid w:val="00B570BA"/>
    <w:rsid w:val="00B57693"/>
    <w:rsid w:val="00B579AF"/>
    <w:rsid w:val="00B57A0D"/>
    <w:rsid w:val="00B57B3E"/>
    <w:rsid w:val="00B6008D"/>
    <w:rsid w:val="00B602A7"/>
    <w:rsid w:val="00B602E9"/>
    <w:rsid w:val="00B609B0"/>
    <w:rsid w:val="00B60DDF"/>
    <w:rsid w:val="00B610CB"/>
    <w:rsid w:val="00B61341"/>
    <w:rsid w:val="00B613E8"/>
    <w:rsid w:val="00B613E9"/>
    <w:rsid w:val="00B61524"/>
    <w:rsid w:val="00B625A3"/>
    <w:rsid w:val="00B62D83"/>
    <w:rsid w:val="00B63634"/>
    <w:rsid w:val="00B63FEA"/>
    <w:rsid w:val="00B640EB"/>
    <w:rsid w:val="00B6412B"/>
    <w:rsid w:val="00B6451F"/>
    <w:rsid w:val="00B6471F"/>
    <w:rsid w:val="00B64CD8"/>
    <w:rsid w:val="00B65094"/>
    <w:rsid w:val="00B65703"/>
    <w:rsid w:val="00B65C39"/>
    <w:rsid w:val="00B65EA0"/>
    <w:rsid w:val="00B663A8"/>
    <w:rsid w:val="00B66713"/>
    <w:rsid w:val="00B66798"/>
    <w:rsid w:val="00B66C79"/>
    <w:rsid w:val="00B67574"/>
    <w:rsid w:val="00B67B47"/>
    <w:rsid w:val="00B700F2"/>
    <w:rsid w:val="00B7010D"/>
    <w:rsid w:val="00B70653"/>
    <w:rsid w:val="00B71C90"/>
    <w:rsid w:val="00B71EED"/>
    <w:rsid w:val="00B72313"/>
    <w:rsid w:val="00B72B9D"/>
    <w:rsid w:val="00B730A6"/>
    <w:rsid w:val="00B734D5"/>
    <w:rsid w:val="00B73643"/>
    <w:rsid w:val="00B739C3"/>
    <w:rsid w:val="00B73BBA"/>
    <w:rsid w:val="00B73C4D"/>
    <w:rsid w:val="00B73CF2"/>
    <w:rsid w:val="00B75184"/>
    <w:rsid w:val="00B758F1"/>
    <w:rsid w:val="00B75A36"/>
    <w:rsid w:val="00B75B3B"/>
    <w:rsid w:val="00B76095"/>
    <w:rsid w:val="00B765EC"/>
    <w:rsid w:val="00B766E6"/>
    <w:rsid w:val="00B777C8"/>
    <w:rsid w:val="00B7799C"/>
    <w:rsid w:val="00B77E7F"/>
    <w:rsid w:val="00B80344"/>
    <w:rsid w:val="00B810EA"/>
    <w:rsid w:val="00B81E8C"/>
    <w:rsid w:val="00B82B6C"/>
    <w:rsid w:val="00B839F4"/>
    <w:rsid w:val="00B842D2"/>
    <w:rsid w:val="00B84F7B"/>
    <w:rsid w:val="00B85037"/>
    <w:rsid w:val="00B856EC"/>
    <w:rsid w:val="00B86028"/>
    <w:rsid w:val="00B8653E"/>
    <w:rsid w:val="00B865D1"/>
    <w:rsid w:val="00B868C5"/>
    <w:rsid w:val="00B86A60"/>
    <w:rsid w:val="00B87476"/>
    <w:rsid w:val="00B876AC"/>
    <w:rsid w:val="00B87F28"/>
    <w:rsid w:val="00B908E7"/>
    <w:rsid w:val="00B91694"/>
    <w:rsid w:val="00B9188D"/>
    <w:rsid w:val="00B9234A"/>
    <w:rsid w:val="00B930E2"/>
    <w:rsid w:val="00B93390"/>
    <w:rsid w:val="00B9384E"/>
    <w:rsid w:val="00B93CDD"/>
    <w:rsid w:val="00B9489F"/>
    <w:rsid w:val="00B94C98"/>
    <w:rsid w:val="00B94FBE"/>
    <w:rsid w:val="00B96216"/>
    <w:rsid w:val="00B9668C"/>
    <w:rsid w:val="00B9695C"/>
    <w:rsid w:val="00B969EE"/>
    <w:rsid w:val="00B96ED8"/>
    <w:rsid w:val="00B97006"/>
    <w:rsid w:val="00B977D0"/>
    <w:rsid w:val="00B97A44"/>
    <w:rsid w:val="00B97BE4"/>
    <w:rsid w:val="00B97CE6"/>
    <w:rsid w:val="00BA0374"/>
    <w:rsid w:val="00BA211D"/>
    <w:rsid w:val="00BA214D"/>
    <w:rsid w:val="00BA24BE"/>
    <w:rsid w:val="00BA2D3B"/>
    <w:rsid w:val="00BA2F7E"/>
    <w:rsid w:val="00BA3570"/>
    <w:rsid w:val="00BA384C"/>
    <w:rsid w:val="00BA387C"/>
    <w:rsid w:val="00BA3B08"/>
    <w:rsid w:val="00BA3DDD"/>
    <w:rsid w:val="00BA43A3"/>
    <w:rsid w:val="00BA4928"/>
    <w:rsid w:val="00BA4DBA"/>
    <w:rsid w:val="00BA55D1"/>
    <w:rsid w:val="00BA5836"/>
    <w:rsid w:val="00BA673C"/>
    <w:rsid w:val="00BA6C14"/>
    <w:rsid w:val="00BA6CA3"/>
    <w:rsid w:val="00BA7447"/>
    <w:rsid w:val="00BA7D36"/>
    <w:rsid w:val="00BA7F07"/>
    <w:rsid w:val="00BB03D8"/>
    <w:rsid w:val="00BB096F"/>
    <w:rsid w:val="00BB19BF"/>
    <w:rsid w:val="00BB2223"/>
    <w:rsid w:val="00BB32E5"/>
    <w:rsid w:val="00BB41A2"/>
    <w:rsid w:val="00BB4C51"/>
    <w:rsid w:val="00BB5117"/>
    <w:rsid w:val="00BB559D"/>
    <w:rsid w:val="00BB58C6"/>
    <w:rsid w:val="00BB6342"/>
    <w:rsid w:val="00BB6B1F"/>
    <w:rsid w:val="00BB6E00"/>
    <w:rsid w:val="00BB7086"/>
    <w:rsid w:val="00BB7BF6"/>
    <w:rsid w:val="00BC05C5"/>
    <w:rsid w:val="00BC1178"/>
    <w:rsid w:val="00BC13F2"/>
    <w:rsid w:val="00BC16CB"/>
    <w:rsid w:val="00BC1771"/>
    <w:rsid w:val="00BC1B79"/>
    <w:rsid w:val="00BC1DC3"/>
    <w:rsid w:val="00BC1EE5"/>
    <w:rsid w:val="00BC260D"/>
    <w:rsid w:val="00BC27DF"/>
    <w:rsid w:val="00BC3558"/>
    <w:rsid w:val="00BC38AB"/>
    <w:rsid w:val="00BC3A54"/>
    <w:rsid w:val="00BC4080"/>
    <w:rsid w:val="00BC4816"/>
    <w:rsid w:val="00BC5A48"/>
    <w:rsid w:val="00BC5AC6"/>
    <w:rsid w:val="00BC5B31"/>
    <w:rsid w:val="00BC6048"/>
    <w:rsid w:val="00BC622A"/>
    <w:rsid w:val="00BC62DE"/>
    <w:rsid w:val="00BD0740"/>
    <w:rsid w:val="00BD0FCD"/>
    <w:rsid w:val="00BD11CA"/>
    <w:rsid w:val="00BD18CF"/>
    <w:rsid w:val="00BD1D1A"/>
    <w:rsid w:val="00BD1FE0"/>
    <w:rsid w:val="00BD24D2"/>
    <w:rsid w:val="00BD26FB"/>
    <w:rsid w:val="00BD2F63"/>
    <w:rsid w:val="00BD3238"/>
    <w:rsid w:val="00BD3307"/>
    <w:rsid w:val="00BD359E"/>
    <w:rsid w:val="00BD3C29"/>
    <w:rsid w:val="00BD4D50"/>
    <w:rsid w:val="00BD512F"/>
    <w:rsid w:val="00BD55D8"/>
    <w:rsid w:val="00BD5740"/>
    <w:rsid w:val="00BD5BD0"/>
    <w:rsid w:val="00BD5CC9"/>
    <w:rsid w:val="00BD6070"/>
    <w:rsid w:val="00BD7042"/>
    <w:rsid w:val="00BD740E"/>
    <w:rsid w:val="00BE0405"/>
    <w:rsid w:val="00BE06FF"/>
    <w:rsid w:val="00BE0746"/>
    <w:rsid w:val="00BE0AA4"/>
    <w:rsid w:val="00BE0B3D"/>
    <w:rsid w:val="00BE15AB"/>
    <w:rsid w:val="00BE2A5A"/>
    <w:rsid w:val="00BE352C"/>
    <w:rsid w:val="00BE3645"/>
    <w:rsid w:val="00BE3666"/>
    <w:rsid w:val="00BE3714"/>
    <w:rsid w:val="00BE3E46"/>
    <w:rsid w:val="00BE4594"/>
    <w:rsid w:val="00BE49F1"/>
    <w:rsid w:val="00BE4B2B"/>
    <w:rsid w:val="00BE4BD2"/>
    <w:rsid w:val="00BE4FC4"/>
    <w:rsid w:val="00BE510D"/>
    <w:rsid w:val="00BE5240"/>
    <w:rsid w:val="00BE55DA"/>
    <w:rsid w:val="00BE5D5B"/>
    <w:rsid w:val="00BE6B24"/>
    <w:rsid w:val="00BE74AB"/>
    <w:rsid w:val="00BF0A31"/>
    <w:rsid w:val="00BF122D"/>
    <w:rsid w:val="00BF19EA"/>
    <w:rsid w:val="00BF1C55"/>
    <w:rsid w:val="00BF2DA1"/>
    <w:rsid w:val="00BF2F80"/>
    <w:rsid w:val="00BF33F1"/>
    <w:rsid w:val="00BF3780"/>
    <w:rsid w:val="00BF3908"/>
    <w:rsid w:val="00BF3FFB"/>
    <w:rsid w:val="00BF4993"/>
    <w:rsid w:val="00BF4D5C"/>
    <w:rsid w:val="00BF54CC"/>
    <w:rsid w:val="00BF5965"/>
    <w:rsid w:val="00BF5B5D"/>
    <w:rsid w:val="00BF693C"/>
    <w:rsid w:val="00BF6B34"/>
    <w:rsid w:val="00BF6EAF"/>
    <w:rsid w:val="00BF6F55"/>
    <w:rsid w:val="00BF7193"/>
    <w:rsid w:val="00C004B2"/>
    <w:rsid w:val="00C00C5E"/>
    <w:rsid w:val="00C01408"/>
    <w:rsid w:val="00C01FFF"/>
    <w:rsid w:val="00C020FF"/>
    <w:rsid w:val="00C0223C"/>
    <w:rsid w:val="00C027ED"/>
    <w:rsid w:val="00C02F1A"/>
    <w:rsid w:val="00C04812"/>
    <w:rsid w:val="00C0499B"/>
    <w:rsid w:val="00C04C22"/>
    <w:rsid w:val="00C04D33"/>
    <w:rsid w:val="00C05066"/>
    <w:rsid w:val="00C0525A"/>
    <w:rsid w:val="00C053D4"/>
    <w:rsid w:val="00C06B05"/>
    <w:rsid w:val="00C06B9B"/>
    <w:rsid w:val="00C06E82"/>
    <w:rsid w:val="00C06F45"/>
    <w:rsid w:val="00C07348"/>
    <w:rsid w:val="00C07391"/>
    <w:rsid w:val="00C073E6"/>
    <w:rsid w:val="00C0744E"/>
    <w:rsid w:val="00C076F8"/>
    <w:rsid w:val="00C07D8F"/>
    <w:rsid w:val="00C10379"/>
    <w:rsid w:val="00C1077B"/>
    <w:rsid w:val="00C10A8D"/>
    <w:rsid w:val="00C10BD0"/>
    <w:rsid w:val="00C11BBE"/>
    <w:rsid w:val="00C13082"/>
    <w:rsid w:val="00C13161"/>
    <w:rsid w:val="00C13270"/>
    <w:rsid w:val="00C132F9"/>
    <w:rsid w:val="00C137CE"/>
    <w:rsid w:val="00C13BD3"/>
    <w:rsid w:val="00C14367"/>
    <w:rsid w:val="00C14572"/>
    <w:rsid w:val="00C1461B"/>
    <w:rsid w:val="00C14699"/>
    <w:rsid w:val="00C14873"/>
    <w:rsid w:val="00C14E30"/>
    <w:rsid w:val="00C1512C"/>
    <w:rsid w:val="00C1521C"/>
    <w:rsid w:val="00C1547C"/>
    <w:rsid w:val="00C161C4"/>
    <w:rsid w:val="00C162F8"/>
    <w:rsid w:val="00C16476"/>
    <w:rsid w:val="00C16754"/>
    <w:rsid w:val="00C16DE9"/>
    <w:rsid w:val="00C17F08"/>
    <w:rsid w:val="00C22CAC"/>
    <w:rsid w:val="00C23363"/>
    <w:rsid w:val="00C23572"/>
    <w:rsid w:val="00C235B1"/>
    <w:rsid w:val="00C23965"/>
    <w:rsid w:val="00C23B52"/>
    <w:rsid w:val="00C2466C"/>
    <w:rsid w:val="00C26146"/>
    <w:rsid w:val="00C26B76"/>
    <w:rsid w:val="00C26C2D"/>
    <w:rsid w:val="00C27674"/>
    <w:rsid w:val="00C279AF"/>
    <w:rsid w:val="00C27F21"/>
    <w:rsid w:val="00C3047A"/>
    <w:rsid w:val="00C30EEC"/>
    <w:rsid w:val="00C32211"/>
    <w:rsid w:val="00C325D7"/>
    <w:rsid w:val="00C32D24"/>
    <w:rsid w:val="00C32E7A"/>
    <w:rsid w:val="00C32EF5"/>
    <w:rsid w:val="00C32FBC"/>
    <w:rsid w:val="00C33539"/>
    <w:rsid w:val="00C33792"/>
    <w:rsid w:val="00C338BC"/>
    <w:rsid w:val="00C341ED"/>
    <w:rsid w:val="00C343A9"/>
    <w:rsid w:val="00C353DB"/>
    <w:rsid w:val="00C35533"/>
    <w:rsid w:val="00C357D6"/>
    <w:rsid w:val="00C35B79"/>
    <w:rsid w:val="00C35E6C"/>
    <w:rsid w:val="00C3631C"/>
    <w:rsid w:val="00C36A9D"/>
    <w:rsid w:val="00C37ECA"/>
    <w:rsid w:val="00C409AF"/>
    <w:rsid w:val="00C40BCD"/>
    <w:rsid w:val="00C42346"/>
    <w:rsid w:val="00C42A68"/>
    <w:rsid w:val="00C444DC"/>
    <w:rsid w:val="00C44555"/>
    <w:rsid w:val="00C445AC"/>
    <w:rsid w:val="00C44832"/>
    <w:rsid w:val="00C448AD"/>
    <w:rsid w:val="00C44A57"/>
    <w:rsid w:val="00C44B14"/>
    <w:rsid w:val="00C44B4F"/>
    <w:rsid w:val="00C44FD2"/>
    <w:rsid w:val="00C45329"/>
    <w:rsid w:val="00C455A8"/>
    <w:rsid w:val="00C45830"/>
    <w:rsid w:val="00C459BB"/>
    <w:rsid w:val="00C45ADE"/>
    <w:rsid w:val="00C46060"/>
    <w:rsid w:val="00C46A4F"/>
    <w:rsid w:val="00C47395"/>
    <w:rsid w:val="00C47464"/>
    <w:rsid w:val="00C47B25"/>
    <w:rsid w:val="00C47C17"/>
    <w:rsid w:val="00C515E5"/>
    <w:rsid w:val="00C5166C"/>
    <w:rsid w:val="00C51942"/>
    <w:rsid w:val="00C5208F"/>
    <w:rsid w:val="00C521F5"/>
    <w:rsid w:val="00C52EA7"/>
    <w:rsid w:val="00C53673"/>
    <w:rsid w:val="00C53AA2"/>
    <w:rsid w:val="00C53B36"/>
    <w:rsid w:val="00C540A1"/>
    <w:rsid w:val="00C54177"/>
    <w:rsid w:val="00C5448F"/>
    <w:rsid w:val="00C549D5"/>
    <w:rsid w:val="00C552F5"/>
    <w:rsid w:val="00C5570D"/>
    <w:rsid w:val="00C563CA"/>
    <w:rsid w:val="00C57317"/>
    <w:rsid w:val="00C57527"/>
    <w:rsid w:val="00C577EE"/>
    <w:rsid w:val="00C5795E"/>
    <w:rsid w:val="00C62781"/>
    <w:rsid w:val="00C629BD"/>
    <w:rsid w:val="00C62ABF"/>
    <w:rsid w:val="00C62E85"/>
    <w:rsid w:val="00C634C8"/>
    <w:rsid w:val="00C643CD"/>
    <w:rsid w:val="00C6442D"/>
    <w:rsid w:val="00C64764"/>
    <w:rsid w:val="00C65258"/>
    <w:rsid w:val="00C66288"/>
    <w:rsid w:val="00C66E4C"/>
    <w:rsid w:val="00C67245"/>
    <w:rsid w:val="00C675AD"/>
    <w:rsid w:val="00C7114A"/>
    <w:rsid w:val="00C72972"/>
    <w:rsid w:val="00C73015"/>
    <w:rsid w:val="00C73909"/>
    <w:rsid w:val="00C73D5A"/>
    <w:rsid w:val="00C7409E"/>
    <w:rsid w:val="00C74495"/>
    <w:rsid w:val="00C7547A"/>
    <w:rsid w:val="00C75F94"/>
    <w:rsid w:val="00C760C6"/>
    <w:rsid w:val="00C76424"/>
    <w:rsid w:val="00C76966"/>
    <w:rsid w:val="00C76A9F"/>
    <w:rsid w:val="00C76C4A"/>
    <w:rsid w:val="00C76FBF"/>
    <w:rsid w:val="00C775F4"/>
    <w:rsid w:val="00C77AB4"/>
    <w:rsid w:val="00C77BD3"/>
    <w:rsid w:val="00C77EAD"/>
    <w:rsid w:val="00C8020E"/>
    <w:rsid w:val="00C80CDF"/>
    <w:rsid w:val="00C80D0E"/>
    <w:rsid w:val="00C810DB"/>
    <w:rsid w:val="00C81703"/>
    <w:rsid w:val="00C81E71"/>
    <w:rsid w:val="00C81F9F"/>
    <w:rsid w:val="00C8202F"/>
    <w:rsid w:val="00C827D5"/>
    <w:rsid w:val="00C82A2B"/>
    <w:rsid w:val="00C82D74"/>
    <w:rsid w:val="00C82EBA"/>
    <w:rsid w:val="00C83B69"/>
    <w:rsid w:val="00C8499A"/>
    <w:rsid w:val="00C84A12"/>
    <w:rsid w:val="00C85C35"/>
    <w:rsid w:val="00C85F4A"/>
    <w:rsid w:val="00C861A2"/>
    <w:rsid w:val="00C86E61"/>
    <w:rsid w:val="00C86F45"/>
    <w:rsid w:val="00C87974"/>
    <w:rsid w:val="00C87C40"/>
    <w:rsid w:val="00C87CB9"/>
    <w:rsid w:val="00C87DC9"/>
    <w:rsid w:val="00C904B8"/>
    <w:rsid w:val="00C917EF"/>
    <w:rsid w:val="00C928B3"/>
    <w:rsid w:val="00C9398B"/>
    <w:rsid w:val="00C94AEB"/>
    <w:rsid w:val="00C9501E"/>
    <w:rsid w:val="00C957B3"/>
    <w:rsid w:val="00C96490"/>
    <w:rsid w:val="00C96F0D"/>
    <w:rsid w:val="00CA0CBD"/>
    <w:rsid w:val="00CA0EC3"/>
    <w:rsid w:val="00CA0EDA"/>
    <w:rsid w:val="00CA1DAA"/>
    <w:rsid w:val="00CA216C"/>
    <w:rsid w:val="00CA2901"/>
    <w:rsid w:val="00CA2E8F"/>
    <w:rsid w:val="00CA335C"/>
    <w:rsid w:val="00CA37C5"/>
    <w:rsid w:val="00CA3FD2"/>
    <w:rsid w:val="00CA42DA"/>
    <w:rsid w:val="00CA4994"/>
    <w:rsid w:val="00CA5304"/>
    <w:rsid w:val="00CA57A1"/>
    <w:rsid w:val="00CA5ABE"/>
    <w:rsid w:val="00CA5D32"/>
    <w:rsid w:val="00CA78BC"/>
    <w:rsid w:val="00CB0A3D"/>
    <w:rsid w:val="00CB0C93"/>
    <w:rsid w:val="00CB1689"/>
    <w:rsid w:val="00CB2AB7"/>
    <w:rsid w:val="00CB2D02"/>
    <w:rsid w:val="00CB362D"/>
    <w:rsid w:val="00CB4568"/>
    <w:rsid w:val="00CB4B42"/>
    <w:rsid w:val="00CB5739"/>
    <w:rsid w:val="00CB6530"/>
    <w:rsid w:val="00CB708A"/>
    <w:rsid w:val="00CB76BD"/>
    <w:rsid w:val="00CC16A7"/>
    <w:rsid w:val="00CC1926"/>
    <w:rsid w:val="00CC19C0"/>
    <w:rsid w:val="00CC1A5C"/>
    <w:rsid w:val="00CC1BE5"/>
    <w:rsid w:val="00CC1E68"/>
    <w:rsid w:val="00CC1EF5"/>
    <w:rsid w:val="00CC2114"/>
    <w:rsid w:val="00CC240A"/>
    <w:rsid w:val="00CC34AE"/>
    <w:rsid w:val="00CC35DD"/>
    <w:rsid w:val="00CC3A05"/>
    <w:rsid w:val="00CC3E66"/>
    <w:rsid w:val="00CC4052"/>
    <w:rsid w:val="00CC42C3"/>
    <w:rsid w:val="00CC5A41"/>
    <w:rsid w:val="00CC5D20"/>
    <w:rsid w:val="00CC5F8B"/>
    <w:rsid w:val="00CC6417"/>
    <w:rsid w:val="00CC6FA3"/>
    <w:rsid w:val="00CC7332"/>
    <w:rsid w:val="00CC76E6"/>
    <w:rsid w:val="00CC7AA1"/>
    <w:rsid w:val="00CC7B06"/>
    <w:rsid w:val="00CC7CE1"/>
    <w:rsid w:val="00CD01F1"/>
    <w:rsid w:val="00CD0A44"/>
    <w:rsid w:val="00CD1103"/>
    <w:rsid w:val="00CD166D"/>
    <w:rsid w:val="00CD175D"/>
    <w:rsid w:val="00CD2422"/>
    <w:rsid w:val="00CD2437"/>
    <w:rsid w:val="00CD2A3D"/>
    <w:rsid w:val="00CD302A"/>
    <w:rsid w:val="00CD39B4"/>
    <w:rsid w:val="00CD3A2E"/>
    <w:rsid w:val="00CD4FF5"/>
    <w:rsid w:val="00CD6012"/>
    <w:rsid w:val="00CD629E"/>
    <w:rsid w:val="00CD62C3"/>
    <w:rsid w:val="00CD6C93"/>
    <w:rsid w:val="00CD6F47"/>
    <w:rsid w:val="00CD6FC5"/>
    <w:rsid w:val="00CE02F5"/>
    <w:rsid w:val="00CE0487"/>
    <w:rsid w:val="00CE05EB"/>
    <w:rsid w:val="00CE0B56"/>
    <w:rsid w:val="00CE0BF9"/>
    <w:rsid w:val="00CE0D85"/>
    <w:rsid w:val="00CE1A88"/>
    <w:rsid w:val="00CE1F43"/>
    <w:rsid w:val="00CE22EA"/>
    <w:rsid w:val="00CE23E8"/>
    <w:rsid w:val="00CE2CDF"/>
    <w:rsid w:val="00CE34D8"/>
    <w:rsid w:val="00CE3BF5"/>
    <w:rsid w:val="00CE40AC"/>
    <w:rsid w:val="00CE4380"/>
    <w:rsid w:val="00CE48FC"/>
    <w:rsid w:val="00CE4D4B"/>
    <w:rsid w:val="00CE58F0"/>
    <w:rsid w:val="00CE63FC"/>
    <w:rsid w:val="00CE6B6C"/>
    <w:rsid w:val="00CE6DEB"/>
    <w:rsid w:val="00CF00D7"/>
    <w:rsid w:val="00CF06DF"/>
    <w:rsid w:val="00CF0FAF"/>
    <w:rsid w:val="00CF1525"/>
    <w:rsid w:val="00CF1766"/>
    <w:rsid w:val="00CF1F2E"/>
    <w:rsid w:val="00CF2095"/>
    <w:rsid w:val="00CF21BB"/>
    <w:rsid w:val="00CF2878"/>
    <w:rsid w:val="00CF2F22"/>
    <w:rsid w:val="00CF33FB"/>
    <w:rsid w:val="00CF4834"/>
    <w:rsid w:val="00CF4993"/>
    <w:rsid w:val="00CF4EDA"/>
    <w:rsid w:val="00CF5CF2"/>
    <w:rsid w:val="00CF5DCC"/>
    <w:rsid w:val="00CF64C5"/>
    <w:rsid w:val="00CF6A9D"/>
    <w:rsid w:val="00CF6CC0"/>
    <w:rsid w:val="00CF7215"/>
    <w:rsid w:val="00D00B46"/>
    <w:rsid w:val="00D0102A"/>
    <w:rsid w:val="00D010C3"/>
    <w:rsid w:val="00D011A3"/>
    <w:rsid w:val="00D011D3"/>
    <w:rsid w:val="00D016A4"/>
    <w:rsid w:val="00D0234E"/>
    <w:rsid w:val="00D02673"/>
    <w:rsid w:val="00D03640"/>
    <w:rsid w:val="00D03CAD"/>
    <w:rsid w:val="00D04651"/>
    <w:rsid w:val="00D046E5"/>
    <w:rsid w:val="00D0480B"/>
    <w:rsid w:val="00D04B7E"/>
    <w:rsid w:val="00D04D86"/>
    <w:rsid w:val="00D05033"/>
    <w:rsid w:val="00D0550A"/>
    <w:rsid w:val="00D05901"/>
    <w:rsid w:val="00D05938"/>
    <w:rsid w:val="00D05F91"/>
    <w:rsid w:val="00D062A7"/>
    <w:rsid w:val="00D067D5"/>
    <w:rsid w:val="00D06823"/>
    <w:rsid w:val="00D078A2"/>
    <w:rsid w:val="00D07A7E"/>
    <w:rsid w:val="00D10BA5"/>
    <w:rsid w:val="00D10D3B"/>
    <w:rsid w:val="00D10DA0"/>
    <w:rsid w:val="00D10DE0"/>
    <w:rsid w:val="00D10F77"/>
    <w:rsid w:val="00D1146B"/>
    <w:rsid w:val="00D118FA"/>
    <w:rsid w:val="00D1227B"/>
    <w:rsid w:val="00D12C48"/>
    <w:rsid w:val="00D12E29"/>
    <w:rsid w:val="00D12F69"/>
    <w:rsid w:val="00D13597"/>
    <w:rsid w:val="00D13CD7"/>
    <w:rsid w:val="00D13D2C"/>
    <w:rsid w:val="00D14EEA"/>
    <w:rsid w:val="00D156C0"/>
    <w:rsid w:val="00D15A42"/>
    <w:rsid w:val="00D16FA3"/>
    <w:rsid w:val="00D1798F"/>
    <w:rsid w:val="00D17A63"/>
    <w:rsid w:val="00D17C8C"/>
    <w:rsid w:val="00D20076"/>
    <w:rsid w:val="00D21418"/>
    <w:rsid w:val="00D21424"/>
    <w:rsid w:val="00D2228F"/>
    <w:rsid w:val="00D23E63"/>
    <w:rsid w:val="00D243A9"/>
    <w:rsid w:val="00D245E0"/>
    <w:rsid w:val="00D24D5E"/>
    <w:rsid w:val="00D24F87"/>
    <w:rsid w:val="00D25351"/>
    <w:rsid w:val="00D26375"/>
    <w:rsid w:val="00D26D2E"/>
    <w:rsid w:val="00D26F8B"/>
    <w:rsid w:val="00D270B6"/>
    <w:rsid w:val="00D2797D"/>
    <w:rsid w:val="00D27A7C"/>
    <w:rsid w:val="00D303FF"/>
    <w:rsid w:val="00D31D50"/>
    <w:rsid w:val="00D31D6F"/>
    <w:rsid w:val="00D322D2"/>
    <w:rsid w:val="00D3338D"/>
    <w:rsid w:val="00D336A0"/>
    <w:rsid w:val="00D33F65"/>
    <w:rsid w:val="00D349CD"/>
    <w:rsid w:val="00D34B33"/>
    <w:rsid w:val="00D34DE5"/>
    <w:rsid w:val="00D35029"/>
    <w:rsid w:val="00D36716"/>
    <w:rsid w:val="00D368ED"/>
    <w:rsid w:val="00D36B7E"/>
    <w:rsid w:val="00D36F17"/>
    <w:rsid w:val="00D37769"/>
    <w:rsid w:val="00D4061F"/>
    <w:rsid w:val="00D4093F"/>
    <w:rsid w:val="00D40B6B"/>
    <w:rsid w:val="00D40D15"/>
    <w:rsid w:val="00D40D90"/>
    <w:rsid w:val="00D4153D"/>
    <w:rsid w:val="00D416C5"/>
    <w:rsid w:val="00D419EF"/>
    <w:rsid w:val="00D41C1C"/>
    <w:rsid w:val="00D42197"/>
    <w:rsid w:val="00D42640"/>
    <w:rsid w:val="00D43948"/>
    <w:rsid w:val="00D445BF"/>
    <w:rsid w:val="00D44D7A"/>
    <w:rsid w:val="00D45356"/>
    <w:rsid w:val="00D45DD6"/>
    <w:rsid w:val="00D46519"/>
    <w:rsid w:val="00D467A9"/>
    <w:rsid w:val="00D467EF"/>
    <w:rsid w:val="00D46ABE"/>
    <w:rsid w:val="00D4706D"/>
    <w:rsid w:val="00D47D17"/>
    <w:rsid w:val="00D50015"/>
    <w:rsid w:val="00D505CE"/>
    <w:rsid w:val="00D51D8B"/>
    <w:rsid w:val="00D5200E"/>
    <w:rsid w:val="00D520DD"/>
    <w:rsid w:val="00D52CA7"/>
    <w:rsid w:val="00D52CFB"/>
    <w:rsid w:val="00D53AC1"/>
    <w:rsid w:val="00D54D92"/>
    <w:rsid w:val="00D555B8"/>
    <w:rsid w:val="00D5561A"/>
    <w:rsid w:val="00D5619D"/>
    <w:rsid w:val="00D566C8"/>
    <w:rsid w:val="00D56874"/>
    <w:rsid w:val="00D56ACA"/>
    <w:rsid w:val="00D56B13"/>
    <w:rsid w:val="00D579C3"/>
    <w:rsid w:val="00D57BC1"/>
    <w:rsid w:val="00D57F5E"/>
    <w:rsid w:val="00D60955"/>
    <w:rsid w:val="00D615EB"/>
    <w:rsid w:val="00D61712"/>
    <w:rsid w:val="00D619F8"/>
    <w:rsid w:val="00D622F9"/>
    <w:rsid w:val="00D62A84"/>
    <w:rsid w:val="00D62E85"/>
    <w:rsid w:val="00D63B08"/>
    <w:rsid w:val="00D63FDB"/>
    <w:rsid w:val="00D643C5"/>
    <w:rsid w:val="00D6443E"/>
    <w:rsid w:val="00D6477A"/>
    <w:rsid w:val="00D647D6"/>
    <w:rsid w:val="00D64B1B"/>
    <w:rsid w:val="00D652EA"/>
    <w:rsid w:val="00D655D0"/>
    <w:rsid w:val="00D6608A"/>
    <w:rsid w:val="00D66272"/>
    <w:rsid w:val="00D6680E"/>
    <w:rsid w:val="00D66FF6"/>
    <w:rsid w:val="00D670BF"/>
    <w:rsid w:val="00D67327"/>
    <w:rsid w:val="00D67444"/>
    <w:rsid w:val="00D70491"/>
    <w:rsid w:val="00D70995"/>
    <w:rsid w:val="00D717E9"/>
    <w:rsid w:val="00D7186A"/>
    <w:rsid w:val="00D7188D"/>
    <w:rsid w:val="00D7241D"/>
    <w:rsid w:val="00D72987"/>
    <w:rsid w:val="00D72CDA"/>
    <w:rsid w:val="00D73BB4"/>
    <w:rsid w:val="00D73C77"/>
    <w:rsid w:val="00D73E22"/>
    <w:rsid w:val="00D755F3"/>
    <w:rsid w:val="00D76645"/>
    <w:rsid w:val="00D76862"/>
    <w:rsid w:val="00D769EF"/>
    <w:rsid w:val="00D77308"/>
    <w:rsid w:val="00D777F3"/>
    <w:rsid w:val="00D77F96"/>
    <w:rsid w:val="00D8026C"/>
    <w:rsid w:val="00D80439"/>
    <w:rsid w:val="00D8067B"/>
    <w:rsid w:val="00D8094E"/>
    <w:rsid w:val="00D814C8"/>
    <w:rsid w:val="00D81799"/>
    <w:rsid w:val="00D81E0E"/>
    <w:rsid w:val="00D81E94"/>
    <w:rsid w:val="00D827BA"/>
    <w:rsid w:val="00D8357C"/>
    <w:rsid w:val="00D8371D"/>
    <w:rsid w:val="00D84782"/>
    <w:rsid w:val="00D84C63"/>
    <w:rsid w:val="00D85976"/>
    <w:rsid w:val="00D8597C"/>
    <w:rsid w:val="00D860CF"/>
    <w:rsid w:val="00D861BB"/>
    <w:rsid w:val="00D86312"/>
    <w:rsid w:val="00D86638"/>
    <w:rsid w:val="00D86A2A"/>
    <w:rsid w:val="00D871C4"/>
    <w:rsid w:val="00D871EC"/>
    <w:rsid w:val="00D87F61"/>
    <w:rsid w:val="00D90FB4"/>
    <w:rsid w:val="00D918A4"/>
    <w:rsid w:val="00D91A72"/>
    <w:rsid w:val="00D91F56"/>
    <w:rsid w:val="00D921F4"/>
    <w:rsid w:val="00D922E7"/>
    <w:rsid w:val="00D93E24"/>
    <w:rsid w:val="00D94906"/>
    <w:rsid w:val="00D94B0A"/>
    <w:rsid w:val="00D94E9A"/>
    <w:rsid w:val="00D95439"/>
    <w:rsid w:val="00D95887"/>
    <w:rsid w:val="00D95C60"/>
    <w:rsid w:val="00D965E6"/>
    <w:rsid w:val="00D96A30"/>
    <w:rsid w:val="00D96E06"/>
    <w:rsid w:val="00D97537"/>
    <w:rsid w:val="00D97DE1"/>
    <w:rsid w:val="00DA04D4"/>
    <w:rsid w:val="00DA0943"/>
    <w:rsid w:val="00DA0ED7"/>
    <w:rsid w:val="00DA175E"/>
    <w:rsid w:val="00DA178C"/>
    <w:rsid w:val="00DA2BBC"/>
    <w:rsid w:val="00DA3FAF"/>
    <w:rsid w:val="00DA49CF"/>
    <w:rsid w:val="00DA4ED4"/>
    <w:rsid w:val="00DA5209"/>
    <w:rsid w:val="00DA5BA9"/>
    <w:rsid w:val="00DA6248"/>
    <w:rsid w:val="00DA681E"/>
    <w:rsid w:val="00DA701F"/>
    <w:rsid w:val="00DA704D"/>
    <w:rsid w:val="00DA7828"/>
    <w:rsid w:val="00DA7CF4"/>
    <w:rsid w:val="00DB099F"/>
    <w:rsid w:val="00DB183B"/>
    <w:rsid w:val="00DB35E9"/>
    <w:rsid w:val="00DB368E"/>
    <w:rsid w:val="00DB3A85"/>
    <w:rsid w:val="00DB3CBC"/>
    <w:rsid w:val="00DB48C9"/>
    <w:rsid w:val="00DB4EB0"/>
    <w:rsid w:val="00DB555E"/>
    <w:rsid w:val="00DB59D1"/>
    <w:rsid w:val="00DB6336"/>
    <w:rsid w:val="00DB693F"/>
    <w:rsid w:val="00DB6DFF"/>
    <w:rsid w:val="00DB77F6"/>
    <w:rsid w:val="00DB7914"/>
    <w:rsid w:val="00DB7A53"/>
    <w:rsid w:val="00DB7B9B"/>
    <w:rsid w:val="00DB7CB1"/>
    <w:rsid w:val="00DC0029"/>
    <w:rsid w:val="00DC076F"/>
    <w:rsid w:val="00DC097F"/>
    <w:rsid w:val="00DC15E7"/>
    <w:rsid w:val="00DC18B7"/>
    <w:rsid w:val="00DC1C7D"/>
    <w:rsid w:val="00DC1D90"/>
    <w:rsid w:val="00DC201D"/>
    <w:rsid w:val="00DC24B4"/>
    <w:rsid w:val="00DC295D"/>
    <w:rsid w:val="00DC2E13"/>
    <w:rsid w:val="00DC31E2"/>
    <w:rsid w:val="00DC31FD"/>
    <w:rsid w:val="00DC350D"/>
    <w:rsid w:val="00DC4A86"/>
    <w:rsid w:val="00DC4ABC"/>
    <w:rsid w:val="00DC4DE1"/>
    <w:rsid w:val="00DC5459"/>
    <w:rsid w:val="00DC5B36"/>
    <w:rsid w:val="00DC5D9F"/>
    <w:rsid w:val="00DC63AF"/>
    <w:rsid w:val="00DC7056"/>
    <w:rsid w:val="00DC7317"/>
    <w:rsid w:val="00DC7609"/>
    <w:rsid w:val="00DD02D0"/>
    <w:rsid w:val="00DD04CE"/>
    <w:rsid w:val="00DD0698"/>
    <w:rsid w:val="00DD0E87"/>
    <w:rsid w:val="00DD134C"/>
    <w:rsid w:val="00DD1400"/>
    <w:rsid w:val="00DD17D1"/>
    <w:rsid w:val="00DD1CBF"/>
    <w:rsid w:val="00DD1F05"/>
    <w:rsid w:val="00DD2796"/>
    <w:rsid w:val="00DD2C70"/>
    <w:rsid w:val="00DD3369"/>
    <w:rsid w:val="00DD34FF"/>
    <w:rsid w:val="00DD3BA5"/>
    <w:rsid w:val="00DD3CB3"/>
    <w:rsid w:val="00DD4013"/>
    <w:rsid w:val="00DD48DC"/>
    <w:rsid w:val="00DD53DC"/>
    <w:rsid w:val="00DD55CD"/>
    <w:rsid w:val="00DD5AA7"/>
    <w:rsid w:val="00DD5B9D"/>
    <w:rsid w:val="00DD682C"/>
    <w:rsid w:val="00DD6917"/>
    <w:rsid w:val="00DD757A"/>
    <w:rsid w:val="00DD77F5"/>
    <w:rsid w:val="00DD7D66"/>
    <w:rsid w:val="00DE03D8"/>
    <w:rsid w:val="00DE1037"/>
    <w:rsid w:val="00DE14A7"/>
    <w:rsid w:val="00DE166D"/>
    <w:rsid w:val="00DE183D"/>
    <w:rsid w:val="00DE1F61"/>
    <w:rsid w:val="00DE21E6"/>
    <w:rsid w:val="00DE2A1A"/>
    <w:rsid w:val="00DE2FE3"/>
    <w:rsid w:val="00DE4A3E"/>
    <w:rsid w:val="00DE5337"/>
    <w:rsid w:val="00DE5BB3"/>
    <w:rsid w:val="00DE5D2B"/>
    <w:rsid w:val="00DE5DB7"/>
    <w:rsid w:val="00DE6832"/>
    <w:rsid w:val="00DE6DB0"/>
    <w:rsid w:val="00DE7749"/>
    <w:rsid w:val="00DE7AAA"/>
    <w:rsid w:val="00DE7C2E"/>
    <w:rsid w:val="00DE7DFE"/>
    <w:rsid w:val="00DE7EC7"/>
    <w:rsid w:val="00DE7F20"/>
    <w:rsid w:val="00DF0470"/>
    <w:rsid w:val="00DF08CF"/>
    <w:rsid w:val="00DF1043"/>
    <w:rsid w:val="00DF121D"/>
    <w:rsid w:val="00DF24E3"/>
    <w:rsid w:val="00DF2896"/>
    <w:rsid w:val="00DF2A5A"/>
    <w:rsid w:val="00DF32FF"/>
    <w:rsid w:val="00DF339F"/>
    <w:rsid w:val="00DF3426"/>
    <w:rsid w:val="00DF3599"/>
    <w:rsid w:val="00DF3782"/>
    <w:rsid w:val="00DF3D17"/>
    <w:rsid w:val="00DF4F9A"/>
    <w:rsid w:val="00DF5169"/>
    <w:rsid w:val="00DF5360"/>
    <w:rsid w:val="00DF5E3E"/>
    <w:rsid w:val="00DF603B"/>
    <w:rsid w:val="00DF6EA9"/>
    <w:rsid w:val="00DF70A9"/>
    <w:rsid w:val="00DF71A5"/>
    <w:rsid w:val="00DF71BA"/>
    <w:rsid w:val="00DF7A60"/>
    <w:rsid w:val="00DF7C93"/>
    <w:rsid w:val="00E001D8"/>
    <w:rsid w:val="00E009A8"/>
    <w:rsid w:val="00E00F6B"/>
    <w:rsid w:val="00E010E8"/>
    <w:rsid w:val="00E014F8"/>
    <w:rsid w:val="00E016DD"/>
    <w:rsid w:val="00E02415"/>
    <w:rsid w:val="00E02F5B"/>
    <w:rsid w:val="00E02FA4"/>
    <w:rsid w:val="00E03A60"/>
    <w:rsid w:val="00E03E53"/>
    <w:rsid w:val="00E045BD"/>
    <w:rsid w:val="00E04D6F"/>
    <w:rsid w:val="00E053BE"/>
    <w:rsid w:val="00E056AF"/>
    <w:rsid w:val="00E0620A"/>
    <w:rsid w:val="00E06BE3"/>
    <w:rsid w:val="00E06D18"/>
    <w:rsid w:val="00E076DE"/>
    <w:rsid w:val="00E1032A"/>
    <w:rsid w:val="00E1086A"/>
    <w:rsid w:val="00E110C2"/>
    <w:rsid w:val="00E113E8"/>
    <w:rsid w:val="00E11A92"/>
    <w:rsid w:val="00E11B68"/>
    <w:rsid w:val="00E1241F"/>
    <w:rsid w:val="00E12575"/>
    <w:rsid w:val="00E127FA"/>
    <w:rsid w:val="00E13A1E"/>
    <w:rsid w:val="00E13D97"/>
    <w:rsid w:val="00E13DEC"/>
    <w:rsid w:val="00E150BA"/>
    <w:rsid w:val="00E15200"/>
    <w:rsid w:val="00E15655"/>
    <w:rsid w:val="00E16839"/>
    <w:rsid w:val="00E17078"/>
    <w:rsid w:val="00E17274"/>
    <w:rsid w:val="00E179FA"/>
    <w:rsid w:val="00E2051B"/>
    <w:rsid w:val="00E207A3"/>
    <w:rsid w:val="00E2087E"/>
    <w:rsid w:val="00E20CDA"/>
    <w:rsid w:val="00E20D12"/>
    <w:rsid w:val="00E211A9"/>
    <w:rsid w:val="00E213AA"/>
    <w:rsid w:val="00E2179C"/>
    <w:rsid w:val="00E21A4E"/>
    <w:rsid w:val="00E21DAD"/>
    <w:rsid w:val="00E21FD4"/>
    <w:rsid w:val="00E220C5"/>
    <w:rsid w:val="00E223C3"/>
    <w:rsid w:val="00E22646"/>
    <w:rsid w:val="00E22E80"/>
    <w:rsid w:val="00E23652"/>
    <w:rsid w:val="00E2373F"/>
    <w:rsid w:val="00E23AE2"/>
    <w:rsid w:val="00E2486C"/>
    <w:rsid w:val="00E2490A"/>
    <w:rsid w:val="00E25E96"/>
    <w:rsid w:val="00E25FA7"/>
    <w:rsid w:val="00E26277"/>
    <w:rsid w:val="00E2679A"/>
    <w:rsid w:val="00E26FF5"/>
    <w:rsid w:val="00E27E68"/>
    <w:rsid w:val="00E300F7"/>
    <w:rsid w:val="00E30160"/>
    <w:rsid w:val="00E306BF"/>
    <w:rsid w:val="00E31180"/>
    <w:rsid w:val="00E312F1"/>
    <w:rsid w:val="00E31A88"/>
    <w:rsid w:val="00E31CD5"/>
    <w:rsid w:val="00E31FC4"/>
    <w:rsid w:val="00E32050"/>
    <w:rsid w:val="00E3252F"/>
    <w:rsid w:val="00E325BC"/>
    <w:rsid w:val="00E32D7D"/>
    <w:rsid w:val="00E32E59"/>
    <w:rsid w:val="00E32E86"/>
    <w:rsid w:val="00E336FC"/>
    <w:rsid w:val="00E33EEC"/>
    <w:rsid w:val="00E348FF"/>
    <w:rsid w:val="00E35112"/>
    <w:rsid w:val="00E35AB0"/>
    <w:rsid w:val="00E3600E"/>
    <w:rsid w:val="00E3604B"/>
    <w:rsid w:val="00E364C6"/>
    <w:rsid w:val="00E36E1A"/>
    <w:rsid w:val="00E36E7E"/>
    <w:rsid w:val="00E36ED9"/>
    <w:rsid w:val="00E36F09"/>
    <w:rsid w:val="00E3707B"/>
    <w:rsid w:val="00E3742A"/>
    <w:rsid w:val="00E3754E"/>
    <w:rsid w:val="00E37E52"/>
    <w:rsid w:val="00E40C8C"/>
    <w:rsid w:val="00E41153"/>
    <w:rsid w:val="00E411CF"/>
    <w:rsid w:val="00E41287"/>
    <w:rsid w:val="00E4142A"/>
    <w:rsid w:val="00E4244F"/>
    <w:rsid w:val="00E427F8"/>
    <w:rsid w:val="00E429D2"/>
    <w:rsid w:val="00E43048"/>
    <w:rsid w:val="00E43694"/>
    <w:rsid w:val="00E43BFF"/>
    <w:rsid w:val="00E43F4F"/>
    <w:rsid w:val="00E43F6F"/>
    <w:rsid w:val="00E444C9"/>
    <w:rsid w:val="00E446E6"/>
    <w:rsid w:val="00E4470C"/>
    <w:rsid w:val="00E44E17"/>
    <w:rsid w:val="00E460F0"/>
    <w:rsid w:val="00E46343"/>
    <w:rsid w:val="00E467A8"/>
    <w:rsid w:val="00E46BE4"/>
    <w:rsid w:val="00E472A5"/>
    <w:rsid w:val="00E476B4"/>
    <w:rsid w:val="00E479F9"/>
    <w:rsid w:val="00E509AE"/>
    <w:rsid w:val="00E51CA5"/>
    <w:rsid w:val="00E5298C"/>
    <w:rsid w:val="00E535B4"/>
    <w:rsid w:val="00E54750"/>
    <w:rsid w:val="00E548CE"/>
    <w:rsid w:val="00E54EB5"/>
    <w:rsid w:val="00E54F9F"/>
    <w:rsid w:val="00E55169"/>
    <w:rsid w:val="00E554B8"/>
    <w:rsid w:val="00E55992"/>
    <w:rsid w:val="00E559EE"/>
    <w:rsid w:val="00E55E41"/>
    <w:rsid w:val="00E56174"/>
    <w:rsid w:val="00E563EE"/>
    <w:rsid w:val="00E5669F"/>
    <w:rsid w:val="00E56A8B"/>
    <w:rsid w:val="00E57B48"/>
    <w:rsid w:val="00E57CFE"/>
    <w:rsid w:val="00E60215"/>
    <w:rsid w:val="00E60F77"/>
    <w:rsid w:val="00E610A9"/>
    <w:rsid w:val="00E613B8"/>
    <w:rsid w:val="00E6149B"/>
    <w:rsid w:val="00E61AB5"/>
    <w:rsid w:val="00E61AD9"/>
    <w:rsid w:val="00E61E17"/>
    <w:rsid w:val="00E62BDE"/>
    <w:rsid w:val="00E636FD"/>
    <w:rsid w:val="00E6373C"/>
    <w:rsid w:val="00E637F5"/>
    <w:rsid w:val="00E63DF5"/>
    <w:rsid w:val="00E64232"/>
    <w:rsid w:val="00E644B7"/>
    <w:rsid w:val="00E64C8E"/>
    <w:rsid w:val="00E64CE8"/>
    <w:rsid w:val="00E654B6"/>
    <w:rsid w:val="00E65701"/>
    <w:rsid w:val="00E66008"/>
    <w:rsid w:val="00E66940"/>
    <w:rsid w:val="00E66A82"/>
    <w:rsid w:val="00E66B9D"/>
    <w:rsid w:val="00E6737C"/>
    <w:rsid w:val="00E676F1"/>
    <w:rsid w:val="00E67C62"/>
    <w:rsid w:val="00E67CE3"/>
    <w:rsid w:val="00E704E7"/>
    <w:rsid w:val="00E7075B"/>
    <w:rsid w:val="00E708C8"/>
    <w:rsid w:val="00E70C74"/>
    <w:rsid w:val="00E70F71"/>
    <w:rsid w:val="00E7117F"/>
    <w:rsid w:val="00E711E3"/>
    <w:rsid w:val="00E71C06"/>
    <w:rsid w:val="00E71D38"/>
    <w:rsid w:val="00E72D4C"/>
    <w:rsid w:val="00E73338"/>
    <w:rsid w:val="00E736EC"/>
    <w:rsid w:val="00E73967"/>
    <w:rsid w:val="00E748AE"/>
    <w:rsid w:val="00E748BF"/>
    <w:rsid w:val="00E75362"/>
    <w:rsid w:val="00E75E02"/>
    <w:rsid w:val="00E764E6"/>
    <w:rsid w:val="00E76C25"/>
    <w:rsid w:val="00E8139C"/>
    <w:rsid w:val="00E81753"/>
    <w:rsid w:val="00E81869"/>
    <w:rsid w:val="00E82028"/>
    <w:rsid w:val="00E82030"/>
    <w:rsid w:val="00E831ED"/>
    <w:rsid w:val="00E83D83"/>
    <w:rsid w:val="00E846CB"/>
    <w:rsid w:val="00E84AD1"/>
    <w:rsid w:val="00E85482"/>
    <w:rsid w:val="00E8585B"/>
    <w:rsid w:val="00E85E32"/>
    <w:rsid w:val="00E86253"/>
    <w:rsid w:val="00E86A9E"/>
    <w:rsid w:val="00E86B7A"/>
    <w:rsid w:val="00E8736A"/>
    <w:rsid w:val="00E87700"/>
    <w:rsid w:val="00E879A1"/>
    <w:rsid w:val="00E90F90"/>
    <w:rsid w:val="00E91E31"/>
    <w:rsid w:val="00E91E93"/>
    <w:rsid w:val="00E91EE2"/>
    <w:rsid w:val="00E92499"/>
    <w:rsid w:val="00E927B0"/>
    <w:rsid w:val="00E92FFE"/>
    <w:rsid w:val="00E93ADB"/>
    <w:rsid w:val="00E9465A"/>
    <w:rsid w:val="00E94BAB"/>
    <w:rsid w:val="00E9595B"/>
    <w:rsid w:val="00E95F16"/>
    <w:rsid w:val="00E9615D"/>
    <w:rsid w:val="00E9642E"/>
    <w:rsid w:val="00E971EA"/>
    <w:rsid w:val="00E97331"/>
    <w:rsid w:val="00E97346"/>
    <w:rsid w:val="00E97E73"/>
    <w:rsid w:val="00EA03C3"/>
    <w:rsid w:val="00EA055C"/>
    <w:rsid w:val="00EA0718"/>
    <w:rsid w:val="00EA078E"/>
    <w:rsid w:val="00EA0C41"/>
    <w:rsid w:val="00EA11E9"/>
    <w:rsid w:val="00EA16E5"/>
    <w:rsid w:val="00EA1CB0"/>
    <w:rsid w:val="00EA230F"/>
    <w:rsid w:val="00EA25B2"/>
    <w:rsid w:val="00EA282C"/>
    <w:rsid w:val="00EA2A14"/>
    <w:rsid w:val="00EA3407"/>
    <w:rsid w:val="00EA3764"/>
    <w:rsid w:val="00EA54F9"/>
    <w:rsid w:val="00EA594A"/>
    <w:rsid w:val="00EA5A82"/>
    <w:rsid w:val="00EA607A"/>
    <w:rsid w:val="00EA6593"/>
    <w:rsid w:val="00EA7222"/>
    <w:rsid w:val="00EA730A"/>
    <w:rsid w:val="00EA77FB"/>
    <w:rsid w:val="00EB06B6"/>
    <w:rsid w:val="00EB10C3"/>
    <w:rsid w:val="00EB1158"/>
    <w:rsid w:val="00EB175B"/>
    <w:rsid w:val="00EB1799"/>
    <w:rsid w:val="00EB1B2A"/>
    <w:rsid w:val="00EB1C8F"/>
    <w:rsid w:val="00EB1F26"/>
    <w:rsid w:val="00EB245B"/>
    <w:rsid w:val="00EB2662"/>
    <w:rsid w:val="00EB2861"/>
    <w:rsid w:val="00EB2884"/>
    <w:rsid w:val="00EB30AB"/>
    <w:rsid w:val="00EB30CC"/>
    <w:rsid w:val="00EB3976"/>
    <w:rsid w:val="00EB467E"/>
    <w:rsid w:val="00EB48BF"/>
    <w:rsid w:val="00EB4A2A"/>
    <w:rsid w:val="00EB4BD6"/>
    <w:rsid w:val="00EB4FAC"/>
    <w:rsid w:val="00EB53BA"/>
    <w:rsid w:val="00EB5533"/>
    <w:rsid w:val="00EB55A8"/>
    <w:rsid w:val="00EB566C"/>
    <w:rsid w:val="00EB6129"/>
    <w:rsid w:val="00EB6724"/>
    <w:rsid w:val="00EB67EB"/>
    <w:rsid w:val="00EB6E71"/>
    <w:rsid w:val="00EB74CF"/>
    <w:rsid w:val="00EB788B"/>
    <w:rsid w:val="00EC038C"/>
    <w:rsid w:val="00EC0767"/>
    <w:rsid w:val="00EC1695"/>
    <w:rsid w:val="00EC1726"/>
    <w:rsid w:val="00EC19E7"/>
    <w:rsid w:val="00EC1A5C"/>
    <w:rsid w:val="00EC21DC"/>
    <w:rsid w:val="00EC2DB5"/>
    <w:rsid w:val="00EC35C8"/>
    <w:rsid w:val="00EC3CA9"/>
    <w:rsid w:val="00EC3EB8"/>
    <w:rsid w:val="00EC440F"/>
    <w:rsid w:val="00EC4439"/>
    <w:rsid w:val="00EC4E58"/>
    <w:rsid w:val="00EC56A6"/>
    <w:rsid w:val="00EC596A"/>
    <w:rsid w:val="00EC5F08"/>
    <w:rsid w:val="00EC6195"/>
    <w:rsid w:val="00EC642D"/>
    <w:rsid w:val="00EC75FD"/>
    <w:rsid w:val="00EC7752"/>
    <w:rsid w:val="00EC77A0"/>
    <w:rsid w:val="00ED0328"/>
    <w:rsid w:val="00ED0872"/>
    <w:rsid w:val="00ED0BEB"/>
    <w:rsid w:val="00ED1101"/>
    <w:rsid w:val="00ED1175"/>
    <w:rsid w:val="00ED1891"/>
    <w:rsid w:val="00ED38E5"/>
    <w:rsid w:val="00ED3B7E"/>
    <w:rsid w:val="00ED4882"/>
    <w:rsid w:val="00ED4893"/>
    <w:rsid w:val="00ED553D"/>
    <w:rsid w:val="00ED5E8B"/>
    <w:rsid w:val="00ED60A1"/>
    <w:rsid w:val="00ED6AC7"/>
    <w:rsid w:val="00ED757E"/>
    <w:rsid w:val="00ED7A65"/>
    <w:rsid w:val="00ED7A9F"/>
    <w:rsid w:val="00EE03F3"/>
    <w:rsid w:val="00EE0DBA"/>
    <w:rsid w:val="00EE1162"/>
    <w:rsid w:val="00EE15C8"/>
    <w:rsid w:val="00EE17E2"/>
    <w:rsid w:val="00EE203C"/>
    <w:rsid w:val="00EE227C"/>
    <w:rsid w:val="00EE2DB4"/>
    <w:rsid w:val="00EE3299"/>
    <w:rsid w:val="00EE3322"/>
    <w:rsid w:val="00EE336B"/>
    <w:rsid w:val="00EE33A7"/>
    <w:rsid w:val="00EE3830"/>
    <w:rsid w:val="00EE3F2E"/>
    <w:rsid w:val="00EE442F"/>
    <w:rsid w:val="00EE4B26"/>
    <w:rsid w:val="00EE51D7"/>
    <w:rsid w:val="00EE580F"/>
    <w:rsid w:val="00EE5D26"/>
    <w:rsid w:val="00EE5ED0"/>
    <w:rsid w:val="00EE5FC1"/>
    <w:rsid w:val="00EE6A54"/>
    <w:rsid w:val="00EE6D18"/>
    <w:rsid w:val="00EE7287"/>
    <w:rsid w:val="00EE7F96"/>
    <w:rsid w:val="00EF051D"/>
    <w:rsid w:val="00EF056F"/>
    <w:rsid w:val="00EF0696"/>
    <w:rsid w:val="00EF07CB"/>
    <w:rsid w:val="00EF1D01"/>
    <w:rsid w:val="00EF1DAB"/>
    <w:rsid w:val="00EF20AC"/>
    <w:rsid w:val="00EF308E"/>
    <w:rsid w:val="00EF3359"/>
    <w:rsid w:val="00EF37E1"/>
    <w:rsid w:val="00EF3810"/>
    <w:rsid w:val="00EF3CF1"/>
    <w:rsid w:val="00EF4615"/>
    <w:rsid w:val="00EF496A"/>
    <w:rsid w:val="00EF4D14"/>
    <w:rsid w:val="00EF510D"/>
    <w:rsid w:val="00EF5193"/>
    <w:rsid w:val="00EF56A9"/>
    <w:rsid w:val="00EF56B7"/>
    <w:rsid w:val="00EF6926"/>
    <w:rsid w:val="00EF6A77"/>
    <w:rsid w:val="00EF6F92"/>
    <w:rsid w:val="00EF702B"/>
    <w:rsid w:val="00EF7788"/>
    <w:rsid w:val="00EF7913"/>
    <w:rsid w:val="00F00510"/>
    <w:rsid w:val="00F009DD"/>
    <w:rsid w:val="00F00C22"/>
    <w:rsid w:val="00F00C3F"/>
    <w:rsid w:val="00F00D9D"/>
    <w:rsid w:val="00F0102D"/>
    <w:rsid w:val="00F022DC"/>
    <w:rsid w:val="00F02726"/>
    <w:rsid w:val="00F03068"/>
    <w:rsid w:val="00F037AC"/>
    <w:rsid w:val="00F0388B"/>
    <w:rsid w:val="00F03BFF"/>
    <w:rsid w:val="00F03DB6"/>
    <w:rsid w:val="00F04003"/>
    <w:rsid w:val="00F043E3"/>
    <w:rsid w:val="00F04C54"/>
    <w:rsid w:val="00F04C8B"/>
    <w:rsid w:val="00F05129"/>
    <w:rsid w:val="00F05872"/>
    <w:rsid w:val="00F05AAD"/>
    <w:rsid w:val="00F05FFD"/>
    <w:rsid w:val="00F07184"/>
    <w:rsid w:val="00F101FE"/>
    <w:rsid w:val="00F1147F"/>
    <w:rsid w:val="00F115CE"/>
    <w:rsid w:val="00F117AB"/>
    <w:rsid w:val="00F1199A"/>
    <w:rsid w:val="00F11B3E"/>
    <w:rsid w:val="00F12300"/>
    <w:rsid w:val="00F125B8"/>
    <w:rsid w:val="00F128E2"/>
    <w:rsid w:val="00F12ED1"/>
    <w:rsid w:val="00F13175"/>
    <w:rsid w:val="00F13947"/>
    <w:rsid w:val="00F13BF3"/>
    <w:rsid w:val="00F13CB4"/>
    <w:rsid w:val="00F13DA7"/>
    <w:rsid w:val="00F14411"/>
    <w:rsid w:val="00F146A3"/>
    <w:rsid w:val="00F1523E"/>
    <w:rsid w:val="00F15784"/>
    <w:rsid w:val="00F1598D"/>
    <w:rsid w:val="00F15BEB"/>
    <w:rsid w:val="00F15D7F"/>
    <w:rsid w:val="00F160C9"/>
    <w:rsid w:val="00F16152"/>
    <w:rsid w:val="00F1740E"/>
    <w:rsid w:val="00F1748C"/>
    <w:rsid w:val="00F174D4"/>
    <w:rsid w:val="00F176C9"/>
    <w:rsid w:val="00F1792E"/>
    <w:rsid w:val="00F2013E"/>
    <w:rsid w:val="00F2040B"/>
    <w:rsid w:val="00F20608"/>
    <w:rsid w:val="00F20682"/>
    <w:rsid w:val="00F207A1"/>
    <w:rsid w:val="00F20DF7"/>
    <w:rsid w:val="00F21757"/>
    <w:rsid w:val="00F21924"/>
    <w:rsid w:val="00F21F61"/>
    <w:rsid w:val="00F2229A"/>
    <w:rsid w:val="00F223A8"/>
    <w:rsid w:val="00F225EA"/>
    <w:rsid w:val="00F22EFF"/>
    <w:rsid w:val="00F2339A"/>
    <w:rsid w:val="00F24004"/>
    <w:rsid w:val="00F24225"/>
    <w:rsid w:val="00F24E42"/>
    <w:rsid w:val="00F25328"/>
    <w:rsid w:val="00F25B3C"/>
    <w:rsid w:val="00F268DB"/>
    <w:rsid w:val="00F268EE"/>
    <w:rsid w:val="00F316EB"/>
    <w:rsid w:val="00F31B1C"/>
    <w:rsid w:val="00F31EE5"/>
    <w:rsid w:val="00F32839"/>
    <w:rsid w:val="00F3338B"/>
    <w:rsid w:val="00F336A1"/>
    <w:rsid w:val="00F3380D"/>
    <w:rsid w:val="00F34AF1"/>
    <w:rsid w:val="00F34D6E"/>
    <w:rsid w:val="00F34FB2"/>
    <w:rsid w:val="00F36407"/>
    <w:rsid w:val="00F36885"/>
    <w:rsid w:val="00F37417"/>
    <w:rsid w:val="00F374A7"/>
    <w:rsid w:val="00F374B7"/>
    <w:rsid w:val="00F37D4E"/>
    <w:rsid w:val="00F40688"/>
    <w:rsid w:val="00F40861"/>
    <w:rsid w:val="00F4140A"/>
    <w:rsid w:val="00F41C87"/>
    <w:rsid w:val="00F421EE"/>
    <w:rsid w:val="00F43667"/>
    <w:rsid w:val="00F43B4C"/>
    <w:rsid w:val="00F4449E"/>
    <w:rsid w:val="00F45098"/>
    <w:rsid w:val="00F450FC"/>
    <w:rsid w:val="00F4535C"/>
    <w:rsid w:val="00F4557A"/>
    <w:rsid w:val="00F45B2B"/>
    <w:rsid w:val="00F45D10"/>
    <w:rsid w:val="00F46028"/>
    <w:rsid w:val="00F4630B"/>
    <w:rsid w:val="00F469CA"/>
    <w:rsid w:val="00F46B94"/>
    <w:rsid w:val="00F46C52"/>
    <w:rsid w:val="00F47526"/>
    <w:rsid w:val="00F4785B"/>
    <w:rsid w:val="00F47CC9"/>
    <w:rsid w:val="00F47D57"/>
    <w:rsid w:val="00F50327"/>
    <w:rsid w:val="00F50555"/>
    <w:rsid w:val="00F50571"/>
    <w:rsid w:val="00F509E7"/>
    <w:rsid w:val="00F50CEB"/>
    <w:rsid w:val="00F51996"/>
    <w:rsid w:val="00F51B58"/>
    <w:rsid w:val="00F52070"/>
    <w:rsid w:val="00F523DE"/>
    <w:rsid w:val="00F52419"/>
    <w:rsid w:val="00F52805"/>
    <w:rsid w:val="00F52988"/>
    <w:rsid w:val="00F52F25"/>
    <w:rsid w:val="00F53031"/>
    <w:rsid w:val="00F53621"/>
    <w:rsid w:val="00F53EB5"/>
    <w:rsid w:val="00F53F26"/>
    <w:rsid w:val="00F5407B"/>
    <w:rsid w:val="00F5523C"/>
    <w:rsid w:val="00F5554C"/>
    <w:rsid w:val="00F55ADB"/>
    <w:rsid w:val="00F56522"/>
    <w:rsid w:val="00F57024"/>
    <w:rsid w:val="00F57376"/>
    <w:rsid w:val="00F574FB"/>
    <w:rsid w:val="00F600CD"/>
    <w:rsid w:val="00F60B7B"/>
    <w:rsid w:val="00F60BBD"/>
    <w:rsid w:val="00F61855"/>
    <w:rsid w:val="00F62BCB"/>
    <w:rsid w:val="00F62BD7"/>
    <w:rsid w:val="00F62D9A"/>
    <w:rsid w:val="00F6394F"/>
    <w:rsid w:val="00F6395E"/>
    <w:rsid w:val="00F63F5D"/>
    <w:rsid w:val="00F64BDD"/>
    <w:rsid w:val="00F64E74"/>
    <w:rsid w:val="00F6648F"/>
    <w:rsid w:val="00F667C1"/>
    <w:rsid w:val="00F66DFC"/>
    <w:rsid w:val="00F67504"/>
    <w:rsid w:val="00F71BEB"/>
    <w:rsid w:val="00F71E57"/>
    <w:rsid w:val="00F72431"/>
    <w:rsid w:val="00F72BE2"/>
    <w:rsid w:val="00F7327A"/>
    <w:rsid w:val="00F7338A"/>
    <w:rsid w:val="00F7366F"/>
    <w:rsid w:val="00F73B28"/>
    <w:rsid w:val="00F73B6B"/>
    <w:rsid w:val="00F73BC1"/>
    <w:rsid w:val="00F7408A"/>
    <w:rsid w:val="00F74986"/>
    <w:rsid w:val="00F74D21"/>
    <w:rsid w:val="00F75527"/>
    <w:rsid w:val="00F75598"/>
    <w:rsid w:val="00F755F3"/>
    <w:rsid w:val="00F75800"/>
    <w:rsid w:val="00F772ED"/>
    <w:rsid w:val="00F77A77"/>
    <w:rsid w:val="00F80212"/>
    <w:rsid w:val="00F81503"/>
    <w:rsid w:val="00F81659"/>
    <w:rsid w:val="00F819F5"/>
    <w:rsid w:val="00F81AC5"/>
    <w:rsid w:val="00F81B9C"/>
    <w:rsid w:val="00F81DC7"/>
    <w:rsid w:val="00F81E06"/>
    <w:rsid w:val="00F82BCE"/>
    <w:rsid w:val="00F82CA3"/>
    <w:rsid w:val="00F82D13"/>
    <w:rsid w:val="00F82DC3"/>
    <w:rsid w:val="00F82E2D"/>
    <w:rsid w:val="00F830D9"/>
    <w:rsid w:val="00F83CE3"/>
    <w:rsid w:val="00F83D00"/>
    <w:rsid w:val="00F84675"/>
    <w:rsid w:val="00F84A61"/>
    <w:rsid w:val="00F85ACF"/>
    <w:rsid w:val="00F85B2C"/>
    <w:rsid w:val="00F869C8"/>
    <w:rsid w:val="00F86C55"/>
    <w:rsid w:val="00F876F0"/>
    <w:rsid w:val="00F8792C"/>
    <w:rsid w:val="00F87A14"/>
    <w:rsid w:val="00F87CD3"/>
    <w:rsid w:val="00F90405"/>
    <w:rsid w:val="00F90930"/>
    <w:rsid w:val="00F9101D"/>
    <w:rsid w:val="00F91441"/>
    <w:rsid w:val="00F91953"/>
    <w:rsid w:val="00F91D36"/>
    <w:rsid w:val="00F92256"/>
    <w:rsid w:val="00F923D4"/>
    <w:rsid w:val="00F936E4"/>
    <w:rsid w:val="00F93B72"/>
    <w:rsid w:val="00F93E2C"/>
    <w:rsid w:val="00F95144"/>
    <w:rsid w:val="00F95B73"/>
    <w:rsid w:val="00F95C37"/>
    <w:rsid w:val="00F95DBA"/>
    <w:rsid w:val="00F963ED"/>
    <w:rsid w:val="00F968D4"/>
    <w:rsid w:val="00F96EFB"/>
    <w:rsid w:val="00F97238"/>
    <w:rsid w:val="00F97DE7"/>
    <w:rsid w:val="00FA04BF"/>
    <w:rsid w:val="00FA0945"/>
    <w:rsid w:val="00FA0A9A"/>
    <w:rsid w:val="00FA1D49"/>
    <w:rsid w:val="00FA2633"/>
    <w:rsid w:val="00FA2E1C"/>
    <w:rsid w:val="00FA2F10"/>
    <w:rsid w:val="00FA33D4"/>
    <w:rsid w:val="00FA3479"/>
    <w:rsid w:val="00FA35EA"/>
    <w:rsid w:val="00FA386F"/>
    <w:rsid w:val="00FA4177"/>
    <w:rsid w:val="00FA4272"/>
    <w:rsid w:val="00FA4A51"/>
    <w:rsid w:val="00FA4EF2"/>
    <w:rsid w:val="00FA4F08"/>
    <w:rsid w:val="00FA4F15"/>
    <w:rsid w:val="00FA5246"/>
    <w:rsid w:val="00FA5677"/>
    <w:rsid w:val="00FA591B"/>
    <w:rsid w:val="00FA605E"/>
    <w:rsid w:val="00FA72F5"/>
    <w:rsid w:val="00FA796A"/>
    <w:rsid w:val="00FB0452"/>
    <w:rsid w:val="00FB0820"/>
    <w:rsid w:val="00FB0D98"/>
    <w:rsid w:val="00FB0EFF"/>
    <w:rsid w:val="00FB11C7"/>
    <w:rsid w:val="00FB13B2"/>
    <w:rsid w:val="00FB15AA"/>
    <w:rsid w:val="00FB1A3F"/>
    <w:rsid w:val="00FB1BC7"/>
    <w:rsid w:val="00FB1C1D"/>
    <w:rsid w:val="00FB2996"/>
    <w:rsid w:val="00FB2E9A"/>
    <w:rsid w:val="00FB4AED"/>
    <w:rsid w:val="00FB53BF"/>
    <w:rsid w:val="00FB5932"/>
    <w:rsid w:val="00FB611C"/>
    <w:rsid w:val="00FB6EE7"/>
    <w:rsid w:val="00FB7AE9"/>
    <w:rsid w:val="00FC0504"/>
    <w:rsid w:val="00FC0EA0"/>
    <w:rsid w:val="00FC0F19"/>
    <w:rsid w:val="00FC1740"/>
    <w:rsid w:val="00FC1E52"/>
    <w:rsid w:val="00FC1F40"/>
    <w:rsid w:val="00FC20D2"/>
    <w:rsid w:val="00FC2460"/>
    <w:rsid w:val="00FC285D"/>
    <w:rsid w:val="00FC321A"/>
    <w:rsid w:val="00FC3BE5"/>
    <w:rsid w:val="00FC3CCE"/>
    <w:rsid w:val="00FC4318"/>
    <w:rsid w:val="00FC46E3"/>
    <w:rsid w:val="00FC4786"/>
    <w:rsid w:val="00FC4BB5"/>
    <w:rsid w:val="00FC5476"/>
    <w:rsid w:val="00FC5FEB"/>
    <w:rsid w:val="00FC602E"/>
    <w:rsid w:val="00FC6714"/>
    <w:rsid w:val="00FC676C"/>
    <w:rsid w:val="00FC67D8"/>
    <w:rsid w:val="00FC695E"/>
    <w:rsid w:val="00FC6D0B"/>
    <w:rsid w:val="00FC6F23"/>
    <w:rsid w:val="00FC7A65"/>
    <w:rsid w:val="00FC7C6F"/>
    <w:rsid w:val="00FC7E2A"/>
    <w:rsid w:val="00FD05F3"/>
    <w:rsid w:val="00FD08E9"/>
    <w:rsid w:val="00FD1B21"/>
    <w:rsid w:val="00FD1C17"/>
    <w:rsid w:val="00FD2179"/>
    <w:rsid w:val="00FD22AD"/>
    <w:rsid w:val="00FD306B"/>
    <w:rsid w:val="00FD35DA"/>
    <w:rsid w:val="00FD4882"/>
    <w:rsid w:val="00FD4E42"/>
    <w:rsid w:val="00FD4F59"/>
    <w:rsid w:val="00FD5B05"/>
    <w:rsid w:val="00FD5C0E"/>
    <w:rsid w:val="00FD5D6F"/>
    <w:rsid w:val="00FD5E66"/>
    <w:rsid w:val="00FD73EB"/>
    <w:rsid w:val="00FD73F8"/>
    <w:rsid w:val="00FE0D76"/>
    <w:rsid w:val="00FE22A3"/>
    <w:rsid w:val="00FE2E33"/>
    <w:rsid w:val="00FE30DD"/>
    <w:rsid w:val="00FE3445"/>
    <w:rsid w:val="00FE3B97"/>
    <w:rsid w:val="00FE4243"/>
    <w:rsid w:val="00FE4BC7"/>
    <w:rsid w:val="00FE4CCD"/>
    <w:rsid w:val="00FE50A4"/>
    <w:rsid w:val="00FE5485"/>
    <w:rsid w:val="00FE5576"/>
    <w:rsid w:val="00FE557C"/>
    <w:rsid w:val="00FE57A0"/>
    <w:rsid w:val="00FE59F8"/>
    <w:rsid w:val="00FE5CA3"/>
    <w:rsid w:val="00FE5D1B"/>
    <w:rsid w:val="00FE6060"/>
    <w:rsid w:val="00FE6A2D"/>
    <w:rsid w:val="00FE745C"/>
    <w:rsid w:val="00FE75F1"/>
    <w:rsid w:val="00FE7A45"/>
    <w:rsid w:val="00FF1229"/>
    <w:rsid w:val="00FF232B"/>
    <w:rsid w:val="00FF248F"/>
    <w:rsid w:val="00FF2592"/>
    <w:rsid w:val="00FF26A4"/>
    <w:rsid w:val="00FF288B"/>
    <w:rsid w:val="00FF3379"/>
    <w:rsid w:val="00FF48A6"/>
    <w:rsid w:val="00FF4B59"/>
    <w:rsid w:val="00FF4BA8"/>
    <w:rsid w:val="00FF5292"/>
    <w:rsid w:val="00FF69BD"/>
    <w:rsid w:val="00FF6CD6"/>
    <w:rsid w:val="00FF7422"/>
    <w:rsid w:val="00FF7564"/>
    <w:rsid w:val="6AFA508F"/>
    <w:rsid w:val="76C43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textAlignment w:val="baseline"/>
    </w:pPr>
    <w:rPr>
      <w:rFonts w:ascii="Tahoma" w:hAnsi="Tahoma" w:eastAsia="Times New Roman" w:cs="Times New Roman"/>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widowControl/>
      <w:tabs>
        <w:tab w:val="right" w:leader="dot" w:pos="8296"/>
      </w:tabs>
      <w:adjustRightInd/>
      <w:snapToGrid/>
      <w:spacing w:line="440" w:lineRule="exact"/>
      <w:jc w:val="left"/>
      <w:textAlignment w:val="auto"/>
    </w:pPr>
    <w:rPr>
      <w:rFonts w:eastAsia="楷体_GB2312" w:asciiTheme="minorHAnsi" w:hAnsiTheme="minorHAnsi" w:cstheme="minorBidi"/>
      <w:bCs/>
      <w:sz w:val="24"/>
      <w:szCs w:val="24"/>
    </w:rPr>
  </w:style>
  <w:style w:type="paragraph" w:styleId="7">
    <w:name w:val="Balloon Text"/>
    <w:basedOn w:val="1"/>
    <w:link w:val="27"/>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0">
    <w:name w:val="toc 1"/>
    <w:basedOn w:val="1"/>
    <w:next w:val="1"/>
    <w:unhideWhenUsed/>
    <w:qFormat/>
    <w:uiPriority w:val="39"/>
    <w:pPr>
      <w:widowControl/>
      <w:tabs>
        <w:tab w:val="right" w:leader="dot" w:pos="8296"/>
      </w:tabs>
      <w:adjustRightInd/>
      <w:snapToGrid/>
      <w:spacing w:after="100" w:line="276" w:lineRule="auto"/>
      <w:jc w:val="left"/>
      <w:textAlignment w:val="auto"/>
    </w:pPr>
    <w:rPr>
      <w:rFonts w:eastAsia="黑体" w:asciiTheme="minorHAnsi" w:hAnsiTheme="minorHAnsi" w:cstheme="minorBidi"/>
      <w:sz w:val="28"/>
      <w:szCs w:val="28"/>
    </w:rPr>
  </w:style>
  <w:style w:type="paragraph" w:styleId="11">
    <w:name w:val="toc 4"/>
    <w:basedOn w:val="1"/>
    <w:next w:val="1"/>
    <w:unhideWhenUsed/>
    <w:qFormat/>
    <w:uiPriority w:val="39"/>
    <w:pPr>
      <w:tabs>
        <w:tab w:val="right" w:leader="dot" w:pos="8296"/>
      </w:tabs>
      <w:spacing w:line="360" w:lineRule="exact"/>
      <w:ind w:left="1200" w:leftChars="600"/>
    </w:pPr>
  </w:style>
  <w:style w:type="paragraph" w:styleId="12">
    <w:name w:val="toc 2"/>
    <w:basedOn w:val="1"/>
    <w:next w:val="1"/>
    <w:unhideWhenUsed/>
    <w:qFormat/>
    <w:uiPriority w:val="39"/>
    <w:pPr>
      <w:widowControl/>
      <w:tabs>
        <w:tab w:val="left" w:pos="775"/>
        <w:tab w:val="right" w:leader="dot" w:pos="8296"/>
      </w:tabs>
      <w:adjustRightInd/>
      <w:snapToGrid/>
      <w:spacing w:line="440" w:lineRule="exact"/>
      <w:ind w:left="220"/>
      <w:jc w:val="left"/>
      <w:textAlignment w:val="auto"/>
    </w:pPr>
    <w:rPr>
      <w:rFonts w:ascii="黑体" w:hAnsi="黑体" w:eastAsia="黑体" w:cstheme="minorBidi"/>
      <w:sz w:val="24"/>
      <w:szCs w:val="24"/>
    </w:rPr>
  </w:style>
  <w:style w:type="paragraph" w:styleId="13">
    <w:name w:val="Normal (Web)"/>
    <w:basedOn w:val="1"/>
    <w:unhideWhenUsed/>
    <w:qFormat/>
    <w:uiPriority w:val="99"/>
    <w:pPr>
      <w:widowControl/>
      <w:adjustRightInd/>
      <w:snapToGrid/>
      <w:spacing w:before="100" w:beforeAutospacing="1" w:after="100" w:afterAutospacing="1"/>
      <w:jc w:val="left"/>
      <w:textAlignment w:val="auto"/>
    </w:pPr>
    <w:rPr>
      <w:rFonts w:ascii="宋体" w:hAnsi="宋体" w:eastAsia="宋体" w:cs="宋体"/>
      <w:sz w:val="24"/>
      <w:szCs w:val="24"/>
    </w:rPr>
  </w:style>
  <w:style w:type="character" w:styleId="16">
    <w:name w:val="Strong"/>
    <w:basedOn w:val="15"/>
    <w:qFormat/>
    <w:uiPriority w:val="22"/>
    <w:rPr>
      <w:b/>
      <w:bCs/>
    </w:rPr>
  </w:style>
  <w:style w:type="character" w:styleId="17">
    <w:name w:val="FollowedHyperlink"/>
    <w:basedOn w:val="15"/>
    <w:semiHidden/>
    <w:unhideWhenUsed/>
    <w:qFormat/>
    <w:uiPriority w:val="99"/>
    <w:rPr>
      <w:color w:val="800080" w:themeColor="followedHyperlink"/>
      <w:u w:val="single"/>
    </w:rPr>
  </w:style>
  <w:style w:type="character" w:styleId="18">
    <w:name w:val="Hyperlink"/>
    <w:basedOn w:val="15"/>
    <w:unhideWhenUsed/>
    <w:qFormat/>
    <w:uiPriority w:val="99"/>
    <w:rPr>
      <w:color w:val="0000FF" w:themeColor="hyperlink"/>
      <w:u w:val="single"/>
    </w:rPr>
  </w:style>
  <w:style w:type="character" w:customStyle="1" w:styleId="19">
    <w:name w:val="标题 1 Char"/>
    <w:basedOn w:val="15"/>
    <w:link w:val="2"/>
    <w:qFormat/>
    <w:uiPriority w:val="9"/>
    <w:rPr>
      <w:rFonts w:ascii="Tahoma" w:hAnsi="Tahoma" w:eastAsia="Times New Roman" w:cs="Times New Roman"/>
      <w:b/>
      <w:bCs/>
      <w:kern w:val="44"/>
      <w:sz w:val="44"/>
      <w:szCs w:val="44"/>
    </w:rPr>
  </w:style>
  <w:style w:type="character" w:customStyle="1" w:styleId="20">
    <w:name w:val="标题 2 Char"/>
    <w:basedOn w:val="15"/>
    <w:link w:val="3"/>
    <w:qFormat/>
    <w:uiPriority w:val="9"/>
    <w:rPr>
      <w:rFonts w:asciiTheme="majorHAnsi" w:hAnsiTheme="majorHAnsi" w:eastAsiaTheme="majorEastAsia" w:cstheme="majorBidi"/>
      <w:b/>
      <w:bCs/>
      <w:sz w:val="32"/>
      <w:szCs w:val="32"/>
    </w:rPr>
  </w:style>
  <w:style w:type="character" w:customStyle="1" w:styleId="21">
    <w:name w:val="标题 3 Char"/>
    <w:basedOn w:val="15"/>
    <w:link w:val="4"/>
    <w:qFormat/>
    <w:uiPriority w:val="9"/>
    <w:rPr>
      <w:rFonts w:ascii="Tahoma" w:hAnsi="Tahoma" w:eastAsia="Times New Roman" w:cs="Times New Roman"/>
      <w:b/>
      <w:bCs/>
      <w:sz w:val="32"/>
      <w:szCs w:val="32"/>
    </w:rPr>
  </w:style>
  <w:style w:type="character" w:customStyle="1" w:styleId="22">
    <w:name w:val="标题 4 Char"/>
    <w:basedOn w:val="15"/>
    <w:link w:val="5"/>
    <w:qFormat/>
    <w:uiPriority w:val="9"/>
    <w:rPr>
      <w:rFonts w:asciiTheme="majorHAnsi" w:hAnsiTheme="majorHAnsi" w:eastAsiaTheme="majorEastAsia" w:cstheme="majorBidi"/>
      <w:b/>
      <w:bCs/>
      <w:sz w:val="28"/>
      <w:szCs w:val="28"/>
    </w:rPr>
  </w:style>
  <w:style w:type="character" w:customStyle="1" w:styleId="23">
    <w:name w:val="页眉 Char"/>
    <w:basedOn w:val="15"/>
    <w:link w:val="9"/>
    <w:qFormat/>
    <w:uiPriority w:val="99"/>
    <w:rPr>
      <w:rFonts w:ascii="Tahoma" w:hAnsi="Tahoma"/>
      <w:sz w:val="18"/>
      <w:szCs w:val="18"/>
    </w:rPr>
  </w:style>
  <w:style w:type="character" w:customStyle="1" w:styleId="24">
    <w:name w:val="页脚 Char"/>
    <w:basedOn w:val="15"/>
    <w:link w:val="8"/>
    <w:qFormat/>
    <w:uiPriority w:val="99"/>
    <w:rPr>
      <w:rFonts w:ascii="Tahoma" w:hAnsi="Tahoma"/>
      <w:sz w:val="18"/>
      <w:szCs w:val="18"/>
    </w:rPr>
  </w:style>
  <w:style w:type="paragraph" w:styleId="25">
    <w:name w:val="List Paragraph"/>
    <w:basedOn w:val="1"/>
    <w:qFormat/>
    <w:uiPriority w:val="34"/>
    <w:pPr>
      <w:ind w:firstLine="420" w:firstLineChars="200"/>
    </w:pPr>
  </w:style>
  <w:style w:type="paragraph" w:customStyle="1" w:styleId="26">
    <w:name w:val="TOC 标题1"/>
    <w:basedOn w:val="2"/>
    <w:next w:val="1"/>
    <w:semiHidden/>
    <w:unhideWhenUsed/>
    <w:qFormat/>
    <w:uiPriority w:val="39"/>
    <w:pPr>
      <w:widowControl/>
      <w:adjustRightInd/>
      <w:snapToGrid/>
      <w:spacing w:before="480" w:after="0" w:line="276" w:lineRule="auto"/>
      <w:jc w:val="left"/>
      <w:textAlignment w:val="auto"/>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5"/>
    <w:link w:val="7"/>
    <w:semiHidden/>
    <w:qFormat/>
    <w:uiPriority w:val="99"/>
    <w:rPr>
      <w:rFonts w:ascii="Tahoma" w:hAnsi="Tahoma" w:eastAsia="Times New Roman" w:cs="Times New Roman"/>
      <w:sz w:val="18"/>
      <w:szCs w:val="18"/>
    </w:rPr>
  </w:style>
  <w:style w:type="character" w:customStyle="1" w:styleId="28">
    <w:name w:val="bjh-p"/>
    <w:basedOn w:val="15"/>
    <w:qFormat/>
    <w:uiPriority w:val="0"/>
  </w:style>
  <w:style w:type="paragraph" w:customStyle="1" w:styleId="29">
    <w:name w:val="表文字"/>
    <w:basedOn w:val="1"/>
    <w:qFormat/>
    <w:uiPriority w:val="0"/>
    <w:pPr>
      <w:adjustRightInd/>
      <w:snapToGrid/>
      <w:spacing w:line="400" w:lineRule="exact"/>
      <w:textAlignment w:val="auto"/>
    </w:pPr>
    <w:rPr>
      <w:rFonts w:ascii="黑体" w:hAnsi="黑体"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44184-8404-41FC-9F8E-C3D009C3BF8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39</Pages>
  <Words>3672</Words>
  <Characters>20936</Characters>
  <Lines>174</Lines>
  <Paragraphs>49</Paragraphs>
  <TotalTime>24</TotalTime>
  <ScaleCrop>false</ScaleCrop>
  <LinksUpToDate>false</LinksUpToDate>
  <CharactersWithSpaces>24559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2021-08-27T08:47:00Z</dcterms:created>
  <dc:creator>Administrator</dc:creator>
  <cp:lastModifiedBy>勿著</cp:lastModifiedBy>
  <cp:lastPrinted>2021-09-02T06:36:00Z</cp:lastPrinted>
  <dcterms:modified xsi:type="dcterms:W3CDTF">2023-05-09T02:43:51Z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