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中共北京市委城市副中心工作委员会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北京城市副中心管理委员会关于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印发《202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年北京城市副中心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重大工程行动计划》的通知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副中心工委发</w:t>
      </w:r>
      <w:r>
        <w:rPr>
          <w:rFonts w:hint="eastAsia" w:ascii="仿宋_GB2312" w:hAnsi="宋体" w:eastAsia="仿宋_GB2312" w:cs="仿宋_GB2312"/>
          <w:sz w:val="32"/>
          <w:szCs w:val="32"/>
        </w:rPr>
        <w:t>〔</w:t>
      </w:r>
      <w:r>
        <w:rPr>
          <w:rFonts w:ascii="仿宋_GB2312" w:hAnsi="宋体" w:eastAsia="仿宋_GB2312" w:cs="仿宋_GB2312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方正小标宋简体" w:hAnsi="方正小标宋简体" w:eastAsia="方正小标宋简体" w:cs="方正小标宋简体"/>
          <w:spacing w:val="-19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方正小标宋简体" w:hAnsi="方正小标宋简体" w:eastAsia="方正小标宋简体" w:cs="方正小标宋简体"/>
          <w:spacing w:val="-19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各相关单位：</w:t>
      </w:r>
    </w:p>
    <w:p>
      <w:pPr>
        <w:spacing w:before="172" w:line="225" w:lineRule="auto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年北京城市副中心重大工程行动计划》已于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日经市委常委会会议审议通过，现印发给你们，请认真组织实施。</w:t>
      </w:r>
    </w:p>
    <w:p>
      <w:pPr>
        <w:spacing w:line="640" w:lineRule="exact"/>
        <w:jc w:val="center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6461125</wp:posOffset>
                </wp:positionV>
                <wp:extent cx="1851660" cy="11544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304" w:lineRule="auto"/>
                              <w:ind w:left="99" w:right="187"/>
                              <w:rPr>
                                <w:rFonts w:hint="eastAsia" w:ascii="仿宋_GB2312" w:hAnsi="仿宋_GB2312" w:eastAsia="仿宋_GB2312" w:cs="仿宋_GB2312"/>
                                <w:spacing w:val="-1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3"/>
                                <w:sz w:val="32"/>
                                <w:szCs w:val="32"/>
                              </w:rPr>
                              <w:t>北京城市副中心</w:t>
                            </w:r>
                          </w:p>
                          <w:p>
                            <w:pPr>
                              <w:spacing w:before="19" w:line="304" w:lineRule="auto"/>
                              <w:ind w:left="99" w:right="187"/>
                              <w:rPr>
                                <w:rFonts w:hint="eastAsia" w:ascii="仿宋_GB2312" w:hAnsi="仿宋_GB2312" w:eastAsia="仿宋_GB2312" w:cs="仿宋_GB2312"/>
                                <w:spacing w:val="-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2"/>
                                <w:sz w:val="32"/>
                                <w:szCs w:val="32"/>
                              </w:rPr>
                              <w:t>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2"/>
                                <w:sz w:val="32"/>
                                <w:szCs w:val="32"/>
                              </w:rPr>
                              <w:t>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2"/>
                                <w:sz w:val="32"/>
                                <w:szCs w:val="32"/>
                              </w:rPr>
                              <w:t>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2"/>
                                <w:sz w:val="32"/>
                                <w:szCs w:val="32"/>
                              </w:rPr>
                              <w:t>员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2"/>
                                <w:sz w:val="32"/>
                                <w:szCs w:val="32"/>
                              </w:rPr>
                              <w:t>会</w:t>
                            </w:r>
                          </w:p>
                          <w:p>
                            <w:pPr>
                              <w:spacing w:line="225" w:lineRule="auto"/>
                              <w:ind w:left="401" w:leftChars="9" w:hanging="382" w:hangingChars="100"/>
                              <w:rPr>
                                <w:rFonts w:ascii="楷体" w:hAnsi="楷体" w:eastAsia="楷体" w:cs="楷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31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31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31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31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31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31"/>
                                <w:sz w:val="32"/>
                                <w:szCs w:val="32"/>
                                <w:lang w:val="en-US" w:eastAsia="zh-CN"/>
                              </w:rPr>
                              <w:t>28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31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>
                            <w:pPr>
                              <w:spacing w:before="19" w:line="304" w:lineRule="auto"/>
                              <w:ind w:left="99" w:right="187"/>
                              <w:rPr>
                                <w:rFonts w:ascii="楷体" w:hAnsi="楷体" w:eastAsia="楷体" w:cs="楷体"/>
                                <w:spacing w:val="-22"/>
                                <w:sz w:val="31"/>
                                <w:szCs w:val="31"/>
                              </w:rPr>
                            </w:pPr>
                          </w:p>
                          <w:p>
                            <w:pPr>
                              <w:spacing w:line="225" w:lineRule="auto"/>
                              <w:ind w:left="20"/>
                              <w:rPr>
                                <w:rFonts w:ascii="楷体" w:hAnsi="楷体" w:eastAsia="楷体" w:cs="楷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31"/>
                                <w:sz w:val="31"/>
                                <w:szCs w:val="31"/>
                              </w:rPr>
                              <w:t>2022年2月24日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95pt;margin-top:508.75pt;height:90.9pt;width:145.8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+LF1I2gAAAA0BAAAPAAAAAAAAAAEAIAAAACIAAABkcnMvZG93bnJldi54bWxQ&#10;SwECFAAUAAAACACHTuJAfTRTBr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304" w:lineRule="auto"/>
                        <w:ind w:left="99" w:right="187"/>
                        <w:rPr>
                          <w:rFonts w:hint="eastAsia" w:ascii="仿宋_GB2312" w:hAnsi="仿宋_GB2312" w:eastAsia="仿宋_GB2312" w:cs="仿宋_GB2312"/>
                          <w:spacing w:val="-13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13"/>
                          <w:sz w:val="32"/>
                          <w:szCs w:val="32"/>
                        </w:rPr>
                        <w:t>北京城市副中心</w:t>
                      </w:r>
                    </w:p>
                    <w:p>
                      <w:pPr>
                        <w:spacing w:before="19" w:line="304" w:lineRule="auto"/>
                        <w:ind w:left="99" w:right="187"/>
                        <w:rPr>
                          <w:rFonts w:hint="eastAsia" w:ascii="仿宋_GB2312" w:hAnsi="仿宋_GB2312" w:eastAsia="仿宋_GB2312" w:cs="仿宋_GB2312"/>
                          <w:spacing w:val="-2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2"/>
                          <w:sz w:val="32"/>
                          <w:szCs w:val="32"/>
                        </w:rPr>
                        <w:t>管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22"/>
                          <w:sz w:val="32"/>
                          <w:szCs w:val="32"/>
                        </w:rPr>
                        <w:t>理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22"/>
                          <w:sz w:val="32"/>
                          <w:szCs w:val="32"/>
                        </w:rPr>
                        <w:t>委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22"/>
                          <w:sz w:val="32"/>
                          <w:szCs w:val="32"/>
                        </w:rPr>
                        <w:t>员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22"/>
                          <w:sz w:val="32"/>
                          <w:szCs w:val="32"/>
                        </w:rPr>
                        <w:t>会</w:t>
                      </w:r>
                    </w:p>
                    <w:p>
                      <w:pPr>
                        <w:spacing w:line="225" w:lineRule="auto"/>
                        <w:ind w:left="401" w:leftChars="9" w:hanging="382" w:hangingChars="100"/>
                        <w:rPr>
                          <w:rFonts w:ascii="楷体" w:hAnsi="楷体" w:eastAsia="楷体" w:cs="楷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31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31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31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31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31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31"/>
                          <w:sz w:val="32"/>
                          <w:szCs w:val="32"/>
                          <w:lang w:val="en-US" w:eastAsia="zh-CN"/>
                        </w:rPr>
                        <w:t>28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31"/>
                          <w:sz w:val="32"/>
                          <w:szCs w:val="32"/>
                        </w:rPr>
                        <w:t>日</w:t>
                      </w:r>
                    </w:p>
                    <w:p>
                      <w:pPr>
                        <w:spacing w:before="19" w:line="304" w:lineRule="auto"/>
                        <w:ind w:left="99" w:right="187"/>
                        <w:rPr>
                          <w:rFonts w:ascii="楷体" w:hAnsi="楷体" w:eastAsia="楷体" w:cs="楷体"/>
                          <w:spacing w:val="-22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line="225" w:lineRule="auto"/>
                        <w:ind w:left="20"/>
                        <w:rPr>
                          <w:rFonts w:ascii="楷体" w:hAnsi="楷体" w:eastAsia="楷体" w:cs="楷体"/>
                          <w:sz w:val="31"/>
                          <w:szCs w:val="31"/>
                        </w:rPr>
                      </w:pPr>
                      <w:r>
                        <w:rPr>
                          <w:rFonts w:ascii="楷体" w:hAnsi="楷体" w:eastAsia="楷体" w:cs="楷体"/>
                          <w:spacing w:val="31"/>
                          <w:sz w:val="31"/>
                          <w:szCs w:val="31"/>
                        </w:rPr>
                        <w:t>2022年2月24日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6478270</wp:posOffset>
                </wp:positionV>
                <wp:extent cx="1787525" cy="11544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304" w:lineRule="auto"/>
                              <w:ind w:right="187"/>
                              <w:jc w:val="distribute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>中共北京市委城市</w:t>
                            </w:r>
                          </w:p>
                          <w:p>
                            <w:pPr>
                              <w:spacing w:line="225" w:lineRule="auto"/>
                              <w:ind w:left="339" w:leftChars="9" w:hanging="320" w:hangingChars="100"/>
                              <w:jc w:val="both"/>
                              <w:rPr>
                                <w:rFonts w:hint="default" w:ascii="楷体" w:hAnsi="楷体" w:eastAsia="楷体" w:cs="楷体"/>
                                <w:sz w:val="31"/>
                                <w:szCs w:val="31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>副中心工作委员会</w:t>
                            </w:r>
                          </w:p>
                          <w:p>
                            <w:pPr>
                              <w:spacing w:before="19" w:line="304" w:lineRule="auto"/>
                              <w:ind w:left="99" w:right="187"/>
                              <w:jc w:val="distribute"/>
                              <w:rPr>
                                <w:rFonts w:ascii="楷体" w:hAnsi="楷体" w:eastAsia="楷体" w:cs="楷体"/>
                                <w:spacing w:val="-22"/>
                                <w:sz w:val="31"/>
                                <w:szCs w:val="31"/>
                              </w:rPr>
                            </w:pPr>
                          </w:p>
                          <w:p>
                            <w:pPr>
                              <w:spacing w:line="225" w:lineRule="auto"/>
                              <w:ind w:left="20"/>
                              <w:jc w:val="distribute"/>
                              <w:rPr>
                                <w:rFonts w:ascii="楷体" w:hAnsi="楷体" w:eastAsia="楷体" w:cs="楷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31"/>
                                <w:sz w:val="31"/>
                                <w:szCs w:val="31"/>
                              </w:rPr>
                              <w:t>2022年2月24日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25pt;margin-top:510.1pt;height:90.9pt;width:140.75pt;mso-position-horizontal-relative:page;mso-position-vertical-relative:page;z-index:251661312;mso-width-relative:page;mso-height-relative:page;" filled="f" stroked="f" coordsize="21600,21600" o:allowincell="f" o:gfxdata="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PPCxHYAAAADQEAAA8AAAAAAAAAAQAgAAAAIgAAAGRycy9kb3ducmV2LnhtbFBL&#10;AQIUABQAAAAIAIdO4kAKNbfpvQEAAHM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304" w:lineRule="auto"/>
                        <w:ind w:right="187"/>
                        <w:jc w:val="distribute"/>
                        <w:rPr>
                          <w:rFonts w:hint="eastAsia" w:ascii="仿宋_GB2312" w:hAnsi="仿宋_GB2312" w:eastAsia="仿宋_GB2312" w:cs="仿宋_GB2312"/>
                          <w:spacing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0"/>
                          <w:sz w:val="32"/>
                          <w:szCs w:val="32"/>
                          <w:lang w:val="en-US" w:eastAsia="zh-CN"/>
                        </w:rPr>
                        <w:t>中共北京市委城市</w:t>
                      </w:r>
                    </w:p>
                    <w:p>
                      <w:pPr>
                        <w:spacing w:line="225" w:lineRule="auto"/>
                        <w:ind w:left="339" w:leftChars="9" w:hanging="320" w:hangingChars="100"/>
                        <w:jc w:val="both"/>
                        <w:rPr>
                          <w:rFonts w:hint="default" w:ascii="楷体" w:hAnsi="楷体" w:eastAsia="楷体" w:cs="楷体"/>
                          <w:sz w:val="31"/>
                          <w:szCs w:val="31"/>
                          <w:lang w:val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0"/>
                          <w:sz w:val="32"/>
                          <w:szCs w:val="32"/>
                          <w:lang w:val="en-US" w:eastAsia="zh-CN"/>
                        </w:rPr>
                        <w:t>副中心工作委员会</w:t>
                      </w:r>
                    </w:p>
                    <w:p>
                      <w:pPr>
                        <w:spacing w:before="19" w:line="304" w:lineRule="auto"/>
                        <w:ind w:left="99" w:right="187"/>
                        <w:jc w:val="distribute"/>
                        <w:rPr>
                          <w:rFonts w:ascii="楷体" w:hAnsi="楷体" w:eastAsia="楷体" w:cs="楷体"/>
                          <w:spacing w:val="-22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line="225" w:lineRule="auto"/>
                        <w:ind w:left="20"/>
                        <w:jc w:val="distribute"/>
                        <w:rPr>
                          <w:rFonts w:ascii="楷体" w:hAnsi="楷体" w:eastAsia="楷体" w:cs="楷体"/>
                          <w:sz w:val="31"/>
                          <w:szCs w:val="31"/>
                        </w:rPr>
                      </w:pPr>
                      <w:r>
                        <w:rPr>
                          <w:rFonts w:ascii="楷体" w:hAnsi="楷体" w:eastAsia="楷体" w:cs="楷体"/>
                          <w:spacing w:val="31"/>
                          <w:sz w:val="31"/>
                          <w:szCs w:val="31"/>
                        </w:rPr>
                        <w:t>2022年2月24日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40" w:lineRule="exact"/>
        <w:jc w:val="center"/>
        <w:rPr>
          <w:rFonts w:hint="eastAsia" w:ascii="楷体" w:hAnsi="楷体" w:eastAsia="楷体" w:cs="楷体"/>
          <w:spacing w:val="-14"/>
          <w:sz w:val="32"/>
          <w:szCs w:val="32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32"/>
          <w:szCs w:val="32"/>
          <w:highlight w:val="none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32"/>
          <w:szCs w:val="32"/>
          <w:highlight w:val="none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32"/>
          <w:szCs w:val="32"/>
          <w:highlight w:val="none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44"/>
          <w:szCs w:val="44"/>
          <w:highlight w:val="none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44"/>
          <w:szCs w:val="44"/>
          <w:highlight w:val="none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2154" w:right="1474" w:bottom="1474" w:left="1587" w:header="851" w:footer="850" w:gutter="0"/>
          <w:pgNumType w:fmt="decimal"/>
          <w:cols w:space="425" w:num="1"/>
          <w:titlePg/>
          <w:docGrid w:type="lines" w:linePitch="312" w:charSpace="0"/>
        </w:sect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2023年北京城市副中心重大工程行动计划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hAnsi="仿宋" w:eastAsia="仿宋_GB2312" w:cs="Times New Roman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2023年是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eastAsia="zh-Hans"/>
        </w:rPr>
        <w:t>全面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贯彻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eastAsia="zh-Hans"/>
        </w:rPr>
        <w:t>落实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党的二十大精神开局之年</w:t>
      </w:r>
      <w:r>
        <w:rPr>
          <w:rFonts w:ascii="仿宋_GB2312" w:hAnsi="仿宋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eastAsia="zh-Hans"/>
        </w:rPr>
        <w:t>是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“十四五”规划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eastAsia="zh-Hans"/>
        </w:rPr>
        <w:t>实施承上启下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之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eastAsia="zh-Hans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，也是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eastAsia="zh-Hans"/>
        </w:rPr>
        <w:t>推动城市副中心开创新局面的关键一年</w:t>
      </w:r>
      <w:r>
        <w:rPr>
          <w:rFonts w:ascii="仿宋_GB2312" w:hAnsi="仿宋" w:eastAsia="仿宋_GB2312" w:cs="Times New Roman"/>
          <w:sz w:val="32"/>
          <w:szCs w:val="32"/>
          <w:highlight w:val="none"/>
          <w:lang w:eastAsia="zh-Hans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为全面实施城市副中心控规，深入推进城市副中心高质量发展，加快重大工程建设，特制定本行动计划。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一、20</w:t>
      </w:r>
      <w:r>
        <w:rPr>
          <w:rFonts w:ascii="黑体" w:hAnsi="Times New Roman" w:eastAsia="黑体" w:cs="Times New Roman"/>
          <w:sz w:val="32"/>
          <w:szCs w:val="32"/>
          <w:highlight w:val="none"/>
        </w:rPr>
        <w:t>2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3年行动计划编制思路</w:t>
      </w:r>
      <w:r>
        <w:rPr>
          <w:rFonts w:ascii="黑体" w:hAnsi="Times New Roman" w:eastAsia="黑体" w:cs="Times New Roman"/>
          <w:sz w:val="32"/>
          <w:szCs w:val="32"/>
          <w:highlight w:val="none"/>
        </w:rPr>
        <w:t>及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仿宋_GB2312" w:eastAsia="楷体_GB2312" w:cs="仿宋_GB2312"/>
          <w:sz w:val="32"/>
          <w:szCs w:val="32"/>
          <w:highlight w:val="none"/>
        </w:rPr>
      </w:pPr>
      <w:r>
        <w:rPr>
          <w:rFonts w:ascii="楷体_GB2312" w:hAnsi="仿宋_GB2312" w:eastAsia="楷体_GB2312" w:cs="仿宋_GB2312"/>
          <w:sz w:val="32"/>
          <w:szCs w:val="32"/>
          <w:highlight w:val="none"/>
        </w:rPr>
        <w:t>（</w:t>
      </w:r>
      <w:r>
        <w:rPr>
          <w:rFonts w:hint="eastAsia" w:ascii="楷体_GB2312" w:hAnsi="仿宋_GB2312" w:eastAsia="楷体_GB2312" w:cs="仿宋_GB2312"/>
          <w:sz w:val="32"/>
          <w:szCs w:val="32"/>
          <w:highlight w:val="none"/>
          <w:lang w:eastAsia="zh-Hans"/>
        </w:rPr>
        <w:t>一</w:t>
      </w:r>
      <w:r>
        <w:rPr>
          <w:rFonts w:ascii="楷体_GB2312" w:hAnsi="仿宋_GB2312" w:eastAsia="楷体_GB2312" w:cs="仿宋_GB2312"/>
          <w:sz w:val="32"/>
          <w:szCs w:val="32"/>
          <w:highlight w:val="none"/>
          <w:lang w:eastAsia="zh-Hans"/>
        </w:rPr>
        <w:t>）</w:t>
      </w:r>
      <w:r>
        <w:rPr>
          <w:rFonts w:hint="eastAsia" w:ascii="楷体_GB2312" w:hAnsi="仿宋_GB2312" w:eastAsia="楷体_GB2312" w:cs="仿宋_GB2312"/>
          <w:sz w:val="32"/>
          <w:szCs w:val="32"/>
          <w:highlight w:val="none"/>
        </w:rPr>
        <w:t>坚持规划引领，深入推进副中心高质量发展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把行动计划作为落实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城市副中心控规、高质量发展意见和“十四五”规划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的重要抓手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和项目支撑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立长远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强功能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全面上台阶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，系统推进基础设施、高精尖产业、民生改善和行政办公等重点领域建设，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形成重点突破，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努力打造高质量发展典范，为城市副中心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zh-TW" w:eastAsia="zh-TW"/>
        </w:rPr>
        <w:t>保持千亿以上投资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zh-TW"/>
        </w:rPr>
        <w:t>强度提供有力支撑。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仿宋_GB2312" w:eastAsia="楷体_GB2312" w:cs="仿宋_GB2312"/>
          <w:sz w:val="32"/>
          <w:szCs w:val="32"/>
          <w:highlight w:val="none"/>
        </w:rPr>
      </w:pPr>
      <w:r>
        <w:rPr>
          <w:rFonts w:hint="eastAsia" w:ascii="楷体_GB2312" w:hAnsi="仿宋_GB2312" w:eastAsia="楷体_GB2312" w:cs="仿宋_GB2312"/>
          <w:sz w:val="32"/>
          <w:szCs w:val="32"/>
          <w:highlight w:val="none"/>
        </w:rPr>
        <w:t>（二）聚焦产业成势，大力推进产业集群发展壮大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坚持五子联动，聚焦六大产业，激发经济发展新活力，持续优化产业资源配置，加快壮大数字经济核心产业规模，巩固金融业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特别是绿色金融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发展势头，加快促进制造业向高精尖提质转型，加速培育头部企业集群，积极推动国际消费中心城市建设，加强消费圈谋划，完善消费业态布局，增强消费吸引力，推动文旅产业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不断做大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做强，为经济长期增长注入不竭动力。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仿宋_GB2312" w:eastAsia="楷体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仿宋_GB2312" w:eastAsia="楷体_GB2312" w:cs="仿宋_GB2312"/>
          <w:sz w:val="32"/>
          <w:szCs w:val="32"/>
          <w:highlight w:val="none"/>
        </w:rPr>
      </w:pPr>
      <w:r>
        <w:rPr>
          <w:rFonts w:hint="eastAsia" w:ascii="楷体_GB2312" w:hAnsi="仿宋_GB2312" w:eastAsia="楷体_GB2312" w:cs="仿宋_GB2312"/>
          <w:sz w:val="32"/>
          <w:szCs w:val="32"/>
          <w:highlight w:val="none"/>
        </w:rPr>
        <w:t>（三）筑牢绿色底色，</w:t>
      </w:r>
      <w:r>
        <w:rPr>
          <w:rFonts w:hint="eastAsia" w:ascii="楷体_GB2312" w:hAnsi="仿宋_GB2312" w:eastAsia="楷体_GB2312" w:cs="仿宋_GB2312"/>
          <w:sz w:val="32"/>
          <w:szCs w:val="32"/>
          <w:highlight w:val="none"/>
          <w:lang w:eastAsia="zh-Hans"/>
        </w:rPr>
        <w:t>全力打造国家绿色发展示范区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落实建设国家绿色发展示范区实施方案，全面推行绿色建筑，加快构建以轨道交通为主体的绿色交通体系，坚持增加路网密度和提升交通管理水平并重，持续扩绿增绿，推动公园融入城市，全方位深耕水环境治理，大力优化能源结构，规模化推进地热及余热利用，持续培育绿色经济发展新动能，奋力锻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副中心绿色发展新优势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仿宋_GB2312" w:eastAsia="楷体_GB2312" w:cs="仿宋_GB2312"/>
          <w:sz w:val="32"/>
          <w:szCs w:val="32"/>
          <w:highlight w:val="none"/>
        </w:rPr>
      </w:pPr>
      <w:r>
        <w:rPr>
          <w:rFonts w:ascii="楷体_GB2312" w:hAnsi="仿宋_GB2312" w:eastAsia="楷体_GB2312" w:cs="仿宋_GB2312"/>
          <w:sz w:val="32"/>
          <w:szCs w:val="32"/>
          <w:highlight w:val="none"/>
        </w:rPr>
        <w:t>（</w:t>
      </w:r>
      <w:r>
        <w:rPr>
          <w:rFonts w:hint="eastAsia" w:ascii="楷体_GB2312" w:hAnsi="仿宋_GB2312" w:eastAsia="楷体_GB2312" w:cs="仿宋_GB2312"/>
          <w:sz w:val="32"/>
          <w:szCs w:val="32"/>
          <w:highlight w:val="none"/>
        </w:rPr>
        <w:t>四</w:t>
      </w:r>
      <w:r>
        <w:rPr>
          <w:rFonts w:ascii="楷体_GB2312" w:hAnsi="仿宋_GB2312" w:eastAsia="楷体_GB2312" w:cs="仿宋_GB2312"/>
          <w:sz w:val="32"/>
          <w:szCs w:val="32"/>
          <w:highlight w:val="none"/>
          <w:lang w:eastAsia="zh-Hans"/>
        </w:rPr>
        <w:t>）</w:t>
      </w:r>
      <w:r>
        <w:rPr>
          <w:rFonts w:hint="eastAsia" w:ascii="楷体_GB2312" w:hAnsi="仿宋_GB2312" w:eastAsia="楷体_GB2312" w:cs="仿宋_GB2312"/>
          <w:sz w:val="32"/>
          <w:szCs w:val="32"/>
          <w:highlight w:val="none"/>
        </w:rPr>
        <w:t>增强协同联动，扎实推进与北三县一体化高质量发展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聚焦协同发展新要求，紧抓一体化发展链条，扎实推进基础设施、生态环境、产业发展、公共服务等领域对接合作，加快构建一体化交通网络，持续推动教育、医疗、文化等公共服务资源向北三县延伸，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</w:rPr>
        <w:t>鼓励在京企业以市场化方式参与北三县开发建设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拓宽一体化高质量发展的新空间新动能，打造新时代区域协同发展典范。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hAnsi="仿宋" w:eastAsia="黑体" w:cs="Times New Roman"/>
          <w:sz w:val="32"/>
          <w:szCs w:val="32"/>
          <w:highlight w:val="none"/>
        </w:rPr>
        <w:t>二、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20</w:t>
      </w:r>
      <w:r>
        <w:rPr>
          <w:rFonts w:ascii="黑体" w:hAnsi="Times New Roman" w:eastAsia="黑体" w:cs="Times New Roman"/>
          <w:sz w:val="32"/>
          <w:szCs w:val="32"/>
          <w:highlight w:val="none"/>
        </w:rPr>
        <w:t>2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3年重大</w:t>
      </w:r>
      <w:r>
        <w:rPr>
          <w:rFonts w:ascii="黑体" w:hAnsi="Times New Roman" w:eastAsia="黑体" w:cs="Times New Roman"/>
          <w:sz w:val="32"/>
          <w:szCs w:val="32"/>
          <w:highlight w:val="none"/>
        </w:rPr>
        <w:t>工程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具体安排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20</w:t>
      </w:r>
      <w:r>
        <w:rPr>
          <w:rFonts w:ascii="仿宋_GB2312" w:hAnsi="仿宋" w:eastAsia="仿宋_GB2312" w:cs="Times New Roman"/>
          <w:sz w:val="32"/>
          <w:szCs w:val="32"/>
          <w:highlight w:val="none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3年，计划集中推动217项城市副中心重大工程，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总投资约</w:t>
      </w:r>
      <w:r>
        <w:rPr>
          <w:rFonts w:ascii="仿宋_GB2312" w:hAnsi="仿宋" w:eastAsia="仿宋_GB2312" w:cs="Times New Roman"/>
          <w:sz w:val="32"/>
          <w:szCs w:val="32"/>
          <w:highlight w:val="none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065亿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元，当年计划完成投资约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587亿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元。计划新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开工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78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项，续建139项，力争当年完工61项。各领域具体安排如下：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（一）基础设施领域82项，2023年计划完成投资176亿元。计划新开工40项，续建42项，力争当年完工19项。</w:t>
      </w: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</w:rPr>
        <w:t>主要任务：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持续推进区域互联互通，加快轨道网络建设，拓展对外交通联系通道，增强枢纽集散功能。完善三个特色小镇、台马科技板块等重点功能区内部路网和市政供给。加快防洪排涝体系建设，加强流域水系生态系统保护修复，提升城乡水处理能力。持续加大绿色能源应用，提升能源保障水平，稳步推进地下综合管廊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</w:rPr>
        <w:t>重点工程：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加快建设轨道交通平谷线、城市副中心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M101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线。加快推进城市副中心站、通马路、环球影城北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交通枢纽建设，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建成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东夏园交通枢纽。开工建设春明路、石小路，加快实施东六环加宽（入地）改造、通马路改扩建、厂通路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完善张家湾设计小镇、台湖演艺小镇、棚改安置房等区域内部路网。开工建设减河北综合资源利用中心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加快建设温潮减河，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统筹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推进两河水网、城北水网、城南水网建设。开工建设创意园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220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千伏输变电工程、再生能源发电厂二期，实施城市绿心起步区地源热泵供热供冷系统、六合村分布式地源热泵能源站等一批新能源示范项目。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黑体" w:eastAsia="楷体_GB2312" w:cs="Times New Roman"/>
          <w:bCs/>
          <w:sz w:val="32"/>
          <w:szCs w:val="32"/>
          <w:highlight w:val="none"/>
        </w:rPr>
        <w:t>（二）民生改善领域53项，2023年计划完成投资162亿元。计划新开工15项，续建</w:t>
      </w:r>
      <w:r>
        <w:rPr>
          <w:rFonts w:ascii="楷体_GB2312" w:hAnsi="黑体" w:eastAsia="楷体_GB2312" w:cs="Times New Roman"/>
          <w:bCs/>
          <w:sz w:val="32"/>
          <w:szCs w:val="32"/>
          <w:highlight w:val="none"/>
        </w:rPr>
        <w:t>38</w:t>
      </w:r>
      <w:r>
        <w:rPr>
          <w:rFonts w:hint="eastAsia" w:ascii="楷体_GB2312" w:hAnsi="黑体" w:eastAsia="楷体_GB2312" w:cs="Times New Roman"/>
          <w:bCs/>
          <w:sz w:val="32"/>
          <w:szCs w:val="32"/>
          <w:highlight w:val="none"/>
        </w:rPr>
        <w:t>项，力争当年完工</w:t>
      </w:r>
      <w:r>
        <w:rPr>
          <w:rFonts w:ascii="楷体_GB2312" w:hAnsi="黑体" w:eastAsia="楷体_GB2312" w:cs="Times New Roman"/>
          <w:bCs/>
          <w:sz w:val="32"/>
          <w:szCs w:val="32"/>
          <w:highlight w:val="none"/>
        </w:rPr>
        <w:t>15</w:t>
      </w:r>
      <w:r>
        <w:rPr>
          <w:rFonts w:hint="eastAsia" w:ascii="楷体_GB2312" w:hAnsi="黑体" w:eastAsia="楷体_GB2312" w:cs="Times New Roman"/>
          <w:bCs/>
          <w:sz w:val="32"/>
          <w:szCs w:val="32"/>
          <w:highlight w:val="none"/>
        </w:rPr>
        <w:t>项。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</w:rPr>
        <w:t>主要任务：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持续推进公共服务优质共享，全力增加基础教育学位，提升医疗服务承载能力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。扩大优质文体设施供给，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擦亮大运河历史文化金名片。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深入推进城市更新，加快推进老旧小区改造、棚户区改造和政策性住房建设。持续厚植绿色生态底色，继续扩大绿色空间。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  <w:lang w:eastAsia="zh-Hans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</w:rPr>
        <w:t>重点工程：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加快建设人大通州新校区一期、北京卫生职业学院新院区。开工建设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东直门医院国家医学中心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，加快建设首儿所通州院区、北京市疾病预防控制中心迁建，基本建成安贞医院通州院区、友谊医院通州院区二期。建成城市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Hans"/>
        </w:rPr>
        <w:t>绿心三大文化设施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并投入运营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，开工建设瓮城遗址项目，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推进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Hans"/>
        </w:rPr>
        <w:t>实施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通州区体育场升级改造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。加快建设城市副中心住房项目，推进实施台湖镇、张家湾镇等一批集体土地租赁住房项目</w:t>
      </w:r>
      <w:r>
        <w:rPr>
          <w:rFonts w:ascii="仿宋_GB2312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扎实推进潞城、东方厂棚户区改造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Hans"/>
        </w:rPr>
        <w:t>项目收尾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Hans"/>
        </w:rPr>
        <w:t>开工建设北苑</w:t>
      </w:r>
      <w:r>
        <w:rPr>
          <w:rFonts w:ascii="仿宋_GB2312" w:hAnsi="Times New Roman" w:eastAsia="仿宋_GB2312" w:cs="Times New Roman"/>
          <w:sz w:val="32"/>
          <w:szCs w:val="32"/>
          <w:highlight w:val="none"/>
          <w:lang w:eastAsia="zh-Hans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Hans"/>
        </w:rPr>
        <w:t>玉桥家园中心</w:t>
      </w:r>
      <w:r>
        <w:rPr>
          <w:rFonts w:ascii="仿宋_GB2312" w:hAnsi="Times New Roman" w:eastAsia="仿宋_GB2312" w:cs="Times New Roman"/>
          <w:sz w:val="32"/>
          <w:szCs w:val="32"/>
          <w:highlight w:val="none"/>
          <w:lang w:eastAsia="zh-Hans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稳步实施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Hans"/>
        </w:rPr>
        <w:t>南大街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及周边片区腾退保护更新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Hans"/>
        </w:rPr>
        <w:t>项目</w:t>
      </w:r>
      <w:r>
        <w:rPr>
          <w:rFonts w:ascii="仿宋_GB2312" w:hAnsi="Times New Roman" w:eastAsia="仿宋_GB2312" w:cs="Times New Roman"/>
          <w:sz w:val="32"/>
          <w:szCs w:val="32"/>
          <w:highlight w:val="none"/>
          <w:lang w:eastAsia="zh-Hans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开工建设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路县故城考古遗址公园二期。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  <w:highlight w:val="none"/>
        </w:rPr>
        <w:t>（三）产业领域</w:t>
      </w:r>
      <w:r>
        <w:rPr>
          <w:rFonts w:ascii="楷体_GB2312" w:hAnsi="仿宋_GB2312" w:eastAsia="楷体_GB2312" w:cs="仿宋_GB2312"/>
          <w:bCs/>
          <w:sz w:val="32"/>
          <w:szCs w:val="32"/>
          <w:highlight w:val="none"/>
        </w:rPr>
        <w:t>7</w:t>
      </w:r>
      <w:r>
        <w:rPr>
          <w:rFonts w:hint="eastAsia" w:ascii="楷体_GB2312" w:hAnsi="仿宋_GB2312" w:eastAsia="楷体_GB2312" w:cs="仿宋_GB2312"/>
          <w:bCs/>
          <w:sz w:val="32"/>
          <w:szCs w:val="32"/>
          <w:highlight w:val="none"/>
        </w:rPr>
        <w:t>1项，2023年计划完成投资243亿元。计划新开工</w:t>
      </w:r>
      <w:r>
        <w:rPr>
          <w:rFonts w:ascii="楷体_GB2312" w:hAnsi="仿宋_GB2312" w:eastAsia="楷体_GB2312" w:cs="仿宋_GB2312"/>
          <w:bCs/>
          <w:sz w:val="32"/>
          <w:szCs w:val="32"/>
          <w:highlight w:val="none"/>
        </w:rPr>
        <w:t>2</w:t>
      </w:r>
      <w:r>
        <w:rPr>
          <w:rFonts w:hint="eastAsia" w:ascii="楷体_GB2312" w:hAnsi="仿宋_GB2312" w:eastAsia="楷体_GB2312" w:cs="仿宋_GB2312"/>
          <w:bCs/>
          <w:sz w:val="32"/>
          <w:szCs w:val="32"/>
          <w:highlight w:val="none"/>
        </w:rPr>
        <w:t>2项，续建49项，力争当年完工</w:t>
      </w:r>
      <w:r>
        <w:rPr>
          <w:rFonts w:ascii="楷体_GB2312" w:hAnsi="仿宋_GB2312" w:eastAsia="楷体_GB2312" w:cs="仿宋_GB2312"/>
          <w:bCs/>
          <w:sz w:val="32"/>
          <w:szCs w:val="32"/>
          <w:highlight w:val="none"/>
        </w:rPr>
        <w:t>1</w:t>
      </w:r>
      <w:r>
        <w:rPr>
          <w:rFonts w:hint="eastAsia" w:ascii="楷体_GB2312" w:hAnsi="仿宋_GB2312" w:eastAsia="楷体_GB2312" w:cs="仿宋_GB2312"/>
          <w:bCs/>
          <w:sz w:val="32"/>
          <w:szCs w:val="32"/>
          <w:highlight w:val="none"/>
        </w:rPr>
        <w:t>7项。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</w:rPr>
        <w:t>主要任务：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继续释放“两区”政策效能，有序承接中心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城区非首都功能疏解。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加快培育壮大现代化产业体系，推动制造业向高端迈进。提升金融商务服务功能，加快打造全球财富管理中心。积极承接环球主题公园外溢效应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，加快推动文旅商融合发展。激发数字经济活力，高标准建设国家网络安全产业园。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提升联动发展水平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，加快建设张家湾设计小镇、台湖演艺小镇、宋庄艺术创意小镇，宋庄艺术创意小镇要保持艺术家气息。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0"/>
        <w:rPr>
          <w:rFonts w:ascii="Times New Roman" w:hAnsi="Times New Roman" w:eastAsia="宋体" w:cs="Times New Roman"/>
          <w:sz w:val="32"/>
          <w:szCs w:val="32"/>
          <w:highlight w:val="none"/>
          <w:lang w:eastAsia="zh-Hans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</w:rPr>
        <w:t>重点工程：</w:t>
      </w:r>
      <w:r>
        <w:rPr>
          <w:rFonts w:hint="eastAsia" w:ascii="仿宋_GB2312" w:hAnsi="宋体" w:eastAsia="仿宋_GB2312" w:cs="Times New Roman"/>
          <w:bCs/>
          <w:sz w:val="32"/>
          <w:szCs w:val="32"/>
          <w:highlight w:val="none"/>
        </w:rPr>
        <w:t>加快建设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首旅集团总部、华夏银行总部、保障房中心总部、北京建院总部、北咨公司总部，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建成北投集团总部，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开工建设同仁堂集团总部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工建设中国信通院产业创新基地，加快实施西北工业大学北京研究院、网络安全领军人才培育基地项目。加快建设小米智能制造产业基地、益生祥明科技产业园，建成博格华纳北京新工厂。开工建设北京未来设计园区（二期），加快建设北京国际设计周永久会址配套项目、环球奥莱小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黑体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bCs/>
          <w:sz w:val="32"/>
          <w:szCs w:val="32"/>
          <w:highlight w:val="none"/>
        </w:rPr>
        <w:t>（四）行政办公领域</w:t>
      </w:r>
      <w:r>
        <w:rPr>
          <w:rFonts w:ascii="楷体_GB2312" w:hAnsi="Times New Roman" w:eastAsia="楷体_GB2312" w:cs="Times New Roman"/>
          <w:bCs/>
          <w:sz w:val="32"/>
          <w:szCs w:val="32"/>
          <w:highlight w:val="none"/>
        </w:rPr>
        <w:t>1</w:t>
      </w:r>
      <w:r>
        <w:rPr>
          <w:rFonts w:hint="eastAsia" w:ascii="楷体_GB2312" w:hAnsi="Times New Roman" w:eastAsia="楷体_GB2312" w:cs="Times New Roman"/>
          <w:bCs/>
          <w:sz w:val="32"/>
          <w:szCs w:val="32"/>
          <w:highlight w:val="none"/>
        </w:rPr>
        <w:t>1项，2023年计划完成投资6亿元。计划新开工1项，续建</w:t>
      </w:r>
      <w:r>
        <w:rPr>
          <w:rFonts w:ascii="楷体_GB2312" w:hAnsi="Times New Roman" w:eastAsia="楷体_GB2312" w:cs="Times New Roman"/>
          <w:bCs/>
          <w:sz w:val="32"/>
          <w:szCs w:val="32"/>
          <w:highlight w:val="none"/>
        </w:rPr>
        <w:t>10</w:t>
      </w:r>
      <w:r>
        <w:rPr>
          <w:rFonts w:hint="eastAsia" w:ascii="楷体_GB2312" w:hAnsi="Times New Roman" w:eastAsia="楷体_GB2312" w:cs="Times New Roman"/>
          <w:bCs/>
          <w:sz w:val="32"/>
          <w:szCs w:val="32"/>
          <w:highlight w:val="none"/>
        </w:rPr>
        <w:t>项，</w:t>
      </w:r>
      <w:r>
        <w:rPr>
          <w:rFonts w:hint="eastAsia" w:ascii="楷体_GB2312" w:hAnsi="仿宋_GB2312" w:eastAsia="楷体_GB2312" w:cs="仿宋_GB2312"/>
          <w:bCs/>
          <w:sz w:val="32"/>
          <w:szCs w:val="32"/>
          <w:highlight w:val="none"/>
        </w:rPr>
        <w:t>力争当年完工10项</w:t>
      </w:r>
      <w:r>
        <w:rPr>
          <w:rFonts w:hint="eastAsia" w:ascii="楷体_GB2312" w:hAnsi="Times New Roman" w:eastAsia="楷体_GB2312" w:cs="Times New Roman"/>
          <w:bCs/>
          <w:sz w:val="32"/>
          <w:szCs w:val="32"/>
          <w:highlight w:val="none"/>
        </w:rPr>
        <w:t>。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highlight w:val="none"/>
        </w:rPr>
        <w:t>主要任务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确保行政办公区二期竣工，启动第二批市级行政机关搬迁。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0"/>
        <w:rPr>
          <w:rFonts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</w:rPr>
        <w:t>重点工程：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开工建设市高院办公及技术业务用房项目，建成行政办公区二期启动区7个行政办公地块及六合村3个行政办公地块。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同时，按照滚动发展思路，做好今后三年项目储备工作，2023年安排重大工程储备项目</w:t>
      </w:r>
      <w:r>
        <w:rPr>
          <w:rFonts w:ascii="仿宋_GB2312" w:hAnsi="宋体" w:eastAsia="仿宋_GB2312" w:cs="Times New Roman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09项，重点谋划姚家园路东延、城市绿心体育设施、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Hans"/>
        </w:rPr>
        <w:t>六环高线公园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、张家湾古镇等项目。相关项目由各主责单位加快推进方案研究、规划选址、征地拆迁等前期工作，待具备条件后及时调整纳入当年行动计划加快实施。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仿宋" w:eastAsia="黑体" w:cs="Times New Roman"/>
          <w:sz w:val="32"/>
          <w:szCs w:val="32"/>
          <w:highlight w:val="none"/>
        </w:rPr>
        <w:t>三、</w:t>
      </w:r>
      <w:r>
        <w:rPr>
          <w:rFonts w:hint="eastAsia" w:ascii="黑体" w:hAnsi="仿宋" w:eastAsia="黑体" w:cs="Times New Roman"/>
          <w:sz w:val="32"/>
          <w:szCs w:val="32"/>
          <w:highlight w:val="none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sz w:val="32"/>
          <w:szCs w:val="32"/>
          <w:highlight w:val="none"/>
        </w:rPr>
        <w:t>（一）狠抓分级分类调度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城市副中心党工委管委会加强统筹调度，充分发挥投资计划、规划设计、工程推进、征地拆迁四个工作专班作用，加大督查力度。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eastAsia="zh-Hans"/>
        </w:rPr>
        <w:t>各市级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主责部门严格落实行业统筹和管理职责。经开区管委会加强台马地区项目统筹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>工作力度</w:t>
      </w:r>
      <w:r>
        <w:rPr>
          <w:rFonts w:ascii="仿宋_GB2312" w:hAnsi="仿宋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加快投资落地。通州区加强区属项目统筹调度，对部分重点项目实施“全过程代办”，高效推动项目实施。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sz w:val="32"/>
          <w:szCs w:val="32"/>
          <w:highlight w:val="none"/>
        </w:rPr>
        <w:t>（二）做深做细前期工作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建设单位加快开展规划选址、方案设计、专项评价、立项报告编制等前期工作，强化成本管控。相关审批部门主动向前，加强服务指导，对列入本行动计划的项目在供地安排、指标配给等方面予以优先保障，充分用好市级赋权，进一步缩短审批时限</w:t>
      </w:r>
      <w:r>
        <w:rPr>
          <w:rFonts w:ascii="仿宋_GB2312" w:hAnsi="仿宋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加强项目前期谋划，发挥</w:t>
      </w:r>
      <w:r>
        <w:rPr>
          <w:rFonts w:ascii="仿宋_GB2312" w:hAnsi="仿宋" w:eastAsia="仿宋_GB2312" w:cs="Times New Roman"/>
          <w:sz w:val="32"/>
          <w:szCs w:val="32"/>
          <w:highlight w:val="none"/>
        </w:rPr>
        <w:t>重大项目前期工作营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机制</w:t>
      </w:r>
      <w:r>
        <w:rPr>
          <w:rFonts w:ascii="仿宋_GB2312" w:hAnsi="仿宋" w:eastAsia="仿宋_GB2312" w:cs="Times New Roman"/>
          <w:sz w:val="32"/>
          <w:szCs w:val="32"/>
          <w:highlight w:val="none"/>
        </w:rPr>
        <w:t>，创新项目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实施模式。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sz w:val="32"/>
          <w:szCs w:val="32"/>
          <w:highlight w:val="none"/>
        </w:rPr>
        <w:t>（三）加强资金要素保障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强化市政府固定资产投资、市财政资金对城市副中心的保障力度，积极争取中央预算内资金支持，加大通州区地方政府债券支持额度。在水务、能源、养老等公共服务领域推进政府和社会资本合作。用好基金、银行、保险等金融资金，引导金融机构加大项目融资支持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>和保障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力度。充分发挥北投集团作用，探索创新融资模式，提升投融资能力。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0" w:hanging="960" w:hangingChars="3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98" w:leftChars="342" w:hanging="1280" w:hangingChars="400"/>
        <w:textAlignment w:val="auto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附件：2023年北京城市副中心重大工程行动计划项目表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华文中宋" w:hAnsi="华文中宋" w:eastAsia="华文中宋" w:cs="华文中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highlight w:val="none"/>
        </w:rPr>
      </w:pPr>
      <w:bookmarkStart w:id="0" w:name="_GoBack"/>
      <w:bookmarkEnd w:id="0"/>
    </w:p>
    <w:sectPr>
      <w:pgSz w:w="11906" w:h="16838"/>
      <w:pgMar w:top="2154" w:right="1474" w:bottom="1474" w:left="1587" w:header="851" w:footer="850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3969"/>
        <w:tab w:val="right" w:pos="8306"/>
      </w:tabs>
      <w:suppressAutoHyphens/>
      <w:snapToGrid w:val="0"/>
      <w:spacing w:line="520" w:lineRule="exact"/>
      <w:jc w:val="distribute"/>
      <w:rPr>
        <w:rFonts w:ascii="Calibri" w:hAnsi="Calibri" w:eastAsia="宋体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TBiM2IyNWM5MmE4OWU0OTk5MTAwMTk5YTE1NWQifQ=="/>
  </w:docVars>
  <w:rsids>
    <w:rsidRoot w:val="55B55135"/>
    <w:rsid w:val="0BA15CEB"/>
    <w:rsid w:val="0D0E4A78"/>
    <w:rsid w:val="0D1C4718"/>
    <w:rsid w:val="2D576EC8"/>
    <w:rsid w:val="477B5067"/>
    <w:rsid w:val="54C65448"/>
    <w:rsid w:val="55B55135"/>
    <w:rsid w:val="620D063B"/>
    <w:rsid w:val="64596EBA"/>
    <w:rsid w:val="7973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3086</Words>
  <Characters>3172</Characters>
  <Lines>0</Lines>
  <Paragraphs>0</Paragraphs>
  <TotalTime>1</TotalTime>
  <ScaleCrop>false</ScaleCrop>
  <LinksUpToDate>false</LinksUpToDate>
  <CharactersWithSpaces>3172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2023-04-20T07:05:00Z</dcterms:created>
  <dc:creator>sentimy</dc:creator>
  <cp:lastModifiedBy>sentimy</cp:lastModifiedBy>
  <cp:lastPrinted>2023-04-21T03:21:00Z</cp:lastPrinted>
  <dcterms:modified xsi:type="dcterms:W3CDTF">2023-05-11T08:20:13Z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76CB3F865FD04D8FA62DD9C2DF8936AC_13</vt:lpwstr>
  </property>
</Properties>
</file>