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tabs>
          <w:tab w:val="left" w:pos="8190"/>
        </w:tabs>
        <w:kinsoku/>
        <w:wordWrap/>
        <w:overflowPunct/>
        <w:topLinePunct w:val="0"/>
        <w:autoSpaceDE/>
        <w:autoSpaceDN/>
        <w:bidi w:val="0"/>
        <w:adjustRightInd/>
        <w:snapToGrid/>
        <w:spacing w:line="360" w:lineRule="exact"/>
        <w:textAlignment w:val="auto"/>
        <w:rPr>
          <w:rFonts w:ascii="仿宋_GB2312" w:hAnsi="宋体" w:eastAsia="仿宋_GB2312" w:cs="Times New Roman"/>
          <w:sz w:val="32"/>
          <w:szCs w:val="32"/>
        </w:rPr>
      </w:pPr>
      <w:bookmarkStart w:id="0" w:name="_Hlt44488104"/>
      <w:bookmarkEnd w:id="0"/>
    </w:p>
    <w:p>
      <w:pPr>
        <w:pStyle w:val="10"/>
        <w:keepNext w:val="0"/>
        <w:keepLines w:val="0"/>
        <w:pageBreakBefore w:val="0"/>
        <w:widowControl w:val="0"/>
        <w:tabs>
          <w:tab w:val="left" w:pos="8190"/>
        </w:tabs>
        <w:kinsoku/>
        <w:wordWrap/>
        <w:overflowPunct/>
        <w:topLinePunct w:val="0"/>
        <w:autoSpaceDE/>
        <w:autoSpaceDN/>
        <w:bidi w:val="0"/>
        <w:adjustRightInd/>
        <w:snapToGrid/>
        <w:spacing w:line="360" w:lineRule="exact"/>
        <w:textAlignment w:val="auto"/>
        <w:rPr>
          <w:rFonts w:ascii="仿宋_GB2312" w:hAnsi="宋体" w:eastAsia="仿宋_GB2312" w:cs="Times New Roman"/>
          <w:sz w:val="32"/>
          <w:szCs w:val="32"/>
        </w:rPr>
      </w:pPr>
    </w:p>
    <w:p>
      <w:pPr>
        <w:pStyle w:val="37"/>
        <w:spacing w:before="561" w:beforeLines="180" w:line="1000" w:lineRule="exact"/>
        <w:rPr>
          <w:rFonts w:ascii="方正小标宋简体" w:hAnsi="小标宋" w:eastAsia="方正小标宋简体" w:cs="Times New Roman"/>
          <w:color w:val="FF0000"/>
          <w:spacing w:val="-12"/>
          <w:w w:val="79"/>
          <w:sz w:val="96"/>
          <w:szCs w:val="96"/>
        </w:rPr>
      </w:pPr>
      <w:r>
        <w:rPr>
          <w:rFonts w:hint="eastAsia" w:ascii="方正小标宋简体" w:hAnsi="小标宋" w:eastAsia="方正小标宋简体" w:cs="方正小标宋简体"/>
          <w:color w:val="FF0000"/>
          <w:spacing w:val="-12"/>
          <w:w w:val="77"/>
          <w:sz w:val="96"/>
          <w:szCs w:val="96"/>
        </w:rPr>
        <w:t>北京市通州区人民政府文件</w:t>
      </w:r>
    </w:p>
    <w:p>
      <w:pPr>
        <w:keepNext w:val="0"/>
        <w:keepLines w:val="0"/>
        <w:pageBreakBefore w:val="0"/>
        <w:widowControl w:val="0"/>
        <w:kinsoku/>
        <w:wordWrap/>
        <w:overflowPunct/>
        <w:topLinePunct w:val="0"/>
        <w:autoSpaceDE/>
        <w:autoSpaceDN/>
        <w:bidi w:val="0"/>
        <w:adjustRightInd/>
        <w:snapToGrid/>
        <w:spacing w:after="0" w:line="400" w:lineRule="exact"/>
        <w:ind w:firstLine="420"/>
        <w:jc w:val="center"/>
        <w:textAlignment w:val="auto"/>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after="0" w:line="400" w:lineRule="exact"/>
        <w:ind w:firstLine="420"/>
        <w:jc w:val="center"/>
        <w:textAlignment w:val="auto"/>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_GB2312" w:hAnsi="黑体" w:eastAsia="仿宋_GB2312" w:cs="Times New Roman"/>
          <w:sz w:val="32"/>
          <w:szCs w:val="32"/>
        </w:rPr>
      </w:pPr>
      <w:r>
        <w:rPr>
          <w:rFonts w:hAnsi="Times New Roman"/>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336550</wp:posOffset>
                </wp:positionV>
                <wp:extent cx="5599430" cy="38100"/>
                <wp:effectExtent l="0" t="17145" r="1270" b="20955"/>
                <wp:wrapNone/>
                <wp:docPr id="5" name="直接连接符 5"/>
                <wp:cNvGraphicFramePr/>
                <a:graphic xmlns:a="http://schemas.openxmlformats.org/drawingml/2006/main">
                  <a:graphicData uri="http://schemas.microsoft.com/office/word/2010/wordprocessingShape">
                    <wps:wsp>
                      <wps:cNvCnPr/>
                      <wps:spPr>
                        <a:xfrm>
                          <a:off x="0" y="0"/>
                          <a:ext cx="5599430" cy="38100"/>
                        </a:xfrm>
                        <a:prstGeom prst="line">
                          <a:avLst/>
                        </a:prstGeom>
                        <a:ln w="3492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6.5pt;height:3pt;width:440.9pt;z-index:251668480;mso-width-relative:page;mso-height-relative:page;" filled="f" stroked="t" coordsize="21600,21600" o:gfxdata="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rEDHDdcAAAAGAQAADwAAAAAAAAABACAAAAA4AAAAZHJzL2Rvd25y&#10;ZXYueG1sUEsBAhQAFAAAAAgAh07iQM67CTPpAQAArAMAAA4AAAAAAAAAAQAgAAAAPAEAAGRycy9l&#10;Mm9Eb2MueG1sUEsFBgAAAAAGAAYAWQEAAJcFAAAAAA==&#10;">
                <v:fill on="f" focussize="0,0"/>
                <v:stroke weight="2.75pt" color="#FF0000" joinstyle="round"/>
                <v:imagedata o:title=""/>
                <o:lock v:ext="edit" aspectratio="f"/>
              </v:line>
            </w:pict>
          </mc:Fallback>
        </mc:AlternateContent>
      </w:r>
      <w:r>
        <w:rPr>
          <w:rFonts w:hint="eastAsia" w:ascii="仿宋_GB2312" w:hAnsi="黑体" w:eastAsia="仿宋_GB2312" w:cs="仿宋_GB2312"/>
          <w:sz w:val="32"/>
          <w:szCs w:val="32"/>
        </w:rPr>
        <w:t>通政发〔202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w:t>
      </w:r>
      <w:r>
        <w:rPr>
          <w:rFonts w:hint="eastAsia" w:ascii="仿宋_GB2312" w:hAnsi="黑体" w:cs="仿宋_GB2312"/>
          <w:sz w:val="32"/>
          <w:szCs w:val="32"/>
          <w:lang w:val="en-US" w:eastAsia="zh-CN"/>
        </w:rPr>
        <w:t>3</w:t>
      </w:r>
      <w:r>
        <w:rPr>
          <w:rFonts w:hint="eastAsia" w:ascii="仿宋_GB2312" w:hAnsi="黑体" w:eastAsia="仿宋_GB2312" w:cs="仿宋_GB2312"/>
          <w:sz w:val="32"/>
          <w:szCs w:val="32"/>
        </w:rPr>
        <w:t>号</w:t>
      </w:r>
    </w:p>
    <w:p>
      <w:pPr>
        <w:pStyle w:val="37"/>
        <w:keepNext w:val="0"/>
        <w:keepLines w:val="0"/>
        <w:pageBreakBefore w:val="0"/>
        <w:widowControl w:val="0"/>
        <w:kinsoku/>
        <w:wordWrap/>
        <w:overflowPunct/>
        <w:topLinePunct w:val="0"/>
        <w:autoSpaceDE/>
        <w:autoSpaceDN/>
        <w:bidi w:val="0"/>
        <w:adjustRightInd/>
        <w:spacing w:line="520" w:lineRule="exact"/>
        <w:jc w:val="both"/>
        <w:textAlignment w:val="auto"/>
        <w:rPr>
          <w:rFonts w:hAnsi="Times New Roman" w:cs="Times New Roman"/>
        </w:rPr>
      </w:pPr>
    </w:p>
    <w:p>
      <w:pPr>
        <w:pStyle w:val="36"/>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after="0"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rPr>
        <w:t>北京市通州区人民政府</w:t>
      </w:r>
      <w:r>
        <w:rPr>
          <w:rFonts w:hint="eastAsia" w:ascii="方正小标宋简体" w:hAnsi="方正小标宋简体" w:eastAsia="方正小标宋简体" w:cs="方正小标宋简体"/>
          <w:spacing w:val="0"/>
          <w:sz w:val="44"/>
          <w:szCs w:val="44"/>
          <w:lang w:val="en-US" w:eastAsia="zh-CN"/>
        </w:rPr>
        <w:t>关于印发</w:t>
      </w:r>
    </w:p>
    <w:p>
      <w:pPr>
        <w:keepNext w:val="0"/>
        <w:keepLines w:val="0"/>
        <w:pageBreakBefore w:val="0"/>
        <w:widowControl w:val="0"/>
        <w:kinsoku/>
        <w:wordWrap/>
        <w:overflowPunct/>
        <w:topLinePunct w:val="0"/>
        <w:autoSpaceDE/>
        <w:autoSpaceDN/>
        <w:bidi w:val="0"/>
        <w:adjustRightInd w:val="0"/>
        <w:snapToGrid w:val="0"/>
        <w:spacing w:after="0"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《通州区深化农村集体经营性建设用地入市</w:t>
      </w:r>
    </w:p>
    <w:p>
      <w:pPr>
        <w:keepNext w:val="0"/>
        <w:keepLines w:val="0"/>
        <w:pageBreakBefore w:val="0"/>
        <w:widowControl w:val="0"/>
        <w:kinsoku/>
        <w:wordWrap/>
        <w:overflowPunct/>
        <w:topLinePunct w:val="0"/>
        <w:autoSpaceDE/>
        <w:autoSpaceDN/>
        <w:bidi w:val="0"/>
        <w:adjustRightInd w:val="0"/>
        <w:snapToGrid w:val="0"/>
        <w:spacing w:after="0" w:line="7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试点工作推进方案》的通知</w:t>
      </w:r>
    </w:p>
    <w:p>
      <w:pPr>
        <w:pStyle w:val="14"/>
        <w:keepNext w:val="0"/>
        <w:keepLines w:val="0"/>
        <w:pageBreakBefore w:val="0"/>
        <w:widowControl w:val="0"/>
        <w:kinsoku/>
        <w:wordWrap/>
        <w:overflowPunct/>
        <w:topLinePunct w:val="0"/>
        <w:autoSpaceDE/>
        <w:autoSpaceDN/>
        <w:bidi w:val="0"/>
        <w:snapToGrid/>
        <w:spacing w:after="0" w:line="600" w:lineRule="exact"/>
        <w:ind w:left="0" w:leftChars="0" w:right="0" w:rightChars="0" w:firstLine="0" w:firstLineChars="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after="0" w:line="600" w:lineRule="exact"/>
        <w:ind w:left="0" w:leftChars="0" w:right="0" w:right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各乡、镇人民政府，区政府有关委、办、局：</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60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现将《通州区深化农村集体经营性建设用地入市试点工作推进方案》印发给你们，请认真遵照执行。</w:t>
      </w:r>
    </w:p>
    <w:p>
      <w:pPr>
        <w:keepNext w:val="0"/>
        <w:keepLines w:val="0"/>
        <w:pageBreakBefore w:val="0"/>
        <w:widowControl w:val="0"/>
        <w:kinsoku/>
        <w:wordWrap/>
        <w:overflowPunct/>
        <w:topLinePunct w:val="0"/>
        <w:autoSpaceDE/>
        <w:autoSpaceDN/>
        <w:bidi w:val="0"/>
        <w:adjustRightInd w:val="0"/>
        <w:snapToGrid/>
        <w:spacing w:after="0" w:line="480" w:lineRule="exact"/>
        <w:ind w:left="0" w:leftChars="0" w:right="0" w:rightChars="0" w:firstLine="0" w:firstLineChars="0"/>
        <w:jc w:val="both"/>
        <w:textAlignment w:val="auto"/>
        <w:rPr>
          <w:rFonts w:hint="eastAsia" w:ascii="楷体_GB2312" w:hAnsi="楷体_GB2312" w:eastAsia="楷体_GB2312" w:cs="楷体_GB2312"/>
          <w:b w:val="0"/>
          <w:bCs w:val="0"/>
          <w:sz w:val="32"/>
          <w:szCs w:val="32"/>
          <w:lang w:val="en-US" w:eastAsia="zh-CN"/>
        </w:rPr>
      </w:pPr>
    </w:p>
    <w:p>
      <w:pPr>
        <w:pStyle w:val="14"/>
        <w:keepNext w:val="0"/>
        <w:keepLines w:val="0"/>
        <w:pageBreakBefore w:val="0"/>
        <w:widowControl w:val="0"/>
        <w:kinsoku/>
        <w:wordWrap/>
        <w:overflowPunct/>
        <w:topLinePunct w:val="0"/>
        <w:autoSpaceDE/>
        <w:autoSpaceDN/>
        <w:bidi w:val="0"/>
        <w:snapToGrid/>
        <w:spacing w:line="480" w:lineRule="exact"/>
        <w:textAlignment w:val="auto"/>
        <w:rPr>
          <w:rFonts w:hint="eastAsia" w:ascii="楷体_GB2312" w:hAnsi="楷体_GB2312" w:eastAsia="楷体_GB2312" w:cs="楷体_GB2312"/>
          <w:b w:val="0"/>
          <w:bCs w:val="0"/>
          <w:sz w:val="32"/>
          <w:szCs w:val="32"/>
          <w:lang w:val="en-US" w:eastAsia="zh-CN"/>
        </w:rPr>
      </w:pPr>
    </w:p>
    <w:p>
      <w:pPr>
        <w:keepNext w:val="0"/>
        <w:keepLines w:val="0"/>
        <w:pageBreakBefore w:val="0"/>
        <w:widowControl w:val="0"/>
        <w:kinsoku/>
        <w:wordWrap/>
        <w:overflowPunct/>
        <w:topLinePunct w:val="0"/>
        <w:autoSpaceDE/>
        <w:autoSpaceDN/>
        <w:bidi w:val="0"/>
        <w:snapToGrid/>
        <w:spacing w:line="480" w:lineRule="exact"/>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after="0" w:line="540" w:lineRule="exact"/>
        <w:ind w:left="0" w:leftChars="0" w:right="0" w:rightChars="0" w:firstLine="5040" w:firstLineChars="1575"/>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 xml:space="preserve">北京市通州区人民政府    </w:t>
      </w:r>
    </w:p>
    <w:p>
      <w:pPr>
        <w:pStyle w:val="36"/>
        <w:keepNext w:val="0"/>
        <w:keepLines w:val="0"/>
        <w:pageBreakBefore w:val="0"/>
        <w:widowControl w:val="0"/>
        <w:kinsoku/>
        <w:wordWrap/>
        <w:overflowPunct/>
        <w:topLinePunct w:val="0"/>
        <w:autoSpaceDE/>
        <w:autoSpaceDN/>
        <w:bidi w:val="0"/>
        <w:snapToGrid/>
        <w:spacing w:after="0" w:line="540" w:lineRule="exact"/>
        <w:ind w:firstLine="5206" w:firstLineChars="1627"/>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2024年2月2日</w:t>
      </w:r>
    </w:p>
    <w:p>
      <w:pPr>
        <w:pStyle w:val="36"/>
        <w:keepNext w:val="0"/>
        <w:keepLines w:val="0"/>
        <w:pageBreakBefore w:val="0"/>
        <w:widowControl w:val="0"/>
        <w:kinsoku/>
        <w:wordWrap/>
        <w:overflowPunct/>
        <w:topLinePunct w:val="0"/>
        <w:autoSpaceDE/>
        <w:autoSpaceDN/>
        <w:bidi w:val="0"/>
        <w:snapToGrid/>
        <w:spacing w:after="0" w:line="560" w:lineRule="exact"/>
        <w:ind w:left="0" w:leftChars="0" w:firstLine="0" w:firstLine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（此件公开发布）</w:t>
      </w:r>
    </w:p>
    <w:p>
      <w:pPr>
        <w:pStyle w:val="26"/>
        <w:keepNext w:val="0"/>
        <w:keepLines w:val="0"/>
        <w:pageBreakBefore w:val="0"/>
        <w:widowControl w:val="0"/>
        <w:shd w:val="clear" w:color="auto" w:fill="auto"/>
        <w:kinsoku/>
        <w:wordWrap/>
        <w:overflowPunct/>
        <w:topLinePunct w:val="0"/>
        <w:autoSpaceDE/>
        <w:autoSpaceDN/>
        <w:bidi w:val="0"/>
        <w:adjustRightInd/>
        <w:snapToGrid w:val="0"/>
        <w:spacing w:after="0" w:line="740"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通州区深化农村集体经营性</w:t>
      </w:r>
    </w:p>
    <w:p>
      <w:pPr>
        <w:pStyle w:val="26"/>
        <w:keepNext w:val="0"/>
        <w:keepLines w:val="0"/>
        <w:pageBreakBefore w:val="0"/>
        <w:widowControl w:val="0"/>
        <w:shd w:val="clear" w:color="auto" w:fill="auto"/>
        <w:kinsoku/>
        <w:wordWrap/>
        <w:overflowPunct/>
        <w:topLinePunct w:val="0"/>
        <w:autoSpaceDE/>
        <w:autoSpaceDN/>
        <w:bidi w:val="0"/>
        <w:adjustRightInd/>
        <w:snapToGrid w:val="0"/>
        <w:spacing w:after="0" w:line="740" w:lineRule="exact"/>
        <w:jc w:val="center"/>
        <w:textAlignment w:val="auto"/>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建设用地入市试点工作推进方案</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640"/>
        <w:jc w:val="left"/>
        <w:textAlignment w:val="auto"/>
        <w:rPr>
          <w:rFonts w:eastAsia="方正小标宋简体" w:cs="Times New Roman"/>
          <w:szCs w:val="32"/>
        </w:rPr>
      </w:pPr>
    </w:p>
    <w:p>
      <w:pPr>
        <w:keepNext w:val="0"/>
        <w:keepLines w:val="0"/>
        <w:pageBreakBefore w:val="0"/>
        <w:widowControl/>
        <w:suppressLineNumbers w:val="0"/>
        <w:kinsoku/>
        <w:wordWrap/>
        <w:overflowPunct/>
        <w:topLinePunct w:val="0"/>
        <w:autoSpaceDE/>
        <w:autoSpaceDN/>
        <w:bidi w:val="0"/>
        <w:adjustRightInd/>
        <w:snapToGrid/>
        <w:spacing w:after="0" w:line="580" w:lineRule="exact"/>
        <w:jc w:val="left"/>
        <w:textAlignment w:val="auto"/>
        <w:rPr>
          <w:rFonts w:cs="Times New Roman"/>
          <w:szCs w:val="32"/>
        </w:rPr>
      </w:pPr>
      <w:r>
        <w:rPr>
          <w:rFonts w:cs="Times New Roman"/>
          <w:szCs w:val="32"/>
          <w:lang w:val="zh-CN"/>
        </w:rPr>
        <w:t>为深化农村土地制度改革，贯彻落实党中央、国务院有关决策部署和自然资源部工作安排，</w:t>
      </w:r>
      <w:r>
        <w:rPr>
          <w:rFonts w:cs="Times New Roman"/>
          <w:szCs w:val="32"/>
        </w:rPr>
        <w:t>稳妥有序</w:t>
      </w:r>
      <w:r>
        <w:rPr>
          <w:rFonts w:cs="Times New Roman"/>
          <w:szCs w:val="32"/>
          <w:lang w:val="zh-CN"/>
        </w:rPr>
        <w:t>推进</w:t>
      </w:r>
      <w:r>
        <w:rPr>
          <w:rFonts w:cs="Times New Roman"/>
          <w:szCs w:val="32"/>
        </w:rPr>
        <w:t>农村集体经营性建设用地入市试点工作，依据《中共中央办公厅</w:t>
      </w:r>
      <w:r>
        <w:rPr>
          <w:rFonts w:hint="eastAsia" w:cs="Times New Roman"/>
          <w:szCs w:val="32"/>
          <w:lang w:val="en-US" w:eastAsia="zh-CN"/>
        </w:rPr>
        <w:t xml:space="preserve"> </w:t>
      </w:r>
      <w:r>
        <w:rPr>
          <w:rFonts w:cs="Times New Roman"/>
          <w:szCs w:val="32"/>
        </w:rPr>
        <w:t>国务院办公厅</w:t>
      </w:r>
      <w:r>
        <w:rPr>
          <w:rFonts w:hint="eastAsia" w:cs="Times New Roman"/>
          <w:szCs w:val="32"/>
          <w:lang w:eastAsia="zh-CN"/>
        </w:rPr>
        <w:t>印发〈</w:t>
      </w:r>
      <w:r>
        <w:rPr>
          <w:rFonts w:cs="Times New Roman"/>
          <w:szCs w:val="32"/>
        </w:rPr>
        <w:t>关于深化农村集体经营性建设用地入市试点工作的意见</w:t>
      </w:r>
      <w:r>
        <w:rPr>
          <w:rFonts w:hint="eastAsia" w:cs="Times New Roman"/>
          <w:szCs w:val="32"/>
          <w:lang w:eastAsia="zh-CN"/>
        </w:rPr>
        <w:t>〉的通知</w:t>
      </w:r>
      <w:r>
        <w:rPr>
          <w:rFonts w:cs="Times New Roman"/>
          <w:szCs w:val="32"/>
        </w:rPr>
        <w:t>》</w:t>
      </w:r>
      <w:r>
        <w:rPr>
          <w:rFonts w:cs="Times New Roman"/>
          <w:szCs w:val="32"/>
          <w:lang w:val="en-US" w:eastAsia="zh-CN"/>
        </w:rPr>
        <w:t>（厅字</w:t>
      </w:r>
      <w:r>
        <w:rPr>
          <w:rFonts w:hint="eastAsia" w:ascii="仿宋_GB2312" w:hAnsi="仿宋_GB2312" w:eastAsia="仿宋_GB2312" w:cs="仿宋_GB2312"/>
          <w:szCs w:val="32"/>
          <w:lang w:val="en-US" w:eastAsia="zh-CN"/>
        </w:rPr>
        <w:t>〔2022〕34号</w:t>
      </w:r>
      <w:r>
        <w:rPr>
          <w:rFonts w:cs="Times New Roman"/>
          <w:szCs w:val="32"/>
          <w:lang w:val="en-US" w:eastAsia="zh-CN"/>
        </w:rPr>
        <w:t>）</w:t>
      </w:r>
      <w:r>
        <w:rPr>
          <w:rFonts w:hint="eastAsia" w:cs="Times New Roman"/>
          <w:szCs w:val="32"/>
          <w:lang w:val="en-US" w:eastAsia="zh-CN"/>
        </w:rPr>
        <w:t>、</w:t>
      </w:r>
      <w:r>
        <w:rPr>
          <w:rFonts w:cs="Times New Roman"/>
          <w:szCs w:val="32"/>
        </w:rPr>
        <w:t>《自然资源部办公厅关于印发</w:t>
      </w:r>
      <w:r>
        <w:rPr>
          <w:rFonts w:hint="eastAsia" w:cs="Times New Roman"/>
          <w:szCs w:val="32"/>
          <w:lang w:eastAsia="zh-CN"/>
        </w:rPr>
        <w:t>〈</w:t>
      </w:r>
      <w:r>
        <w:rPr>
          <w:rFonts w:cs="Times New Roman"/>
          <w:szCs w:val="32"/>
        </w:rPr>
        <w:t>深化农村集体经营性建设用地入市试点工作方案</w:t>
      </w:r>
      <w:r>
        <w:rPr>
          <w:rFonts w:hint="eastAsia" w:cs="Times New Roman"/>
          <w:szCs w:val="32"/>
          <w:lang w:eastAsia="zh-CN"/>
        </w:rPr>
        <w:t>〉</w:t>
      </w:r>
      <w:r>
        <w:rPr>
          <w:rFonts w:cs="Times New Roman"/>
          <w:szCs w:val="32"/>
        </w:rPr>
        <w:t>的通知》</w:t>
      </w:r>
      <w:r>
        <w:rPr>
          <w:rFonts w:cs="Times New Roman"/>
          <w:szCs w:val="32"/>
          <w:lang w:val="en-US" w:eastAsia="zh-CN"/>
        </w:rPr>
        <w:t>（自然资办函</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en-US" w:eastAsia="zh-CN"/>
        </w:rPr>
        <w:t>〕364</w:t>
      </w:r>
      <w:r>
        <w:rPr>
          <w:rFonts w:cs="Times New Roman"/>
          <w:szCs w:val="32"/>
          <w:lang w:val="en-US" w:eastAsia="zh-CN"/>
        </w:rPr>
        <w:t>号</w:t>
      </w:r>
      <w:r>
        <w:rPr>
          <w:rFonts w:hint="eastAsia" w:cs="Times New Roman"/>
          <w:szCs w:val="32"/>
          <w:lang w:val="en-US" w:eastAsia="zh-CN"/>
        </w:rPr>
        <w:t>，以下简称《</w:t>
      </w:r>
      <w:r>
        <w:rPr>
          <w:rFonts w:cs="Times New Roman"/>
          <w:szCs w:val="32"/>
        </w:rPr>
        <w:t>工作方案</w:t>
      </w:r>
      <w:r>
        <w:rPr>
          <w:rFonts w:hint="eastAsia" w:cs="Times New Roman"/>
          <w:szCs w:val="32"/>
          <w:lang w:val="en-US" w:eastAsia="zh-CN"/>
        </w:rPr>
        <w:t>》</w:t>
      </w:r>
      <w:r>
        <w:rPr>
          <w:rFonts w:cs="Times New Roman"/>
          <w:szCs w:val="32"/>
          <w:lang w:val="en-US" w:eastAsia="zh-CN"/>
        </w:rPr>
        <w:t>）</w:t>
      </w:r>
      <w:r>
        <w:rPr>
          <w:rFonts w:hint="eastAsia" w:cs="Times New Roman"/>
          <w:szCs w:val="32"/>
          <w:lang w:val="en-US" w:eastAsia="zh-CN"/>
        </w:rPr>
        <w:t>、</w:t>
      </w:r>
      <w:r>
        <w:rPr>
          <w:rFonts w:cs="Times New Roman"/>
          <w:szCs w:val="32"/>
        </w:rPr>
        <w:t>《</w:t>
      </w:r>
      <w:r>
        <w:rPr>
          <w:rFonts w:cs="Times New Roman"/>
          <w:szCs w:val="32"/>
          <w:lang w:val="en-US" w:eastAsia="zh-CN"/>
        </w:rPr>
        <w:t>北京</w:t>
      </w:r>
      <w:r>
        <w:rPr>
          <w:rFonts w:cs="Times New Roman"/>
          <w:szCs w:val="32"/>
        </w:rPr>
        <w:t>市规划和自然资源委关于印发</w:t>
      </w:r>
      <w:r>
        <w:rPr>
          <w:rFonts w:hint="eastAsia" w:cs="Times New Roman"/>
          <w:szCs w:val="32"/>
          <w:lang w:eastAsia="zh-CN"/>
        </w:rPr>
        <w:t>〈</w:t>
      </w:r>
      <w:r>
        <w:rPr>
          <w:rFonts w:cs="Times New Roman"/>
          <w:szCs w:val="32"/>
        </w:rPr>
        <w:t>北京市深化农村集体经营性建设用地入市试点工作方案</w:t>
      </w:r>
      <w:r>
        <w:rPr>
          <w:rFonts w:hint="eastAsia" w:cs="Times New Roman"/>
          <w:szCs w:val="32"/>
          <w:lang w:eastAsia="zh-CN"/>
        </w:rPr>
        <w:t>〉的函</w:t>
      </w:r>
      <w:r>
        <w:rPr>
          <w:rFonts w:cs="Times New Roman"/>
          <w:szCs w:val="32"/>
        </w:rPr>
        <w:t>》</w:t>
      </w:r>
      <w:r>
        <w:rPr>
          <w:rFonts w:cs="Times New Roman"/>
          <w:szCs w:val="32"/>
          <w:lang w:val="en-US" w:eastAsia="zh-CN"/>
        </w:rPr>
        <w:t>（京规自函</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en-US" w:eastAsia="zh-CN"/>
        </w:rPr>
        <w:t>〕1655</w:t>
      </w:r>
      <w:r>
        <w:rPr>
          <w:rFonts w:cs="Times New Roman"/>
          <w:szCs w:val="32"/>
          <w:lang w:val="en-US" w:eastAsia="zh-CN"/>
        </w:rPr>
        <w:t>号）</w:t>
      </w:r>
      <w:r>
        <w:rPr>
          <w:rFonts w:cs="Times New Roman"/>
          <w:szCs w:val="32"/>
        </w:rPr>
        <w:t>等文件，</w:t>
      </w:r>
      <w:r>
        <w:rPr>
          <w:rFonts w:cs="Times New Roman"/>
          <w:szCs w:val="32"/>
          <w:lang w:val="zh-CN"/>
        </w:rPr>
        <w:t>结合</w:t>
      </w:r>
      <w:r>
        <w:rPr>
          <w:rFonts w:cs="Times New Roman"/>
          <w:szCs w:val="32"/>
        </w:rPr>
        <w:t>通州</w:t>
      </w:r>
      <w:r>
        <w:rPr>
          <w:rFonts w:cs="Times New Roman"/>
          <w:szCs w:val="32"/>
          <w:lang w:val="zh-CN"/>
        </w:rPr>
        <w:t>区</w:t>
      </w:r>
      <w:r>
        <w:rPr>
          <w:rFonts w:cs="Times New Roman"/>
          <w:szCs w:val="32"/>
        </w:rPr>
        <w:t>集体经营性</w:t>
      </w:r>
      <w:r>
        <w:rPr>
          <w:rFonts w:cs="Times New Roman"/>
          <w:szCs w:val="32"/>
          <w:lang w:val="zh-CN"/>
        </w:rPr>
        <w:t>建设用地现状实际，制定本方案。</w:t>
      </w:r>
    </w:p>
    <w:p>
      <w:pPr>
        <w:pStyle w:val="8"/>
        <w:keepNext w:val="0"/>
        <w:keepLines w:val="0"/>
        <w:pageBreakBefore w:val="0"/>
        <w:widowControl w:val="0"/>
        <w:kinsoku/>
        <w:wordWrap/>
        <w:overflowPunct/>
        <w:topLinePunct w:val="0"/>
        <w:autoSpaceDE/>
        <w:autoSpaceDN/>
        <w:bidi w:val="0"/>
        <w:adjustRightInd/>
        <w:spacing w:after="0" w:line="580" w:lineRule="exact"/>
        <w:ind w:firstLine="640"/>
        <w:textAlignment w:val="auto"/>
        <w:rPr>
          <w:rFonts w:eastAsia="黑体" w:cs="Times New Roman"/>
          <w:szCs w:val="24"/>
        </w:rPr>
      </w:pPr>
      <w:r>
        <w:rPr>
          <w:rFonts w:eastAsia="黑体" w:cs="Times New Roman"/>
          <w:szCs w:val="24"/>
        </w:rPr>
        <w:t>一、总体要求</w:t>
      </w:r>
    </w:p>
    <w:p>
      <w:pPr>
        <w:pStyle w:val="30"/>
        <w:keepNext w:val="0"/>
        <w:keepLines w:val="0"/>
        <w:pageBreakBefore w:val="0"/>
        <w:widowControl w:val="0"/>
        <w:kinsoku/>
        <w:wordWrap/>
        <w:overflowPunct/>
        <w:topLinePunct w:val="0"/>
        <w:autoSpaceDE/>
        <w:autoSpaceDN/>
        <w:bidi w:val="0"/>
        <w:adjustRightInd/>
        <w:snapToGrid w:val="0"/>
        <w:spacing w:after="0" w:line="580" w:lineRule="exact"/>
        <w:ind w:firstLine="640" w:firstLineChars="200"/>
        <w:textAlignment w:val="auto"/>
        <w:rPr>
          <w:rFonts w:eastAsia="仿宋_GB2312"/>
          <w:sz w:val="32"/>
          <w:szCs w:val="32"/>
        </w:rPr>
      </w:pPr>
      <w:r>
        <w:rPr>
          <w:rFonts w:eastAsia="楷体_GB2312"/>
          <w:sz w:val="32"/>
        </w:rPr>
        <w:t>（一）指导思想</w:t>
      </w:r>
    </w:p>
    <w:p>
      <w:pPr>
        <w:pStyle w:val="26"/>
        <w:keepNext w:val="0"/>
        <w:keepLines w:val="0"/>
        <w:pageBreakBefore w:val="0"/>
        <w:widowControl w:val="0"/>
        <w:shd w:val="clear" w:color="auto" w:fill="auto"/>
        <w:kinsoku/>
        <w:wordWrap/>
        <w:overflowPunct/>
        <w:topLinePunct w:val="0"/>
        <w:autoSpaceDE/>
        <w:autoSpaceDN/>
        <w:bidi w:val="0"/>
        <w:adjustRightInd/>
        <w:snapToGrid w:val="0"/>
        <w:spacing w:after="0" w:line="600" w:lineRule="exact"/>
        <w:ind w:firstLine="640" w:firstLineChars="200"/>
        <w:jc w:val="both"/>
        <w:textAlignment w:val="auto"/>
        <w:rPr>
          <w:rStyle w:val="27"/>
          <w:rFonts w:ascii="Times New Roman" w:hAnsi="Times New Roman" w:eastAsia="仿宋_GB2312" w:cs="Times New Roman"/>
          <w:b w:val="0"/>
          <w:bCs w:val="0"/>
        </w:rPr>
      </w:pPr>
      <w:r>
        <w:rPr>
          <w:rFonts w:ascii="Times New Roman" w:hAnsi="Times New Roman" w:eastAsia="仿宋_GB2312" w:cs="Times New Roman"/>
          <w:sz w:val="32"/>
          <w:szCs w:val="32"/>
        </w:rPr>
        <w:t>以习近平新时代中国特色社会主义思想为指导，建立健全城乡统一的建设用地市场为目标，以符合规划、用途管制和依法取得为前提，以落实农村集体经营性建设用地使用权</w:t>
      </w:r>
      <w:r>
        <w:rPr>
          <w:rFonts w:ascii="Times New Roman" w:hAnsi="Times New Roman" w:eastAsia="仿宋_GB2312" w:cs="Times New Roman"/>
          <w:sz w:val="32"/>
          <w:szCs w:val="32"/>
          <w:u w:val="none"/>
        </w:rPr>
        <w:t>权能</w:t>
      </w:r>
      <w:r>
        <w:rPr>
          <w:rFonts w:ascii="Times New Roman" w:hAnsi="Times New Roman" w:eastAsia="仿宋_GB2312" w:cs="Times New Roman"/>
          <w:sz w:val="32"/>
          <w:szCs w:val="32"/>
        </w:rPr>
        <w:t>、形成竞争公平有序的市场配置机制和监管规则、有力保护市场交易主体权利为主线；牢牢守住土地公有制性质不改变、耕地红线不突破、农民利益不受损的底线；切实抓住</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两项前置条件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，紧盯</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三项负面清单</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，同时积极探索</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两项重点机制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；坚持审慎稳妥推进，探索农村集体经营性建设用地市场交易规则和服务监管体</w:t>
      </w:r>
      <w:r>
        <w:rPr>
          <w:rFonts w:ascii="Times New Roman" w:hAnsi="Times New Roman" w:eastAsia="仿宋_GB2312" w:cs="Times New Roman"/>
          <w:sz w:val="32"/>
          <w:szCs w:val="32"/>
          <w:lang w:val="zh-CN"/>
        </w:rPr>
        <w:t>系，完善规则明晰、程序规范、监管到位的入市流程；探索农民集体更好实现对其土地资产的自主管理权，建立农村集体经营性建设用地入市增值收益分配机制，合理平衡国家、集体和农民个人利益；探索推动农村集体经营性建设用地与国有建设用地使用权同等进入土地二级市场，激活农村土地资源要素，提高资源配置效率，促进城乡融合发展和乡村振兴</w:t>
      </w:r>
      <w:r>
        <w:rPr>
          <w:rStyle w:val="27"/>
          <w:rFonts w:ascii="Times New Roman" w:hAnsi="Times New Roman" w:eastAsia="仿宋_GB2312" w:cs="Times New Roman"/>
          <w:b w:val="0"/>
          <w:bCs w:val="0"/>
        </w:rPr>
        <w:t>。</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sz w:val="32"/>
        </w:rPr>
      </w:pPr>
      <w:r>
        <w:rPr>
          <w:rFonts w:eastAsia="楷体_GB2312"/>
          <w:sz w:val="32"/>
        </w:rPr>
        <w:t>（二）基本原则</w:t>
      </w:r>
    </w:p>
    <w:p>
      <w:pPr>
        <w:keepNext w:val="0"/>
        <w:keepLines w:val="0"/>
        <w:pageBreakBefore w:val="0"/>
        <w:widowControl w:val="0"/>
        <w:kinsoku/>
        <w:wordWrap/>
        <w:overflowPunct/>
        <w:topLinePunct w:val="0"/>
        <w:bidi w:val="0"/>
        <w:snapToGrid w:val="0"/>
        <w:spacing w:after="0" w:line="600" w:lineRule="exact"/>
        <w:ind w:firstLine="640" w:firstLineChars="0"/>
        <w:textAlignment w:val="auto"/>
        <w:rPr>
          <w:rFonts w:hint="eastAsia" w:ascii="仿宋_GB2312" w:hAnsi="仿宋_GB2312" w:eastAsia="仿宋_GB2312" w:cs="仿宋_GB2312"/>
          <w:b w:val="0"/>
          <w:bCs w:val="0"/>
          <w:szCs w:val="32"/>
          <w:lang w:val="zh-CN"/>
        </w:rPr>
      </w:pPr>
      <w:r>
        <w:rPr>
          <w:rFonts w:hint="eastAsia" w:ascii="仿宋_GB2312" w:hAnsi="仿宋_GB2312" w:eastAsia="仿宋_GB2312" w:cs="仿宋_GB2312"/>
          <w:b w:val="0"/>
          <w:bCs w:val="0"/>
          <w:szCs w:val="32"/>
          <w:lang w:val="zh-CN"/>
        </w:rPr>
        <w:t>1.坚持规划引领，合理确定用地计划</w:t>
      </w:r>
    </w:p>
    <w:p>
      <w:pPr>
        <w:keepNext w:val="0"/>
        <w:keepLines w:val="0"/>
        <w:pageBreakBefore w:val="0"/>
        <w:widowControl w:val="0"/>
        <w:kinsoku/>
        <w:wordWrap/>
        <w:overflowPunct/>
        <w:topLinePunct w:val="0"/>
        <w:bidi w:val="0"/>
        <w:snapToGrid w:val="0"/>
        <w:spacing w:after="0" w:line="600" w:lineRule="exact"/>
        <w:ind w:firstLine="640"/>
        <w:textAlignment w:val="auto"/>
        <w:rPr>
          <w:rFonts w:cs="Times New Roman"/>
          <w:szCs w:val="32"/>
          <w:lang w:val="zh-CN"/>
        </w:rPr>
      </w:pPr>
      <w:r>
        <w:rPr>
          <w:rFonts w:cs="Times New Roman"/>
          <w:szCs w:val="32"/>
          <w:lang w:val="zh-CN"/>
        </w:rPr>
        <w:t>坚持规划引领和</w:t>
      </w:r>
      <w:r>
        <w:rPr>
          <w:rFonts w:hint="eastAsia" w:cs="Times New Roman"/>
          <w:szCs w:val="32"/>
          <w:lang w:val="zh-CN"/>
        </w:rPr>
        <w:t>“</w:t>
      </w:r>
      <w:r>
        <w:rPr>
          <w:rFonts w:cs="Times New Roman"/>
          <w:szCs w:val="32"/>
          <w:lang w:val="zh-CN"/>
        </w:rPr>
        <w:t>村地区管</w:t>
      </w:r>
      <w:r>
        <w:rPr>
          <w:rFonts w:hint="eastAsia" w:cs="Times New Roman"/>
          <w:szCs w:val="32"/>
          <w:lang w:val="zh-CN"/>
        </w:rPr>
        <w:t>”</w:t>
      </w:r>
      <w:r>
        <w:rPr>
          <w:rFonts w:cs="Times New Roman"/>
          <w:szCs w:val="32"/>
          <w:lang w:val="zh-CN"/>
        </w:rPr>
        <w:t>原则，政府统筹经营性建设用地布局、用地类型和用地强度等；坚持把完成国土空间规划编制作为工作前提，严格落实国土空间规划和用途管制要求，按照副中心及拓展区规划确定的城乡建设用地规模、布局合理安排集体经营性建设用地；加强土地供应计划管理，集体经营性建设用地入市的规模、布局、结构、时序等纳入通州区年度建设用地供应计划。</w:t>
      </w:r>
    </w:p>
    <w:p>
      <w:pPr>
        <w:keepNext w:val="0"/>
        <w:keepLines w:val="0"/>
        <w:pageBreakBefore w:val="0"/>
        <w:widowControl w:val="0"/>
        <w:kinsoku/>
        <w:wordWrap/>
        <w:overflowPunct/>
        <w:topLinePunct w:val="0"/>
        <w:bidi w:val="0"/>
        <w:snapToGrid w:val="0"/>
        <w:spacing w:after="0" w:line="600" w:lineRule="exact"/>
        <w:ind w:firstLine="640"/>
        <w:textAlignment w:val="auto"/>
        <w:rPr>
          <w:rFonts w:cs="Times New Roman"/>
          <w:szCs w:val="32"/>
          <w:lang w:val="zh-CN"/>
        </w:rPr>
      </w:pPr>
      <w:r>
        <w:rPr>
          <w:rFonts w:hint="eastAsia" w:ascii="仿宋_GB2312" w:hAnsi="仿宋_GB2312" w:eastAsia="仿宋_GB2312" w:cs="仿宋_GB2312"/>
          <w:szCs w:val="32"/>
          <w:lang w:val="zh-CN"/>
        </w:rPr>
        <w:t>2.</w:t>
      </w:r>
      <w:r>
        <w:rPr>
          <w:rFonts w:cs="Times New Roman"/>
          <w:szCs w:val="32"/>
          <w:lang w:val="zh-CN"/>
        </w:rPr>
        <w:t>坚持问题导向，有序推进提质增效</w:t>
      </w:r>
    </w:p>
    <w:p>
      <w:pPr>
        <w:keepNext w:val="0"/>
        <w:keepLines w:val="0"/>
        <w:pageBreakBefore w:val="0"/>
        <w:widowControl w:val="0"/>
        <w:kinsoku/>
        <w:wordWrap/>
        <w:overflowPunct/>
        <w:topLinePunct w:val="0"/>
        <w:bidi w:val="0"/>
        <w:snapToGrid w:val="0"/>
        <w:spacing w:after="0" w:line="600" w:lineRule="exact"/>
        <w:ind w:firstLine="640"/>
        <w:textAlignment w:val="auto"/>
        <w:rPr>
          <w:rFonts w:cs="Times New Roman"/>
          <w:szCs w:val="32"/>
          <w:lang w:val="zh-CN"/>
        </w:rPr>
      </w:pPr>
      <w:r>
        <w:rPr>
          <w:rFonts w:cs="Times New Roman"/>
          <w:szCs w:val="32"/>
          <w:lang w:val="zh-CN"/>
        </w:rPr>
        <w:t>紧盯</w:t>
      </w:r>
      <w:r>
        <w:rPr>
          <w:rFonts w:hint="eastAsia" w:cs="Times New Roman"/>
          <w:szCs w:val="32"/>
          <w:lang w:val="zh-CN"/>
        </w:rPr>
        <w:t>“</w:t>
      </w:r>
      <w:r>
        <w:rPr>
          <w:rFonts w:cs="Times New Roman"/>
          <w:szCs w:val="32"/>
          <w:lang w:val="zh-CN"/>
        </w:rPr>
        <w:t>三项负面清单</w:t>
      </w:r>
      <w:r>
        <w:rPr>
          <w:rFonts w:hint="eastAsia" w:cs="Times New Roman"/>
          <w:szCs w:val="32"/>
          <w:lang w:val="zh-CN"/>
        </w:rPr>
        <w:t>”</w:t>
      </w:r>
      <w:r>
        <w:rPr>
          <w:rFonts w:cs="Times New Roman"/>
          <w:szCs w:val="32"/>
          <w:lang w:val="zh-CN"/>
        </w:rPr>
        <w:t>，即不能通过农用地转为新增建设用地入市（凡规划为建设用地的试点利用项目除外），不能把宅基地纳入入市范围，符合入市条件的土地不能搞商品住宅开发。加快农村低效产业调整腾退和升级改造，做好与首都功能、产业、人口的承接协调，实现城乡建设用地减量提质。</w:t>
      </w:r>
    </w:p>
    <w:p>
      <w:pPr>
        <w:keepNext w:val="0"/>
        <w:keepLines w:val="0"/>
        <w:pageBreakBefore w:val="0"/>
        <w:widowControl w:val="0"/>
        <w:kinsoku/>
        <w:wordWrap/>
        <w:overflowPunct/>
        <w:topLinePunct w:val="0"/>
        <w:bidi w:val="0"/>
        <w:snapToGrid w:val="0"/>
        <w:spacing w:after="0" w:line="600" w:lineRule="exact"/>
        <w:ind w:firstLine="640"/>
        <w:textAlignment w:val="auto"/>
        <w:rPr>
          <w:rFonts w:cs="Times New Roman"/>
          <w:szCs w:val="32"/>
          <w:lang w:val="zh-CN"/>
        </w:rPr>
      </w:pPr>
      <w:r>
        <w:rPr>
          <w:rFonts w:hint="eastAsia" w:ascii="仿宋_GB2312" w:hAnsi="仿宋_GB2312" w:eastAsia="仿宋_GB2312" w:cs="仿宋_GB2312"/>
          <w:szCs w:val="32"/>
          <w:lang w:val="zh-CN"/>
        </w:rPr>
        <w:t>3.</w:t>
      </w:r>
      <w:r>
        <w:rPr>
          <w:rFonts w:cs="Times New Roman"/>
          <w:szCs w:val="32"/>
          <w:lang w:val="zh-CN"/>
        </w:rPr>
        <w:t>坚持统筹兼顾，保障集体经济组织和农民利益</w:t>
      </w:r>
    </w:p>
    <w:p>
      <w:pPr>
        <w:keepNext w:val="0"/>
        <w:keepLines w:val="0"/>
        <w:pageBreakBefore w:val="0"/>
        <w:widowControl w:val="0"/>
        <w:kinsoku/>
        <w:wordWrap/>
        <w:overflowPunct/>
        <w:topLinePunct w:val="0"/>
        <w:bidi w:val="0"/>
        <w:snapToGrid w:val="0"/>
        <w:spacing w:after="0" w:line="600" w:lineRule="exact"/>
        <w:ind w:firstLine="640"/>
        <w:textAlignment w:val="auto"/>
        <w:rPr>
          <w:rFonts w:cs="Times New Roman"/>
          <w:szCs w:val="32"/>
          <w:lang w:val="zh-CN"/>
        </w:rPr>
      </w:pPr>
      <w:r>
        <w:rPr>
          <w:rFonts w:cs="Times New Roman"/>
          <w:szCs w:val="32"/>
          <w:lang w:val="zh-CN"/>
        </w:rPr>
        <w:t>审慎稳妥推进经营性建设用地入市，健全完善集体经营性建设用地入市中的收益分配和使用机制，协调好政府、集体土地所有者、使用者等各方利益关系，统筹各种规划下土地权利人之间的利益均衡，使农村集体和农民获得长期收益，确保农民生活水平不降低，长远生计有保障。</w:t>
      </w:r>
    </w:p>
    <w:p>
      <w:pPr>
        <w:keepNext w:val="0"/>
        <w:keepLines w:val="0"/>
        <w:pageBreakBefore w:val="0"/>
        <w:widowControl w:val="0"/>
        <w:kinsoku/>
        <w:wordWrap/>
        <w:overflowPunct/>
        <w:topLinePunct w:val="0"/>
        <w:bidi w:val="0"/>
        <w:snapToGrid w:val="0"/>
        <w:spacing w:after="0" w:line="600" w:lineRule="exact"/>
        <w:ind w:firstLine="640"/>
        <w:textAlignment w:val="auto"/>
        <w:rPr>
          <w:rFonts w:cs="Times New Roman"/>
          <w:szCs w:val="32"/>
          <w:lang w:val="zh-CN"/>
        </w:rPr>
      </w:pPr>
      <w:r>
        <w:rPr>
          <w:rFonts w:hint="eastAsia" w:ascii="仿宋_GB2312" w:hAnsi="仿宋_GB2312" w:eastAsia="仿宋_GB2312" w:cs="仿宋_GB2312"/>
          <w:szCs w:val="32"/>
          <w:lang w:val="zh-CN"/>
        </w:rPr>
        <w:t>4.</w:t>
      </w:r>
      <w:r>
        <w:rPr>
          <w:rFonts w:cs="Times New Roman"/>
          <w:szCs w:val="32"/>
          <w:lang w:val="zh-CN"/>
        </w:rPr>
        <w:t>坚持公开公平，规范产业准入</w:t>
      </w:r>
    </w:p>
    <w:p>
      <w:pPr>
        <w:keepNext w:val="0"/>
        <w:keepLines w:val="0"/>
        <w:pageBreakBefore w:val="0"/>
        <w:widowControl w:val="0"/>
        <w:kinsoku/>
        <w:wordWrap/>
        <w:overflowPunct/>
        <w:topLinePunct w:val="0"/>
        <w:bidi w:val="0"/>
        <w:snapToGrid w:val="0"/>
        <w:spacing w:after="0" w:line="600" w:lineRule="exact"/>
        <w:ind w:firstLine="640"/>
        <w:textAlignment w:val="auto"/>
        <w:rPr>
          <w:rFonts w:cs="Times New Roman"/>
          <w:szCs w:val="32"/>
          <w:lang w:val="zh-CN"/>
        </w:rPr>
      </w:pPr>
      <w:r>
        <w:rPr>
          <w:rFonts w:cs="Times New Roman"/>
          <w:szCs w:val="32"/>
          <w:lang w:val="zh-CN"/>
        </w:rPr>
        <w:t>以促进通州区产业升级为目标，行业主管部门严格审查产业方向，提出产业准入相关要求。充分引入市场竞争，公开、公平、公正地确定土地使用权人，提高土地利用效益，节约集约利用土地。</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rPr>
      </w:pPr>
      <w:r>
        <w:rPr>
          <w:rFonts w:eastAsia="楷体_GB2312"/>
          <w:sz w:val="32"/>
        </w:rPr>
        <w:t>（三）工作目标</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640"/>
        <w:textAlignment w:val="auto"/>
        <w:rPr>
          <w:rStyle w:val="27"/>
          <w:rFonts w:ascii="Times New Roman" w:hAnsi="Times New Roman" w:eastAsia="仿宋_GB2312" w:cs="Times New Roman"/>
          <w:b w:val="0"/>
          <w:bCs w:val="0"/>
        </w:rPr>
      </w:pPr>
      <w:r>
        <w:rPr>
          <w:rFonts w:cs="Times New Roman"/>
          <w:szCs w:val="32"/>
          <w:lang w:val="zh-CN"/>
        </w:rPr>
        <w:t>通过试点，进一步明确通州区农村集体经营性建设用地入市范围、土地用途、入市方式和程序、监管环节，保障入市土地权能，推进农村集体经营性建设用地与国有建设用地同等入市、同权同价，在城乡统一的建设用地市场中交易；探索完善农村集体经营性建设用地科学规划和用途管制路径，盘活空闲、废弃和低效利用的存量集体建设用地，提高集体建设用地节约集约利用水平；探索形成可复制、易推广的试点成果，从入市规则、路径和机制等方面，为全面开展集体经营性建设用地入市工作提供更为完善的制度、政策和措施保障</w:t>
      </w:r>
      <w:r>
        <w:rPr>
          <w:rStyle w:val="27"/>
          <w:rFonts w:ascii="Times New Roman" w:hAnsi="Times New Roman" w:eastAsia="仿宋_GB2312" w:cs="Times New Roman"/>
          <w:b w:val="0"/>
          <w:bCs w:val="0"/>
        </w:rPr>
        <w:t>。</w:t>
      </w:r>
    </w:p>
    <w:p>
      <w:pPr>
        <w:pStyle w:val="8"/>
        <w:keepNext w:val="0"/>
        <w:keepLines w:val="0"/>
        <w:pageBreakBefore w:val="0"/>
        <w:widowControl w:val="0"/>
        <w:kinsoku/>
        <w:wordWrap/>
        <w:overflowPunct/>
        <w:topLinePunct w:val="0"/>
        <w:bidi w:val="0"/>
        <w:spacing w:after="0" w:line="600" w:lineRule="exact"/>
        <w:ind w:firstLine="640"/>
        <w:textAlignment w:val="auto"/>
        <w:rPr>
          <w:rFonts w:eastAsia="黑体" w:cs="Times New Roman"/>
          <w:szCs w:val="24"/>
        </w:rPr>
      </w:pPr>
      <w:r>
        <w:rPr>
          <w:rFonts w:eastAsia="黑体" w:cs="Times New Roman"/>
          <w:szCs w:val="24"/>
        </w:rPr>
        <w:t>二、试点内容</w:t>
      </w:r>
    </w:p>
    <w:p>
      <w:pPr>
        <w:pStyle w:val="26"/>
        <w:keepNext w:val="0"/>
        <w:keepLines w:val="0"/>
        <w:pageBreakBefore w:val="0"/>
        <w:widowControl w:val="0"/>
        <w:shd w:val="clear" w:color="auto" w:fill="auto"/>
        <w:kinsoku/>
        <w:wordWrap/>
        <w:overflowPunct/>
        <w:topLinePunct w:val="0"/>
        <w:bidi w:val="0"/>
        <w:snapToGrid w:val="0"/>
        <w:spacing w:after="0" w:line="600" w:lineRule="exact"/>
        <w:ind w:firstLine="640" w:firstLineChars="200"/>
        <w:jc w:val="both"/>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通州区结合城市副中心建设发展需要，充分利用农村集体经营性建设用地入市政策，在支持科技创新发展，承接功能疏解，落实职住平衡要求，保障副中心高质量发展方面进行重点研究。按照《工作方案》要求，着重在以下几方面深化试点工作</w:t>
      </w:r>
      <w:r>
        <w:rPr>
          <w:rFonts w:ascii="Times New Roman" w:hAnsi="Times New Roman" w:cs="Times New Roman"/>
        </w:rPr>
        <w:t>。</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sz w:val="32"/>
        </w:rPr>
      </w:pPr>
      <w:r>
        <w:rPr>
          <w:rFonts w:eastAsia="楷体_GB2312"/>
          <w:sz w:val="32"/>
        </w:rPr>
        <w:t>（一）适用范围及出让方式</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仿宋_GB2312"/>
          <w:sz w:val="32"/>
          <w:szCs w:val="32"/>
        </w:rPr>
      </w:pPr>
      <w:r>
        <w:rPr>
          <w:rFonts w:eastAsia="仿宋_GB2312"/>
          <w:sz w:val="32"/>
          <w:szCs w:val="32"/>
        </w:rPr>
        <w:t>本次试点适用范围为通州区全域范围内，通过招标、拍卖、挂牌方式出让的集体经营性建设用地项目。</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sz w:val="32"/>
        </w:rPr>
      </w:pPr>
      <w:r>
        <w:rPr>
          <w:rFonts w:eastAsia="楷体_GB2312"/>
          <w:sz w:val="32"/>
        </w:rPr>
        <w:t>（二）入市实施主体</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仿宋_GB2312"/>
          <w:sz w:val="32"/>
          <w:szCs w:val="32"/>
        </w:rPr>
      </w:pPr>
      <w:r>
        <w:rPr>
          <w:rFonts w:eastAsia="仿宋_GB2312"/>
          <w:sz w:val="32"/>
          <w:szCs w:val="32"/>
          <w:lang w:val="zh-CN"/>
        </w:rPr>
        <w:t>结合通州区</w:t>
      </w:r>
      <w:r>
        <w:rPr>
          <w:rFonts w:hint="eastAsia" w:eastAsia="仿宋_GB2312"/>
          <w:sz w:val="32"/>
          <w:szCs w:val="32"/>
          <w:lang w:val="zh-CN"/>
        </w:rPr>
        <w:t>“</w:t>
      </w:r>
      <w:r>
        <w:rPr>
          <w:rFonts w:eastAsia="仿宋_GB2312"/>
          <w:sz w:val="32"/>
          <w:szCs w:val="32"/>
          <w:lang w:val="zh-CN"/>
        </w:rPr>
        <w:t>村地区管</w:t>
      </w:r>
      <w:r>
        <w:rPr>
          <w:rFonts w:hint="eastAsia" w:eastAsia="仿宋_GB2312"/>
          <w:sz w:val="32"/>
          <w:szCs w:val="32"/>
          <w:lang w:val="zh-CN"/>
        </w:rPr>
        <w:t>”</w:t>
      </w:r>
      <w:r>
        <w:rPr>
          <w:rFonts w:eastAsia="仿宋_GB2312"/>
          <w:sz w:val="32"/>
          <w:szCs w:val="32"/>
          <w:lang w:val="zh-CN"/>
        </w:rPr>
        <w:t>实际情况，由乡镇联营公司作为入市实施主体。同时，通过联营公司股东大会决议方式明确联营公司作为入市实施主体的各项具体权利。</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sz w:val="32"/>
        </w:rPr>
      </w:pPr>
      <w:r>
        <w:rPr>
          <w:rFonts w:eastAsia="楷体_GB2312"/>
          <w:sz w:val="32"/>
        </w:rPr>
        <w:t>（三）土地用途</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仿宋_GB2312"/>
          <w:sz w:val="32"/>
          <w:szCs w:val="32"/>
        </w:rPr>
      </w:pPr>
      <w:r>
        <w:rPr>
          <w:rFonts w:eastAsia="仿宋_GB2312"/>
          <w:sz w:val="32"/>
          <w:szCs w:val="32"/>
        </w:rPr>
        <w:t>为满足乡村振兴发展用地需求，结合副中心发展产业需要，严格规范入市土地规划用途，本次试点工作规划用地用途可包括工业、商业、保障性租赁住房等功能。</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sz w:val="32"/>
        </w:rPr>
      </w:pPr>
      <w:r>
        <w:rPr>
          <w:rFonts w:eastAsia="楷体_GB2312"/>
          <w:sz w:val="32"/>
        </w:rPr>
        <w:t>（四）出让年限</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仿宋_GB2312"/>
          <w:sz w:val="32"/>
          <w:szCs w:val="32"/>
        </w:rPr>
      </w:pPr>
      <w:r>
        <w:rPr>
          <w:rFonts w:eastAsia="仿宋_GB2312"/>
          <w:sz w:val="32"/>
          <w:szCs w:val="32"/>
        </w:rPr>
        <w:t>土地出让期限最高不得超过同类国有建设用地使用权出让最高年限。</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sz w:val="32"/>
        </w:rPr>
      </w:pPr>
      <w:r>
        <w:rPr>
          <w:rFonts w:eastAsia="楷体_GB2312"/>
          <w:sz w:val="32"/>
        </w:rPr>
        <w:t>（五）产业准入</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仿宋_GB2312"/>
          <w:sz w:val="32"/>
          <w:szCs w:val="32"/>
        </w:rPr>
      </w:pPr>
      <w:r>
        <w:rPr>
          <w:rFonts w:eastAsia="仿宋_GB2312"/>
          <w:sz w:val="32"/>
          <w:szCs w:val="32"/>
        </w:rPr>
        <w:t>由区投</w:t>
      </w:r>
      <w:r>
        <w:rPr>
          <w:rFonts w:hint="eastAsia" w:eastAsia="仿宋_GB2312"/>
          <w:sz w:val="32"/>
          <w:szCs w:val="32"/>
          <w:lang w:eastAsia="zh-CN"/>
        </w:rPr>
        <w:t>资</w:t>
      </w:r>
      <w:r>
        <w:rPr>
          <w:rFonts w:eastAsia="仿宋_GB2312"/>
          <w:sz w:val="32"/>
          <w:szCs w:val="32"/>
        </w:rPr>
        <w:t>促</w:t>
      </w:r>
      <w:r>
        <w:rPr>
          <w:rFonts w:hint="eastAsia" w:eastAsia="仿宋_GB2312"/>
          <w:sz w:val="32"/>
          <w:szCs w:val="32"/>
          <w:lang w:eastAsia="zh-CN"/>
        </w:rPr>
        <w:t>进服务</w:t>
      </w:r>
      <w:r>
        <w:rPr>
          <w:rFonts w:eastAsia="仿宋_GB2312"/>
          <w:sz w:val="32"/>
          <w:szCs w:val="32"/>
        </w:rPr>
        <w:t>中心组织召开区产促会，指导确定产业发展方向，明确产业准入条件，在土地供应前对拟引入产业和企业资格进行预审并出具预审意见。</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sz w:val="32"/>
        </w:rPr>
      </w:pPr>
      <w:r>
        <w:rPr>
          <w:rFonts w:eastAsia="楷体_GB2312"/>
          <w:sz w:val="32"/>
        </w:rPr>
        <w:t>（六）入市地价</w:t>
      </w:r>
      <w:r>
        <w:rPr>
          <w:rFonts w:eastAsia="楷体_GB2312"/>
          <w:sz w:val="32"/>
        </w:rPr>
        <w:tab/>
      </w:r>
    </w:p>
    <w:p>
      <w:pPr>
        <w:keepNext w:val="0"/>
        <w:keepLines w:val="0"/>
        <w:pageBreakBefore w:val="0"/>
        <w:widowControl w:val="0"/>
        <w:kinsoku/>
        <w:wordWrap/>
        <w:overflowPunct/>
        <w:topLinePunct w:val="0"/>
        <w:bidi w:val="0"/>
        <w:snapToGrid w:val="0"/>
        <w:spacing w:after="0" w:line="600" w:lineRule="exact"/>
        <w:ind w:firstLine="640"/>
        <w:textAlignment w:val="auto"/>
        <w:rPr>
          <w:rFonts w:cs="Times New Roman"/>
          <w:szCs w:val="32"/>
          <w:lang w:val="zh-CN"/>
        </w:rPr>
      </w:pPr>
      <w:r>
        <w:rPr>
          <w:rFonts w:cs="Times New Roman"/>
        </w:rPr>
        <w:t>集体经营性建设用地使用权入市前，入市实施主体委托具备资质的地价评估机构，以基准地价为基础进行土地价格评估。最终以区级联席会审议并报区政府审批为准。（待市级集体建设用地地价标准体系出台后，按照市级文件执行）</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sz w:val="32"/>
        </w:rPr>
      </w:pPr>
      <w:r>
        <w:rPr>
          <w:rFonts w:eastAsia="楷体_GB2312"/>
          <w:sz w:val="32"/>
        </w:rPr>
        <w:t>（七）土地收益分配</w:t>
      </w:r>
    </w:p>
    <w:p>
      <w:pPr>
        <w:keepNext w:val="0"/>
        <w:keepLines w:val="0"/>
        <w:pageBreakBefore w:val="0"/>
        <w:widowControl w:val="0"/>
        <w:kinsoku/>
        <w:wordWrap/>
        <w:overflowPunct/>
        <w:topLinePunct w:val="0"/>
        <w:bidi w:val="0"/>
        <w:snapToGrid w:val="0"/>
        <w:spacing w:after="0" w:line="600" w:lineRule="exact"/>
        <w:ind w:firstLine="640"/>
        <w:textAlignment w:val="auto"/>
        <w:rPr>
          <w:rFonts w:cs="Times New Roman"/>
          <w:szCs w:val="32"/>
        </w:rPr>
      </w:pPr>
      <w:r>
        <w:rPr>
          <w:rFonts w:cs="Times New Roman"/>
          <w:szCs w:val="32"/>
        </w:rPr>
        <w:t>综合考虑土地增值收益情况，按照土地征收转用与农村集体经营性建设用地入市取得的土地增值收益在国家和集体之间分享比例大体平衡以及保障农民利益等原则，依据</w:t>
      </w:r>
      <w:r>
        <w:rPr>
          <w:rFonts w:hint="default" w:ascii="Times New Roman" w:hAnsi="Times New Roman" w:eastAsia="仿宋_GB2312" w:cs="Times New Roman"/>
          <w:bCs w:val="0"/>
          <w:kern w:val="2"/>
          <w:sz w:val="32"/>
          <w:szCs w:val="32"/>
          <w:lang w:val="en-US" w:eastAsia="zh-CN" w:bidi="ar-SA"/>
        </w:rPr>
        <w:t>《财政部 国土资源部关于印发</w:t>
      </w:r>
      <w:r>
        <w:rPr>
          <w:rFonts w:hint="eastAsia" w:eastAsia="仿宋_GB2312" w:cs="Times New Roman"/>
          <w:bCs w:val="0"/>
          <w:kern w:val="2"/>
          <w:sz w:val="32"/>
          <w:szCs w:val="32"/>
          <w:lang w:val="en-US" w:eastAsia="zh-CN" w:bidi="ar-SA"/>
        </w:rPr>
        <w:t>〈</w:t>
      </w:r>
      <w:r>
        <w:rPr>
          <w:rFonts w:hint="default" w:ascii="Times New Roman" w:hAnsi="Times New Roman" w:eastAsia="仿宋_GB2312" w:cs="Times New Roman"/>
          <w:bCs w:val="0"/>
          <w:kern w:val="2"/>
          <w:sz w:val="32"/>
          <w:szCs w:val="32"/>
          <w:lang w:val="en-US" w:eastAsia="zh-CN" w:bidi="ar-SA"/>
        </w:rPr>
        <w:t>农村集体经营</w:t>
      </w:r>
      <w:r>
        <w:rPr>
          <w:rFonts w:hint="default" w:ascii="Times New Roman" w:hAnsi="Times New Roman" w:eastAsia="仿宋_GB2312" w:cs="Times New Roman"/>
          <w:bCs w:val="0"/>
          <w:spacing w:val="-6"/>
          <w:kern w:val="2"/>
          <w:sz w:val="32"/>
          <w:szCs w:val="32"/>
          <w:lang w:val="en-US" w:eastAsia="zh-CN" w:bidi="ar-SA"/>
        </w:rPr>
        <w:t>性建设用地土地增值收益调节金征收使用管理暂行办法</w:t>
      </w:r>
      <w:r>
        <w:rPr>
          <w:rFonts w:hint="eastAsia" w:ascii="Times New Roman" w:hAnsi="Times New Roman" w:eastAsia="仿宋_GB2312" w:cs="Times New Roman"/>
          <w:bCs w:val="0"/>
          <w:spacing w:val="-6"/>
          <w:kern w:val="2"/>
          <w:sz w:val="32"/>
          <w:szCs w:val="32"/>
          <w:lang w:val="en-US" w:eastAsia="zh-CN" w:bidi="ar-SA"/>
        </w:rPr>
        <w:t>〉</w:t>
      </w:r>
      <w:r>
        <w:rPr>
          <w:rFonts w:hint="default" w:ascii="Times New Roman" w:hAnsi="Times New Roman" w:eastAsia="仿宋_GB2312" w:cs="Times New Roman"/>
          <w:bCs w:val="0"/>
          <w:spacing w:val="-6"/>
          <w:kern w:val="2"/>
          <w:sz w:val="32"/>
          <w:szCs w:val="32"/>
          <w:lang w:val="en-US" w:eastAsia="zh-CN" w:bidi="ar-SA"/>
        </w:rPr>
        <w:t>的通知》</w:t>
      </w:r>
      <w:r>
        <w:rPr>
          <w:rFonts w:ascii="Times New Roman" w:hAnsi="Times New Roman" w:eastAsia="仿宋_GB2312" w:cs="Times New Roman"/>
          <w:bCs w:val="0"/>
          <w:kern w:val="2"/>
          <w:sz w:val="32"/>
          <w:szCs w:val="32"/>
          <w:lang w:val="en-US" w:eastAsia="zh-CN" w:bidi="ar-SA"/>
        </w:rPr>
        <w:t>（财税</w:t>
      </w:r>
      <w:r>
        <w:rPr>
          <w:rFonts w:hint="eastAsia" w:ascii="仿宋_GB2312" w:hAnsi="仿宋_GB2312" w:eastAsia="仿宋_GB2312" w:cs="仿宋_GB2312"/>
          <w:bCs w:val="0"/>
          <w:kern w:val="2"/>
          <w:sz w:val="32"/>
          <w:szCs w:val="32"/>
          <w:lang w:val="en-US" w:eastAsia="zh-CN" w:bidi="ar-SA"/>
        </w:rPr>
        <w:t>〔2016〕41号）</w:t>
      </w:r>
      <w:r>
        <w:rPr>
          <w:rFonts w:cs="Times New Roman"/>
          <w:szCs w:val="32"/>
        </w:rPr>
        <w:t>文件，调节金按照土地增值收益的</w:t>
      </w:r>
      <w:r>
        <w:rPr>
          <w:rFonts w:hint="eastAsia" w:ascii="仿宋_GB2312" w:hAnsi="仿宋_GB2312" w:eastAsia="仿宋_GB2312" w:cs="仿宋_GB2312"/>
          <w:szCs w:val="32"/>
        </w:rPr>
        <w:t>20%</w:t>
      </w:r>
      <w:r>
        <w:rPr>
          <w:rFonts w:hint="eastAsia" w:ascii="宋体" w:hAnsi="宋体" w:eastAsia="宋体" w:cs="宋体"/>
          <w:szCs w:val="32"/>
          <w:lang w:eastAsia="zh-CN"/>
        </w:rPr>
        <w:t>－</w:t>
      </w:r>
      <w:r>
        <w:rPr>
          <w:rFonts w:hint="eastAsia" w:ascii="仿宋_GB2312" w:hAnsi="仿宋_GB2312" w:eastAsia="仿宋_GB2312" w:cs="仿宋_GB2312"/>
          <w:szCs w:val="32"/>
        </w:rPr>
        <w:t>50%</w:t>
      </w:r>
      <w:r>
        <w:rPr>
          <w:rFonts w:cs="Times New Roman"/>
          <w:szCs w:val="32"/>
        </w:rPr>
        <w:t>征收。</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sz w:val="32"/>
        </w:rPr>
      </w:pPr>
      <w:r>
        <w:rPr>
          <w:rFonts w:eastAsia="楷体_GB2312"/>
          <w:sz w:val="32"/>
        </w:rPr>
        <w:t>（八）市政基础设施投资建设</w:t>
      </w:r>
    </w:p>
    <w:p>
      <w:pPr>
        <w:keepNext w:val="0"/>
        <w:keepLines w:val="0"/>
        <w:pageBreakBefore w:val="0"/>
        <w:widowControl w:val="0"/>
        <w:kinsoku/>
        <w:wordWrap/>
        <w:overflowPunct/>
        <w:topLinePunct w:val="0"/>
        <w:bidi w:val="0"/>
        <w:snapToGrid w:val="0"/>
        <w:spacing w:after="0" w:line="600" w:lineRule="exact"/>
        <w:ind w:firstLine="640"/>
        <w:textAlignment w:val="auto"/>
        <w:rPr>
          <w:rFonts w:cs="Times New Roman"/>
          <w:szCs w:val="32"/>
        </w:rPr>
      </w:pPr>
      <w:r>
        <w:rPr>
          <w:rFonts w:cs="Times New Roman"/>
          <w:szCs w:val="32"/>
        </w:rPr>
        <w:t>项目周边的市政道路建设投资，按照道路级别划分，主次干路按照现行投资体制执行，建设工作随上市项目进度统筹实施；由区内投资</w:t>
      </w:r>
      <w:r>
        <w:rPr>
          <w:rFonts w:hint="eastAsia" w:cs="Times New Roman"/>
          <w:szCs w:val="32"/>
        </w:rPr>
        <w:t>的支路建设费用</w:t>
      </w:r>
      <w:r>
        <w:rPr>
          <w:rFonts w:cs="Times New Roman"/>
          <w:szCs w:val="32"/>
        </w:rPr>
        <w:t>，纳入上市项目土地前期整理成本，随上市项目进度统筹实施。市政道路建设涉及的征地拆迁费用，</w:t>
      </w:r>
      <w:r>
        <w:rPr>
          <w:rFonts w:hint="eastAsia" w:cs="Times New Roman"/>
          <w:szCs w:val="32"/>
        </w:rPr>
        <w:t>如无法纳入上市项目土地成本，优先</w:t>
      </w:r>
      <w:r>
        <w:rPr>
          <w:rFonts w:cs="Times New Roman"/>
          <w:szCs w:val="32"/>
        </w:rPr>
        <w:t>争取市级补助</w:t>
      </w:r>
      <w:r>
        <w:rPr>
          <w:rFonts w:hint="eastAsia" w:cs="Times New Roman"/>
          <w:szCs w:val="32"/>
        </w:rPr>
        <w:t>资金</w:t>
      </w:r>
      <w:r>
        <w:rPr>
          <w:rFonts w:cs="Times New Roman"/>
          <w:szCs w:val="32"/>
        </w:rPr>
        <w:t>，</w:t>
      </w:r>
      <w:r>
        <w:rPr>
          <w:rFonts w:hint="eastAsia" w:cs="Times New Roman"/>
          <w:szCs w:val="32"/>
        </w:rPr>
        <w:t>不足部分由</w:t>
      </w:r>
      <w:r>
        <w:rPr>
          <w:rFonts w:cs="Times New Roman"/>
          <w:szCs w:val="32"/>
        </w:rPr>
        <w:t>区内解决。</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sz w:val="32"/>
        </w:rPr>
      </w:pPr>
      <w:bookmarkStart w:id="1" w:name="_Hlk138931442"/>
      <w:r>
        <w:rPr>
          <w:rFonts w:eastAsia="楷体_GB2312"/>
          <w:sz w:val="32"/>
        </w:rPr>
        <w:t>（九）审批流程</w:t>
      </w:r>
    </w:p>
    <w:p>
      <w:pPr>
        <w:keepNext w:val="0"/>
        <w:keepLines w:val="0"/>
        <w:pageBreakBefore w:val="0"/>
        <w:widowControl w:val="0"/>
        <w:kinsoku/>
        <w:wordWrap/>
        <w:overflowPunct/>
        <w:topLinePunct w:val="0"/>
        <w:bidi w:val="0"/>
        <w:spacing w:after="0" w:line="600" w:lineRule="exact"/>
        <w:ind w:firstLine="640"/>
        <w:textAlignment w:val="auto"/>
        <w:rPr>
          <w:rFonts w:cs="Times New Roman"/>
          <w:szCs w:val="32"/>
        </w:rPr>
      </w:pPr>
      <w:r>
        <w:rPr>
          <w:rFonts w:cs="Times New Roman"/>
          <w:szCs w:val="32"/>
        </w:rPr>
        <w:t>在自然资源部规定的关于入市手续办理的基础上，充分发挥副中心赋权优势，形成</w:t>
      </w:r>
      <w:r>
        <w:rPr>
          <w:rFonts w:hint="eastAsia" w:cs="Times New Roman"/>
          <w:szCs w:val="32"/>
          <w:lang w:eastAsia="zh-CN"/>
        </w:rPr>
        <w:t>“</w:t>
      </w:r>
      <w:r>
        <w:rPr>
          <w:rFonts w:cs="Times New Roman"/>
          <w:szCs w:val="32"/>
        </w:rPr>
        <w:t>党工委统筹、区级负责、区级审批</w:t>
      </w:r>
      <w:r>
        <w:rPr>
          <w:rFonts w:hint="eastAsia" w:cs="Times New Roman"/>
          <w:szCs w:val="32"/>
          <w:lang w:eastAsia="zh-CN"/>
        </w:rPr>
        <w:t>”</w:t>
      </w:r>
      <w:r>
        <w:rPr>
          <w:rFonts w:cs="Times New Roman"/>
          <w:szCs w:val="32"/>
        </w:rPr>
        <w:t>的工作体系，区级各部门本着简化项目办理流程为原则制定审批办法。</w:t>
      </w:r>
      <w:bookmarkEnd w:id="1"/>
    </w:p>
    <w:p>
      <w:pPr>
        <w:pStyle w:val="14"/>
        <w:keepNext w:val="0"/>
        <w:keepLines w:val="0"/>
        <w:pageBreakBefore w:val="0"/>
        <w:widowControl w:val="0"/>
        <w:numPr>
          <w:ilvl w:val="0"/>
          <w:numId w:val="1"/>
        </w:numPr>
        <w:kinsoku/>
        <w:wordWrap/>
        <w:overflowPunct/>
        <w:topLinePunct w:val="0"/>
        <w:bidi w:val="0"/>
        <w:spacing w:after="0" w:line="600" w:lineRule="exact"/>
        <w:ind w:left="0" w:leftChars="0" w:firstLine="640" w:firstLineChars="200"/>
        <w:textAlignment w:val="auto"/>
        <w:rPr>
          <w:rFonts w:hint="eastAsia" w:ascii="黑体" w:hAnsi="黑体" w:eastAsia="黑体" w:cs="黑体"/>
          <w:lang w:val="en" w:eastAsia="zh-CN"/>
        </w:rPr>
      </w:pPr>
      <w:r>
        <w:rPr>
          <w:rFonts w:hint="eastAsia" w:ascii="黑体" w:hAnsi="黑体" w:eastAsia="黑体" w:cs="黑体"/>
          <w:lang w:val="en" w:eastAsia="zh-CN"/>
        </w:rPr>
        <w:t>工作机制</w:t>
      </w:r>
    </w:p>
    <w:p>
      <w:pPr>
        <w:pStyle w:val="14"/>
        <w:keepNext w:val="0"/>
        <w:keepLines w:val="0"/>
        <w:pageBreakBefore w:val="0"/>
        <w:widowControl w:val="0"/>
        <w:numPr>
          <w:ilvl w:val="0"/>
          <w:numId w:val="2"/>
        </w:numPr>
        <w:kinsoku/>
        <w:wordWrap/>
        <w:overflowPunct/>
        <w:topLinePunct w:val="0"/>
        <w:bidi w:val="0"/>
        <w:spacing w:after="0" w:line="600" w:lineRule="exact"/>
        <w:ind w:left="640" w:leftChars="200" w:firstLine="0" w:firstLineChars="0"/>
        <w:textAlignment w:val="auto"/>
        <w:rPr>
          <w:rFonts w:hint="eastAsia" w:ascii="楷体_GB2312" w:hAnsi="楷体_GB2312" w:eastAsia="楷体_GB2312" w:cs="楷体_GB2312"/>
          <w:lang w:val="en" w:eastAsia="zh-CN"/>
        </w:rPr>
      </w:pPr>
      <w:r>
        <w:rPr>
          <w:rFonts w:hint="eastAsia" w:ascii="楷体_GB2312" w:hAnsi="楷体_GB2312" w:eastAsia="楷体_GB2312" w:cs="楷体_GB2312"/>
          <w:lang w:val="en" w:eastAsia="zh-CN"/>
        </w:rPr>
        <w:t>专班设置</w:t>
      </w:r>
    </w:p>
    <w:p>
      <w:pPr>
        <w:pStyle w:val="32"/>
        <w:keepNext w:val="0"/>
        <w:keepLines w:val="0"/>
        <w:pageBreakBefore w:val="0"/>
        <w:widowControl w:val="0"/>
        <w:kinsoku/>
        <w:wordWrap/>
        <w:overflowPunct/>
        <w:topLinePunct w:val="0"/>
        <w:bidi w:val="0"/>
        <w:snapToGrid w:val="0"/>
        <w:spacing w:after="0" w:line="600" w:lineRule="exact"/>
        <w:ind w:firstLine="643"/>
        <w:textAlignment w:val="auto"/>
        <w:rPr>
          <w:rFonts w:hint="eastAsia" w:cs="Times New Roman"/>
          <w:lang w:eastAsia="zh-CN"/>
        </w:rPr>
      </w:pPr>
      <w:r>
        <w:rPr>
          <w:rFonts w:hint="eastAsia" w:cs="Times New Roman"/>
          <w:lang w:eastAsia="zh-CN"/>
        </w:rPr>
        <w:t>成立</w:t>
      </w:r>
      <w:r>
        <w:rPr>
          <w:rFonts w:cs="Times New Roman"/>
        </w:rPr>
        <w:t>通州区集体经营性建设用地入市试点工作</w:t>
      </w:r>
      <w:r>
        <w:rPr>
          <w:rFonts w:hint="eastAsia" w:cs="Times New Roman"/>
        </w:rPr>
        <w:t>专班</w:t>
      </w:r>
      <w:r>
        <w:rPr>
          <w:rFonts w:cs="Times New Roman"/>
        </w:rPr>
        <w:t>（以下简称</w:t>
      </w:r>
      <w:r>
        <w:rPr>
          <w:rFonts w:hint="eastAsia" w:cs="Times New Roman"/>
          <w:lang w:eastAsia="zh-CN"/>
        </w:rPr>
        <w:t>“</w:t>
      </w:r>
      <w:r>
        <w:rPr>
          <w:rFonts w:hint="eastAsia" w:cs="Times New Roman"/>
        </w:rPr>
        <w:t>专班</w:t>
      </w:r>
      <w:r>
        <w:rPr>
          <w:rFonts w:hint="eastAsia" w:cs="Times New Roman"/>
          <w:lang w:eastAsia="zh-CN"/>
        </w:rPr>
        <w:t>”</w:t>
      </w:r>
      <w:r>
        <w:rPr>
          <w:rFonts w:cs="Times New Roman"/>
        </w:rPr>
        <w:t>），部署、指导并统筹推动通州区集体经营性建设用地入市试点工作（以下简称</w:t>
      </w:r>
      <w:r>
        <w:rPr>
          <w:rFonts w:hint="eastAsia" w:cs="Times New Roman"/>
          <w:lang w:eastAsia="zh-CN"/>
        </w:rPr>
        <w:t>“</w:t>
      </w:r>
      <w:r>
        <w:rPr>
          <w:rFonts w:cs="Times New Roman"/>
        </w:rPr>
        <w:t>入市试点</w:t>
      </w:r>
      <w:r>
        <w:rPr>
          <w:rFonts w:hint="eastAsia" w:cs="Times New Roman"/>
          <w:lang w:eastAsia="zh-CN"/>
        </w:rPr>
        <w:t>”</w:t>
      </w:r>
      <w:r>
        <w:rPr>
          <w:rFonts w:cs="Times New Roman"/>
        </w:rPr>
        <w:t>）</w:t>
      </w:r>
      <w:r>
        <w:rPr>
          <w:rFonts w:hint="eastAsia" w:cs="Times New Roman"/>
          <w:lang w:eastAsia="zh-CN"/>
        </w:rPr>
        <w:t>；</w:t>
      </w:r>
      <w:r>
        <w:rPr>
          <w:rFonts w:hint="eastAsia" w:cs="Times New Roman"/>
        </w:rPr>
        <w:t>专班</w:t>
      </w:r>
      <w:r>
        <w:rPr>
          <w:rFonts w:cs="Times New Roman"/>
        </w:rPr>
        <w:t>组长由区长担任；副组长由常务副区长和分管城建、农业农村、文旅及产业的副区长担任。成员由市规</w:t>
      </w:r>
      <w:r>
        <w:rPr>
          <w:rFonts w:hint="eastAsia" w:cs="Times New Roman"/>
          <w:lang w:eastAsia="zh-CN"/>
        </w:rPr>
        <w:t>划自然资源</w:t>
      </w:r>
      <w:r>
        <w:rPr>
          <w:rFonts w:cs="Times New Roman"/>
        </w:rPr>
        <w:t>委通州分局、</w:t>
      </w:r>
      <w:r>
        <w:rPr>
          <w:rFonts w:cs="Times New Roman"/>
          <w:color w:val="000000"/>
          <w:szCs w:val="40"/>
        </w:rPr>
        <w:t>副中心管委会自然资源管理处</w:t>
      </w:r>
      <w:r>
        <w:rPr>
          <w:rFonts w:cs="Times New Roman"/>
        </w:rPr>
        <w:t>、</w:t>
      </w:r>
      <w:r>
        <w:rPr>
          <w:rFonts w:cs="Times New Roman"/>
          <w:color w:val="000000"/>
          <w:szCs w:val="40"/>
        </w:rPr>
        <w:t>副中心管委会规划编制处</w:t>
      </w:r>
      <w:r>
        <w:rPr>
          <w:rFonts w:cs="Times New Roman"/>
        </w:rPr>
        <w:t>、区发</w:t>
      </w:r>
      <w:r>
        <w:rPr>
          <w:rFonts w:hint="eastAsia" w:cs="Times New Roman"/>
          <w:lang w:eastAsia="zh-CN"/>
        </w:rPr>
        <w:t>展</w:t>
      </w:r>
      <w:r>
        <w:rPr>
          <w:rFonts w:cs="Times New Roman"/>
        </w:rPr>
        <w:t>改</w:t>
      </w:r>
      <w:r>
        <w:rPr>
          <w:rFonts w:hint="eastAsia" w:cs="Times New Roman"/>
          <w:lang w:eastAsia="zh-CN"/>
        </w:rPr>
        <w:t>革</w:t>
      </w:r>
      <w:r>
        <w:rPr>
          <w:rFonts w:cs="Times New Roman"/>
        </w:rPr>
        <w:t>委、区经</w:t>
      </w:r>
      <w:r>
        <w:rPr>
          <w:rFonts w:hint="eastAsia" w:cs="Times New Roman"/>
          <w:lang w:eastAsia="zh-CN"/>
        </w:rPr>
        <w:t>济和信息化</w:t>
      </w:r>
      <w:r>
        <w:rPr>
          <w:rFonts w:cs="Times New Roman"/>
        </w:rPr>
        <w:t>局、区财政局、</w:t>
      </w:r>
      <w:r>
        <w:rPr>
          <w:rFonts w:cs="Times New Roman"/>
          <w:szCs w:val="40"/>
        </w:rPr>
        <w:t>区文化</w:t>
      </w:r>
      <w:r>
        <w:rPr>
          <w:rFonts w:hint="eastAsia" w:cs="Times New Roman"/>
          <w:szCs w:val="40"/>
        </w:rPr>
        <w:t>和</w:t>
      </w:r>
      <w:r>
        <w:rPr>
          <w:rFonts w:cs="Times New Roman"/>
          <w:szCs w:val="40"/>
        </w:rPr>
        <w:t>旅游局</w:t>
      </w:r>
      <w:r>
        <w:rPr>
          <w:rFonts w:hint="eastAsia" w:cs="Times New Roman"/>
          <w:szCs w:val="40"/>
        </w:rPr>
        <w:t>、</w:t>
      </w:r>
      <w:r>
        <w:rPr>
          <w:rFonts w:cs="Times New Roman"/>
        </w:rPr>
        <w:t>区生态环境局、区住</w:t>
      </w:r>
      <w:r>
        <w:rPr>
          <w:rFonts w:hint="eastAsia" w:cs="Times New Roman"/>
          <w:lang w:eastAsia="zh-CN"/>
        </w:rPr>
        <w:t>房城乡建设</w:t>
      </w:r>
      <w:r>
        <w:rPr>
          <w:rFonts w:cs="Times New Roman"/>
        </w:rPr>
        <w:t>委、区交通局、区农业农村局、区水务局、区投</w:t>
      </w:r>
      <w:r>
        <w:rPr>
          <w:rFonts w:hint="eastAsia" w:cs="Times New Roman"/>
          <w:lang w:eastAsia="zh-CN"/>
        </w:rPr>
        <w:t>资促进服务</w:t>
      </w:r>
      <w:r>
        <w:rPr>
          <w:rFonts w:cs="Times New Roman"/>
        </w:rPr>
        <w:t>中心、</w:t>
      </w:r>
      <w:r>
        <w:rPr>
          <w:rFonts w:hint="eastAsia" w:cs="Times New Roman"/>
          <w:lang w:eastAsia="zh-CN"/>
        </w:rPr>
        <w:t>区</w:t>
      </w:r>
      <w:r>
        <w:rPr>
          <w:rFonts w:cs="Times New Roman"/>
        </w:rPr>
        <w:t>重大项目中心、区金融办、区税务局、拟入市项目所属乡镇政府及涉及的其他相关单位主要负责同志担任。根据工作需要，</w:t>
      </w:r>
      <w:r>
        <w:rPr>
          <w:rFonts w:hint="eastAsia" w:cs="Times New Roman"/>
        </w:rPr>
        <w:t>专班</w:t>
      </w:r>
      <w:r>
        <w:rPr>
          <w:rFonts w:cs="Times New Roman"/>
        </w:rPr>
        <w:t>成员可调整增减</w:t>
      </w:r>
      <w:r>
        <w:rPr>
          <w:rFonts w:hint="eastAsia" w:cs="Times New Roman"/>
          <w:lang w:eastAsia="zh-CN"/>
        </w:rPr>
        <w:t>。</w:t>
      </w:r>
    </w:p>
    <w:p>
      <w:pPr>
        <w:pStyle w:val="32"/>
        <w:keepNext w:val="0"/>
        <w:keepLines w:val="0"/>
        <w:pageBreakBefore w:val="0"/>
        <w:widowControl w:val="0"/>
        <w:kinsoku/>
        <w:wordWrap/>
        <w:overflowPunct/>
        <w:topLinePunct w:val="0"/>
        <w:bidi w:val="0"/>
        <w:snapToGrid w:val="0"/>
        <w:spacing w:after="0" w:line="600" w:lineRule="exact"/>
        <w:ind w:firstLine="643"/>
        <w:textAlignment w:val="auto"/>
        <w:rPr>
          <w:rFonts w:cs="Times New Roman"/>
        </w:rPr>
      </w:pPr>
      <w:r>
        <w:rPr>
          <w:rFonts w:hint="eastAsia" w:cs="Times New Roman"/>
          <w:lang w:eastAsia="zh-CN"/>
        </w:rPr>
        <w:t>专</w:t>
      </w:r>
      <w:r>
        <w:rPr>
          <w:rFonts w:hint="eastAsia" w:cs="Times New Roman"/>
        </w:rPr>
        <w:t>班</w:t>
      </w:r>
      <w:r>
        <w:rPr>
          <w:rFonts w:hint="eastAsia" w:cs="Times New Roman"/>
          <w:lang w:eastAsia="zh-CN"/>
        </w:rPr>
        <w:t>下设</w:t>
      </w:r>
      <w:r>
        <w:rPr>
          <w:rFonts w:cs="Times New Roman"/>
        </w:rPr>
        <w:t>办公室</w:t>
      </w:r>
      <w:r>
        <w:rPr>
          <w:rFonts w:hint="eastAsia" w:cs="Times New Roman"/>
          <w:lang w:eastAsia="zh-CN"/>
        </w:rPr>
        <w:t>，办公室</w:t>
      </w:r>
      <w:r>
        <w:rPr>
          <w:rFonts w:cs="Times New Roman"/>
        </w:rPr>
        <w:t>设在市规</w:t>
      </w:r>
      <w:r>
        <w:rPr>
          <w:rFonts w:hint="eastAsia" w:cs="Times New Roman"/>
          <w:lang w:eastAsia="zh-CN"/>
        </w:rPr>
        <w:t>划自然资源</w:t>
      </w:r>
      <w:r>
        <w:rPr>
          <w:rFonts w:cs="Times New Roman"/>
        </w:rPr>
        <w:t>委通州分局，负责日常工作</w:t>
      </w:r>
      <w:r>
        <w:rPr>
          <w:rFonts w:hint="eastAsia" w:cs="Times New Roman"/>
          <w:lang w:eastAsia="zh-CN"/>
        </w:rPr>
        <w:t>。</w:t>
      </w:r>
      <w:r>
        <w:rPr>
          <w:rFonts w:cs="Times New Roman"/>
        </w:rPr>
        <w:t>办公室主任由分管城建的副区长</w:t>
      </w:r>
      <w:r>
        <w:rPr>
          <w:rFonts w:hint="eastAsia" w:cs="Times New Roman"/>
          <w:lang w:eastAsia="zh-CN"/>
        </w:rPr>
        <w:t>兼</w:t>
      </w:r>
      <w:r>
        <w:rPr>
          <w:rFonts w:cs="Times New Roman"/>
        </w:rPr>
        <w:t>任，办公室常务副主任</w:t>
      </w:r>
      <w:r>
        <w:rPr>
          <w:rFonts w:hint="eastAsia" w:cs="Times New Roman"/>
          <w:lang w:eastAsia="zh-CN"/>
        </w:rPr>
        <w:t>由</w:t>
      </w:r>
      <w:r>
        <w:rPr>
          <w:rFonts w:cs="Times New Roman"/>
        </w:rPr>
        <w:t>市规</w:t>
      </w:r>
      <w:r>
        <w:rPr>
          <w:rFonts w:hint="eastAsia" w:cs="Times New Roman"/>
          <w:lang w:eastAsia="zh-CN"/>
        </w:rPr>
        <w:t>划自然资源</w:t>
      </w:r>
      <w:r>
        <w:rPr>
          <w:rFonts w:cs="Times New Roman"/>
        </w:rPr>
        <w:t>委通州分局常务副局长</w:t>
      </w:r>
      <w:r>
        <w:rPr>
          <w:rFonts w:hint="eastAsia" w:cs="Times New Roman"/>
          <w:lang w:eastAsia="zh-CN"/>
        </w:rPr>
        <w:t>兼</w:t>
      </w:r>
      <w:r>
        <w:rPr>
          <w:rFonts w:cs="Times New Roman"/>
        </w:rPr>
        <w:t>任</w:t>
      </w:r>
      <w:r>
        <w:rPr>
          <w:rFonts w:hint="eastAsia" w:cs="Times New Roman"/>
          <w:lang w:eastAsia="zh-CN"/>
        </w:rPr>
        <w:t>；</w:t>
      </w:r>
      <w:r>
        <w:rPr>
          <w:rFonts w:hint="eastAsia" w:cs="Times New Roman"/>
        </w:rPr>
        <w:t>专班</w:t>
      </w:r>
      <w:r>
        <w:rPr>
          <w:rFonts w:cs="Times New Roman"/>
        </w:rPr>
        <w:t>各成员单位确定一名处级负责同志为办公室成员，一名科级同志为联络员，负责入市试点工作专题研究、沟通协调和日常联络工作。</w:t>
      </w:r>
    </w:p>
    <w:p>
      <w:pPr>
        <w:pStyle w:val="14"/>
        <w:keepNext w:val="0"/>
        <w:keepLines w:val="0"/>
        <w:pageBreakBefore w:val="0"/>
        <w:widowControl w:val="0"/>
        <w:numPr>
          <w:ilvl w:val="0"/>
          <w:numId w:val="2"/>
        </w:numPr>
        <w:kinsoku/>
        <w:wordWrap/>
        <w:overflowPunct/>
        <w:topLinePunct w:val="0"/>
        <w:bidi w:val="0"/>
        <w:spacing w:after="0" w:line="600" w:lineRule="exact"/>
        <w:ind w:leftChars="200" w:firstLine="0" w:firstLineChars="0"/>
        <w:textAlignment w:val="auto"/>
        <w:rPr>
          <w:rFonts w:hint="eastAsia" w:ascii="楷体_GB2312" w:hAnsi="楷体_GB2312" w:eastAsia="楷体_GB2312" w:cs="楷体_GB2312"/>
          <w:lang w:val="en" w:eastAsia="zh-CN"/>
        </w:rPr>
      </w:pPr>
      <w:r>
        <w:rPr>
          <w:rFonts w:hint="eastAsia" w:ascii="楷体_GB2312" w:hAnsi="楷体_GB2312" w:eastAsia="楷体_GB2312" w:cs="楷体_GB2312"/>
          <w:lang w:val="en" w:eastAsia="zh-CN"/>
        </w:rPr>
        <w:t>职责任务</w:t>
      </w:r>
    </w:p>
    <w:p>
      <w:pPr>
        <w:pStyle w:val="32"/>
        <w:keepNext w:val="0"/>
        <w:keepLines w:val="0"/>
        <w:pageBreakBefore w:val="0"/>
        <w:widowControl w:val="0"/>
        <w:numPr>
          <w:ilvl w:val="0"/>
          <w:numId w:val="0"/>
        </w:numPr>
        <w:kinsoku/>
        <w:wordWrap/>
        <w:overflowPunct/>
        <w:topLinePunct w:val="0"/>
        <w:bidi w:val="0"/>
        <w:snapToGrid w:val="0"/>
        <w:spacing w:after="0" w:line="600" w:lineRule="exact"/>
        <w:textAlignment w:val="auto"/>
        <w:rPr>
          <w:rFonts w:hint="eastAsia" w:cs="Times New Roman"/>
          <w:lang w:val="en-US" w:eastAsia="zh-CN"/>
        </w:rPr>
      </w:pPr>
      <w:r>
        <w:rPr>
          <w:rFonts w:hint="eastAsia" w:cs="Times New Roman"/>
          <w:lang w:val="en-US" w:eastAsia="zh-CN"/>
        </w:rPr>
        <w:t>　　</w:t>
      </w:r>
      <w:r>
        <w:rPr>
          <w:rFonts w:hint="eastAsia" w:ascii="仿宋_GB2312" w:hAnsi="仿宋_GB2312" w:cs="仿宋_GB2312"/>
          <w:szCs w:val="32"/>
          <w:lang w:val="en-US" w:eastAsia="zh-CN"/>
        </w:rPr>
        <w:t>1</w:t>
      </w:r>
      <w:r>
        <w:rPr>
          <w:rFonts w:hint="eastAsia" w:ascii="仿宋_GB2312" w:hAnsi="仿宋_GB2312" w:eastAsia="仿宋_GB2312" w:cs="仿宋_GB2312"/>
          <w:szCs w:val="32"/>
          <w:lang w:val="zh-CN"/>
        </w:rPr>
        <w:t>.</w:t>
      </w:r>
      <w:r>
        <w:rPr>
          <w:rFonts w:hint="eastAsia" w:cs="Times New Roman"/>
          <w:lang w:val="en-US" w:eastAsia="zh-CN"/>
        </w:rPr>
        <w:t>专班职责</w:t>
      </w:r>
    </w:p>
    <w:p>
      <w:pPr>
        <w:pStyle w:val="32"/>
        <w:keepNext w:val="0"/>
        <w:keepLines w:val="0"/>
        <w:pageBreakBefore w:val="0"/>
        <w:widowControl w:val="0"/>
        <w:kinsoku/>
        <w:wordWrap/>
        <w:overflowPunct/>
        <w:topLinePunct w:val="0"/>
        <w:bidi w:val="0"/>
        <w:snapToGrid w:val="0"/>
        <w:spacing w:after="0" w:line="600" w:lineRule="exact"/>
        <w:ind w:firstLine="643"/>
        <w:textAlignment w:val="auto"/>
        <w:rPr>
          <w:rFonts w:cs="Times New Roman"/>
        </w:rPr>
      </w:pPr>
      <w:r>
        <w:rPr>
          <w:rFonts w:hint="eastAsia" w:cs="Times New Roman"/>
        </w:rPr>
        <w:t>专班</w:t>
      </w:r>
      <w:r>
        <w:rPr>
          <w:rFonts w:cs="Times New Roman"/>
        </w:rPr>
        <w:t>在入市试点各个阶段组织召开集体经营性建设用地入市工作会，会议由组长主持召开。</w:t>
      </w:r>
      <w:r>
        <w:rPr>
          <w:rFonts w:cs="Times New Roman"/>
          <w:szCs w:val="32"/>
        </w:rPr>
        <w:t>负责研究推动入市试点工作的重大政策、重大问题或专项问题，部署年度入市计划，</w:t>
      </w:r>
      <w:r>
        <w:rPr>
          <w:rFonts w:cs="Times New Roman"/>
          <w:szCs w:val="32"/>
          <w:lang w:val="zh-CN"/>
        </w:rPr>
        <w:t>推动试点工作有序实施</w:t>
      </w:r>
      <w:r>
        <w:rPr>
          <w:rFonts w:hint="eastAsia" w:cs="Times New Roman"/>
          <w:szCs w:val="32"/>
          <w:lang w:val="zh-CN"/>
        </w:rPr>
        <w:t>；</w:t>
      </w:r>
      <w:r>
        <w:rPr>
          <w:rFonts w:cs="Times New Roman"/>
        </w:rPr>
        <w:t>会议纪要经</w:t>
      </w:r>
      <w:r>
        <w:rPr>
          <w:rFonts w:hint="eastAsia" w:cs="Times New Roman"/>
        </w:rPr>
        <w:t>专班</w:t>
      </w:r>
      <w:r>
        <w:rPr>
          <w:rFonts w:cs="Times New Roman"/>
        </w:rPr>
        <w:t>组长审定后印发。会议纪要印送</w:t>
      </w:r>
      <w:r>
        <w:rPr>
          <w:rFonts w:hint="eastAsia" w:cs="Times New Roman"/>
        </w:rPr>
        <w:t>专班</w:t>
      </w:r>
      <w:r>
        <w:rPr>
          <w:rFonts w:cs="Times New Roman"/>
        </w:rPr>
        <w:t>组长、副组长、成员单位，以及与会议有关的相关部门</w:t>
      </w:r>
      <w:r>
        <w:rPr>
          <w:rFonts w:hint="eastAsia" w:cs="Times New Roman"/>
          <w:lang w:eastAsia="zh-CN"/>
        </w:rPr>
        <w:t>；</w:t>
      </w:r>
      <w:r>
        <w:rPr>
          <w:rFonts w:cs="Times New Roman"/>
        </w:rPr>
        <w:t>各成员单位根据部门职能或</w:t>
      </w:r>
      <w:r>
        <w:rPr>
          <w:rFonts w:hint="eastAsia" w:cs="Times New Roman"/>
        </w:rPr>
        <w:t>专班</w:t>
      </w:r>
      <w:r>
        <w:rPr>
          <w:rFonts w:cs="Times New Roman"/>
        </w:rPr>
        <w:t>部署，负责相关政策的研究拟定、相关工作在本领域的组织和落实，并将实施情况及时向</w:t>
      </w:r>
      <w:r>
        <w:rPr>
          <w:rFonts w:hint="eastAsia" w:cs="Times New Roman"/>
        </w:rPr>
        <w:t>专班</w:t>
      </w:r>
      <w:r>
        <w:rPr>
          <w:rFonts w:cs="Times New Roman"/>
        </w:rPr>
        <w:t>及办公室报告</w:t>
      </w:r>
      <w:r>
        <w:rPr>
          <w:rFonts w:hint="eastAsia" w:cs="Times New Roman"/>
          <w:lang w:eastAsia="zh-CN"/>
        </w:rPr>
        <w:t>；</w:t>
      </w:r>
      <w:r>
        <w:rPr>
          <w:rFonts w:cs="Times New Roman"/>
          <w:szCs w:val="32"/>
        </w:rPr>
        <w:t>在入市</w:t>
      </w:r>
      <w:r>
        <w:rPr>
          <w:rFonts w:hint="eastAsia" w:cs="Times New Roman"/>
          <w:szCs w:val="32"/>
        </w:rPr>
        <w:t>专班</w:t>
      </w:r>
      <w:r>
        <w:rPr>
          <w:rFonts w:cs="Times New Roman"/>
          <w:szCs w:val="32"/>
        </w:rPr>
        <w:t>领导下，建立集体经营性建设用地入市审核联席会（以下简称</w:t>
      </w:r>
      <w:r>
        <w:rPr>
          <w:rFonts w:hint="eastAsia" w:cs="Times New Roman"/>
          <w:szCs w:val="32"/>
          <w:lang w:eastAsia="zh-CN"/>
        </w:rPr>
        <w:t>“</w:t>
      </w:r>
      <w:r>
        <w:rPr>
          <w:rFonts w:cs="Times New Roman"/>
          <w:szCs w:val="32"/>
        </w:rPr>
        <w:t>联席会</w:t>
      </w:r>
      <w:r>
        <w:rPr>
          <w:rFonts w:hint="eastAsia" w:cs="Times New Roman"/>
          <w:szCs w:val="32"/>
          <w:lang w:eastAsia="zh-CN"/>
        </w:rPr>
        <w:t>”</w:t>
      </w:r>
      <w:r>
        <w:rPr>
          <w:rFonts w:cs="Times New Roman"/>
          <w:szCs w:val="32"/>
        </w:rPr>
        <w:t>），负责项目前期整理成本、入市地价、出让方案等相关审核工作，由主管城建的副区长组织召开，入市</w:t>
      </w:r>
      <w:r>
        <w:rPr>
          <w:rFonts w:hint="eastAsia" w:cs="Times New Roman"/>
          <w:szCs w:val="32"/>
        </w:rPr>
        <w:t>专班</w:t>
      </w:r>
      <w:r>
        <w:rPr>
          <w:rFonts w:cs="Times New Roman"/>
          <w:szCs w:val="32"/>
        </w:rPr>
        <w:t>成员单位视工作职责参会</w:t>
      </w:r>
      <w:r>
        <w:rPr>
          <w:rFonts w:hint="eastAsia" w:cs="Times New Roman"/>
          <w:szCs w:val="32"/>
          <w:lang w:eastAsia="zh-CN"/>
        </w:rPr>
        <w:t>；</w:t>
      </w:r>
      <w:r>
        <w:rPr>
          <w:rFonts w:cs="Times New Roman"/>
        </w:rPr>
        <w:t>办公室不定期组织召开办公室工作会议，落实</w:t>
      </w:r>
      <w:r>
        <w:rPr>
          <w:rFonts w:hint="eastAsia" w:cs="Times New Roman"/>
        </w:rPr>
        <w:t>专班</w:t>
      </w:r>
      <w:r>
        <w:rPr>
          <w:rFonts w:cs="Times New Roman"/>
        </w:rPr>
        <w:t>议定和交办事项，及时沟通各方面工作进展情况，研究协调入市试点有关问题，推动入市具体工作；统筹协调有关方面制定相关政策措施等，编发通州区试点</w:t>
      </w:r>
      <w:r>
        <w:rPr>
          <w:rFonts w:hint="eastAsia" w:cs="Times New Roman"/>
        </w:rPr>
        <w:t>专班</w:t>
      </w:r>
      <w:r>
        <w:rPr>
          <w:rFonts w:cs="Times New Roman"/>
        </w:rPr>
        <w:t>工作会议纪要，收集整理信息资料，为</w:t>
      </w:r>
      <w:r>
        <w:rPr>
          <w:rFonts w:hint="eastAsia" w:cs="Times New Roman"/>
        </w:rPr>
        <w:t>专班</w:t>
      </w:r>
      <w:r>
        <w:rPr>
          <w:rFonts w:cs="Times New Roman"/>
        </w:rPr>
        <w:t>决策提供参考</w:t>
      </w:r>
      <w:r>
        <w:rPr>
          <w:rFonts w:hint="eastAsia" w:cs="Times New Roman"/>
          <w:lang w:eastAsia="zh-CN"/>
        </w:rPr>
        <w:t>；</w:t>
      </w:r>
      <w:r>
        <w:rPr>
          <w:rFonts w:cs="Times New Roman"/>
        </w:rPr>
        <w:t>办公室会议议题，应根据</w:t>
      </w:r>
      <w:r>
        <w:rPr>
          <w:rFonts w:hint="eastAsia" w:cs="Times New Roman"/>
        </w:rPr>
        <w:t>专班</w:t>
      </w:r>
      <w:r>
        <w:rPr>
          <w:rFonts w:cs="Times New Roman"/>
        </w:rPr>
        <w:t>要求和实际工作需要确定。会议由办公室主任主持召开，办公室成员参加会议。</w:t>
      </w:r>
    </w:p>
    <w:p>
      <w:pPr>
        <w:pStyle w:val="32"/>
        <w:keepNext w:val="0"/>
        <w:keepLines w:val="0"/>
        <w:pageBreakBefore w:val="0"/>
        <w:widowControl w:val="0"/>
        <w:numPr>
          <w:ilvl w:val="0"/>
          <w:numId w:val="0"/>
        </w:numPr>
        <w:kinsoku/>
        <w:wordWrap/>
        <w:overflowPunct/>
        <w:topLinePunct w:val="0"/>
        <w:bidi w:val="0"/>
        <w:snapToGrid w:val="0"/>
        <w:spacing w:after="0" w:line="600" w:lineRule="exact"/>
        <w:textAlignment w:val="auto"/>
        <w:rPr>
          <w:rFonts w:hint="eastAsia" w:cs="Times New Roman"/>
          <w:lang w:val="en-US" w:eastAsia="zh-CN"/>
        </w:rPr>
      </w:pPr>
      <w:r>
        <w:rPr>
          <w:rFonts w:hint="eastAsia" w:cs="Times New Roman"/>
          <w:lang w:val="en-US" w:eastAsia="zh-CN"/>
        </w:rPr>
        <w:t>　　</w:t>
      </w:r>
      <w:r>
        <w:rPr>
          <w:rFonts w:hint="eastAsia" w:ascii="仿宋_GB2312" w:hAnsi="仿宋_GB2312" w:cs="仿宋_GB2312"/>
          <w:szCs w:val="32"/>
          <w:lang w:val="en-US" w:eastAsia="zh-CN"/>
        </w:rPr>
        <w:t>2</w:t>
      </w:r>
      <w:r>
        <w:rPr>
          <w:rFonts w:hint="eastAsia" w:ascii="仿宋_GB2312" w:hAnsi="仿宋_GB2312" w:eastAsia="仿宋_GB2312" w:cs="仿宋_GB2312"/>
          <w:szCs w:val="32"/>
          <w:lang w:val="zh-CN"/>
        </w:rPr>
        <w:t>.</w:t>
      </w:r>
      <w:r>
        <w:rPr>
          <w:rFonts w:hint="eastAsia" w:ascii="仿宋_GB2312" w:hAnsi="仿宋_GB2312" w:eastAsia="仿宋_GB2312" w:cs="仿宋_GB2312"/>
          <w:lang w:val="en-US" w:eastAsia="zh-CN"/>
        </w:rPr>
        <w:t>成</w:t>
      </w:r>
      <w:r>
        <w:rPr>
          <w:rFonts w:hint="eastAsia" w:cs="Times New Roman"/>
          <w:lang w:val="en-US" w:eastAsia="zh-CN"/>
        </w:rPr>
        <w:t>员单位职责</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市规划自然资源委通州分局：</w:t>
      </w:r>
      <w:r>
        <w:rPr>
          <w:rFonts w:cs="Times New Roman"/>
          <w:szCs w:val="32"/>
        </w:rPr>
        <w:t>负责联席会日常工作，包括土地整理验收、地价、出让方案等工作的初步审核、会议组织及报批；利用市级平台组织招拍挂入市活动；负责规划、农转用、占地、不动产登记等手续办理。</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color w:val="000000"/>
          <w:szCs w:val="32"/>
        </w:rPr>
      </w:pPr>
      <w:r>
        <w:rPr>
          <w:rFonts w:cs="Times New Roman"/>
          <w:b w:val="0"/>
          <w:bCs w:val="0"/>
          <w:color w:val="000000"/>
          <w:szCs w:val="32"/>
        </w:rPr>
        <w:t>副中心管委会自然资源管理处：</w:t>
      </w:r>
      <w:r>
        <w:rPr>
          <w:rFonts w:cs="Times New Roman"/>
          <w:color w:val="000000"/>
          <w:szCs w:val="32"/>
        </w:rPr>
        <w:t>负责做好与市级协调机制的沟通对接工作；指导通州区试点工作。</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color w:val="000000"/>
          <w:szCs w:val="32"/>
        </w:rPr>
      </w:pPr>
      <w:r>
        <w:rPr>
          <w:rFonts w:cs="Times New Roman"/>
          <w:b w:val="0"/>
          <w:bCs w:val="0"/>
          <w:color w:val="000000"/>
          <w:szCs w:val="32"/>
        </w:rPr>
        <w:t>副中心管委会规划编制处：</w:t>
      </w:r>
      <w:r>
        <w:rPr>
          <w:rFonts w:cs="Times New Roman"/>
          <w:color w:val="000000"/>
          <w:szCs w:val="32"/>
        </w:rPr>
        <w:t>负责做好</w:t>
      </w:r>
      <w:r>
        <w:rPr>
          <w:rFonts w:cs="Times New Roman"/>
          <w:szCs w:val="32"/>
        </w:rPr>
        <w:t>集体经营性建设用地项目规划研究与审批工作。</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区发</w:t>
      </w:r>
      <w:r>
        <w:rPr>
          <w:rFonts w:hint="eastAsia" w:cs="Times New Roman"/>
          <w:b w:val="0"/>
          <w:bCs w:val="0"/>
          <w:szCs w:val="32"/>
          <w:lang w:eastAsia="zh-CN"/>
        </w:rPr>
        <w:t>展</w:t>
      </w:r>
      <w:r>
        <w:rPr>
          <w:rFonts w:cs="Times New Roman"/>
          <w:b w:val="0"/>
          <w:bCs w:val="0"/>
          <w:szCs w:val="32"/>
        </w:rPr>
        <w:t>改</w:t>
      </w:r>
      <w:r>
        <w:rPr>
          <w:rFonts w:hint="eastAsia" w:cs="Times New Roman"/>
          <w:b w:val="0"/>
          <w:bCs w:val="0"/>
          <w:szCs w:val="32"/>
          <w:lang w:eastAsia="zh-CN"/>
        </w:rPr>
        <w:t>革</w:t>
      </w:r>
      <w:r>
        <w:rPr>
          <w:rFonts w:cs="Times New Roman"/>
          <w:b w:val="0"/>
          <w:bCs w:val="0"/>
          <w:szCs w:val="32"/>
        </w:rPr>
        <w:t>委：</w:t>
      </w:r>
      <w:r>
        <w:rPr>
          <w:rFonts w:cs="Times New Roman"/>
          <w:szCs w:val="32"/>
        </w:rPr>
        <w:t>负责对集体产业项目进行核准或备案。</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区经</w:t>
      </w:r>
      <w:r>
        <w:rPr>
          <w:rFonts w:hint="eastAsia" w:cs="Times New Roman"/>
          <w:b w:val="0"/>
          <w:bCs w:val="0"/>
          <w:szCs w:val="32"/>
          <w:lang w:eastAsia="zh-CN"/>
        </w:rPr>
        <w:t>济和信息化</w:t>
      </w:r>
      <w:r>
        <w:rPr>
          <w:rFonts w:cs="Times New Roman"/>
          <w:b w:val="0"/>
          <w:bCs w:val="0"/>
          <w:szCs w:val="32"/>
        </w:rPr>
        <w:t>局：</w:t>
      </w:r>
      <w:r>
        <w:rPr>
          <w:rFonts w:cs="Times New Roman"/>
          <w:szCs w:val="32"/>
        </w:rPr>
        <w:t>负责对内资的工业、信息化领域的集体产业项目进行核准或备案。</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区财政局：</w:t>
      </w:r>
      <w:r>
        <w:rPr>
          <w:rFonts w:cs="Times New Roman"/>
          <w:szCs w:val="32"/>
        </w:rPr>
        <w:t>负责</w:t>
      </w:r>
      <w:r>
        <w:rPr>
          <w:rFonts w:hint="eastAsia" w:cs="Times New Roman"/>
          <w:szCs w:val="32"/>
        </w:rPr>
        <w:t>指导入市实施主体缴纳</w:t>
      </w:r>
      <w:r>
        <w:rPr>
          <w:rFonts w:cs="Times New Roman"/>
          <w:szCs w:val="32"/>
        </w:rPr>
        <w:t>土地收益调节金；</w:t>
      </w:r>
      <w:r>
        <w:rPr>
          <w:rFonts w:hint="eastAsia" w:cs="Times New Roman"/>
          <w:szCs w:val="32"/>
        </w:rPr>
        <w:t>会同</w:t>
      </w:r>
      <w:r>
        <w:rPr>
          <w:rFonts w:cs="Times New Roman"/>
          <w:b w:val="0"/>
          <w:bCs w:val="0"/>
          <w:szCs w:val="32"/>
        </w:rPr>
        <w:t>市规划自然资源委通州分局</w:t>
      </w:r>
      <w:r>
        <w:rPr>
          <w:rFonts w:cs="Times New Roman"/>
          <w:szCs w:val="32"/>
        </w:rPr>
        <w:t>研究土地收益调节金收取比例；统筹做好集体产业项目周边市政基础设施建设的资金保障。</w:t>
      </w:r>
    </w:p>
    <w:p>
      <w:pPr>
        <w:pStyle w:val="14"/>
        <w:keepNext w:val="0"/>
        <w:keepLines w:val="0"/>
        <w:pageBreakBefore w:val="0"/>
        <w:widowControl w:val="0"/>
        <w:kinsoku/>
        <w:wordWrap/>
        <w:overflowPunct/>
        <w:topLinePunct w:val="0"/>
        <w:bidi w:val="0"/>
        <w:spacing w:after="0" w:line="600" w:lineRule="exact"/>
        <w:ind w:left="0" w:leftChars="0" w:firstLine="643"/>
        <w:textAlignment w:val="auto"/>
        <w:rPr>
          <w:rFonts w:cs="Times New Roman"/>
          <w:szCs w:val="32"/>
        </w:rPr>
      </w:pPr>
      <w:r>
        <w:rPr>
          <w:rFonts w:cs="Times New Roman"/>
          <w:b w:val="0"/>
          <w:bCs w:val="0"/>
          <w:szCs w:val="32"/>
        </w:rPr>
        <w:t>区文化和旅游局</w:t>
      </w:r>
      <w:r>
        <w:rPr>
          <w:rFonts w:hint="eastAsia" w:cs="Times New Roman"/>
          <w:b w:val="0"/>
          <w:bCs w:val="0"/>
          <w:szCs w:val="32"/>
        </w:rPr>
        <w:t>：</w:t>
      </w:r>
      <w:r>
        <w:rPr>
          <w:rFonts w:hint="eastAsia" w:cs="Times New Roman"/>
          <w:szCs w:val="32"/>
        </w:rPr>
        <w:t>负责协调市文物研究所加快推进项目考古、勘探及发掘工作。</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区生态环境局：</w:t>
      </w:r>
      <w:r>
        <w:rPr>
          <w:rFonts w:cs="Times New Roman"/>
          <w:szCs w:val="32"/>
        </w:rPr>
        <w:t>负责审核项目是否达到生态环境保护要求，</w:t>
      </w:r>
      <w:r>
        <w:rPr>
          <w:rFonts w:hint="eastAsia" w:cs="Times New Roman"/>
          <w:szCs w:val="32"/>
        </w:rPr>
        <w:t>依规</w:t>
      </w:r>
      <w:r>
        <w:rPr>
          <w:rFonts w:cs="Times New Roman"/>
          <w:szCs w:val="32"/>
        </w:rPr>
        <w:t>批复</w:t>
      </w:r>
      <w:r>
        <w:rPr>
          <w:rFonts w:hint="eastAsia" w:cs="Times New Roman"/>
          <w:szCs w:val="32"/>
        </w:rPr>
        <w:t>项目</w:t>
      </w:r>
      <w:r>
        <w:rPr>
          <w:rFonts w:cs="Times New Roman"/>
          <w:szCs w:val="32"/>
        </w:rPr>
        <w:t>土壤污染评价。</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区住</w:t>
      </w:r>
      <w:r>
        <w:rPr>
          <w:rFonts w:hint="eastAsia" w:cs="Times New Roman"/>
          <w:b w:val="0"/>
          <w:bCs w:val="0"/>
          <w:szCs w:val="32"/>
          <w:lang w:eastAsia="zh-CN"/>
        </w:rPr>
        <w:t>房城乡建设</w:t>
      </w:r>
      <w:r>
        <w:rPr>
          <w:rFonts w:cs="Times New Roman"/>
          <w:b w:val="0"/>
          <w:bCs w:val="0"/>
          <w:szCs w:val="32"/>
        </w:rPr>
        <w:t>委：</w:t>
      </w:r>
      <w:r>
        <w:rPr>
          <w:rFonts w:cs="Times New Roman"/>
          <w:szCs w:val="32"/>
        </w:rPr>
        <w:t>负责统筹全区集体土地范围内地上物腾退补偿标准；负责已取得建设工程规划许可证项目的施工许可办理、质量安全监督、工程竣工验收备案。</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区交通局：</w:t>
      </w:r>
      <w:r>
        <w:rPr>
          <w:rFonts w:cs="Times New Roman"/>
          <w:szCs w:val="32"/>
        </w:rPr>
        <w:t>负责</w:t>
      </w:r>
      <w:r>
        <w:rPr>
          <w:rFonts w:hint="eastAsia" w:cs="Times New Roman"/>
          <w:szCs w:val="32"/>
        </w:rPr>
        <w:t>协调市交通部门</w:t>
      </w:r>
      <w:r>
        <w:rPr>
          <w:rFonts w:cs="Times New Roman"/>
          <w:szCs w:val="32"/>
        </w:rPr>
        <w:t>取得</w:t>
      </w:r>
      <w:r>
        <w:rPr>
          <w:rFonts w:hint="eastAsia" w:cs="Times New Roman"/>
          <w:szCs w:val="32"/>
        </w:rPr>
        <w:t>项目</w:t>
      </w:r>
      <w:r>
        <w:rPr>
          <w:rFonts w:cs="Times New Roman"/>
          <w:szCs w:val="32"/>
        </w:rPr>
        <w:t>交通影响评价批复。</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区农业农村局：</w:t>
      </w:r>
      <w:r>
        <w:rPr>
          <w:rFonts w:cs="Times New Roman"/>
          <w:szCs w:val="32"/>
        </w:rPr>
        <w:t>负责规范联营公司在集体经营性建设用地入市中的各项工作；按照</w:t>
      </w:r>
      <w:r>
        <w:rPr>
          <w:rFonts w:hint="eastAsia" w:cs="Times New Roman"/>
          <w:szCs w:val="32"/>
          <w:lang w:eastAsia="zh-CN"/>
        </w:rPr>
        <w:t>“</w:t>
      </w:r>
      <w:r>
        <w:rPr>
          <w:rFonts w:cs="Times New Roman"/>
          <w:szCs w:val="32"/>
        </w:rPr>
        <w:t>三资管理</w:t>
      </w:r>
      <w:r>
        <w:rPr>
          <w:rFonts w:hint="eastAsia" w:cs="Times New Roman"/>
          <w:szCs w:val="32"/>
          <w:lang w:eastAsia="zh-CN"/>
        </w:rPr>
        <w:t>”</w:t>
      </w:r>
      <w:r>
        <w:rPr>
          <w:rFonts w:cs="Times New Roman"/>
          <w:szCs w:val="32"/>
        </w:rPr>
        <w:t>规定，制定收益分配规则，监管集体经营性建设用地的收益分配等相关工作。</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区水务局：</w:t>
      </w:r>
      <w:r>
        <w:rPr>
          <w:rFonts w:cs="Times New Roman"/>
          <w:szCs w:val="32"/>
        </w:rPr>
        <w:t>负责</w:t>
      </w:r>
      <w:r>
        <w:rPr>
          <w:rFonts w:hint="eastAsia" w:cs="Times New Roman"/>
          <w:szCs w:val="32"/>
        </w:rPr>
        <w:t>协调市水务部门取得</w:t>
      </w:r>
      <w:r>
        <w:rPr>
          <w:rFonts w:cs="Times New Roman"/>
          <w:szCs w:val="32"/>
        </w:rPr>
        <w:t>项目水影响评价</w:t>
      </w:r>
      <w:r>
        <w:rPr>
          <w:rFonts w:hint="eastAsia" w:cs="Times New Roman"/>
          <w:szCs w:val="32"/>
        </w:rPr>
        <w:t>部门回复意见</w:t>
      </w:r>
      <w:r>
        <w:rPr>
          <w:rFonts w:cs="Times New Roman"/>
          <w:szCs w:val="32"/>
        </w:rPr>
        <w:t>。</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区投</w:t>
      </w:r>
      <w:r>
        <w:rPr>
          <w:rFonts w:hint="eastAsia" w:cs="Times New Roman"/>
          <w:b w:val="0"/>
          <w:bCs w:val="0"/>
          <w:szCs w:val="32"/>
          <w:lang w:eastAsia="zh-CN"/>
        </w:rPr>
        <w:t>资促进服务</w:t>
      </w:r>
      <w:r>
        <w:rPr>
          <w:rFonts w:cs="Times New Roman"/>
          <w:b w:val="0"/>
          <w:bCs w:val="0"/>
          <w:szCs w:val="32"/>
        </w:rPr>
        <w:t>中心：</w:t>
      </w:r>
      <w:r>
        <w:rPr>
          <w:rFonts w:cs="Times New Roman"/>
          <w:szCs w:val="32"/>
        </w:rPr>
        <w:t>负责组织召开产促会，由产促会指导确定产业发展方向，明确产业准入条件，在土地供应前对拟引入产业和企业资格进行预审并出具预审意见。</w:t>
      </w:r>
    </w:p>
    <w:p>
      <w:pPr>
        <w:pStyle w:val="14"/>
        <w:keepNext w:val="0"/>
        <w:keepLines w:val="0"/>
        <w:pageBreakBefore w:val="0"/>
        <w:widowControl w:val="0"/>
        <w:kinsoku/>
        <w:wordWrap/>
        <w:overflowPunct/>
        <w:topLinePunct w:val="0"/>
        <w:bidi w:val="0"/>
        <w:snapToGrid w:val="0"/>
        <w:spacing w:after="0" w:line="600" w:lineRule="exact"/>
        <w:ind w:left="0" w:leftChars="0" w:firstLine="643"/>
        <w:textAlignment w:val="auto"/>
        <w:rPr>
          <w:rFonts w:cs="Times New Roman"/>
          <w:b/>
          <w:bCs/>
          <w:szCs w:val="32"/>
        </w:rPr>
      </w:pPr>
      <w:r>
        <w:rPr>
          <w:rFonts w:cs="Times New Roman"/>
          <w:b w:val="0"/>
          <w:bCs w:val="0"/>
          <w:szCs w:val="32"/>
        </w:rPr>
        <w:t>区重大项目中心：</w:t>
      </w:r>
      <w:r>
        <w:rPr>
          <w:rFonts w:cs="Times New Roman"/>
          <w:szCs w:val="32"/>
        </w:rPr>
        <w:t>根据试点项目需要，协调相关部门加快手续办理，提供全程代办服务。</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区金融办：</w:t>
      </w:r>
      <w:r>
        <w:rPr>
          <w:rFonts w:cs="Times New Roman"/>
          <w:szCs w:val="32"/>
        </w:rPr>
        <w:t>负责研究制定融资指导意见；根据试点项目融资需求，协调金融机构支持集体产业项目融资。</w:t>
      </w:r>
    </w:p>
    <w:p>
      <w:pPr>
        <w:keepNext w:val="0"/>
        <w:keepLines w:val="0"/>
        <w:pageBreakBefore w:val="0"/>
        <w:widowControl w:val="0"/>
        <w:kinsoku/>
        <w:wordWrap/>
        <w:overflowPunct/>
        <w:topLinePunct w:val="0"/>
        <w:bidi w:val="0"/>
        <w:snapToGrid w:val="0"/>
        <w:spacing w:after="0" w:line="600" w:lineRule="exact"/>
        <w:ind w:firstLine="643"/>
        <w:jc w:val="both"/>
        <w:textAlignment w:val="auto"/>
        <w:rPr>
          <w:rFonts w:cs="Times New Roman"/>
          <w:szCs w:val="32"/>
        </w:rPr>
      </w:pPr>
      <w:r>
        <w:rPr>
          <w:rFonts w:cs="Times New Roman"/>
          <w:b w:val="0"/>
          <w:bCs w:val="0"/>
          <w:szCs w:val="32"/>
        </w:rPr>
        <w:t>区税务局：</w:t>
      </w:r>
      <w:r>
        <w:rPr>
          <w:rFonts w:cs="Times New Roman"/>
          <w:szCs w:val="32"/>
        </w:rPr>
        <w:t>负责提供集体经营性建设用地入市的相关税收政策支持。</w:t>
      </w:r>
    </w:p>
    <w:p>
      <w:pPr>
        <w:pStyle w:val="32"/>
        <w:keepNext w:val="0"/>
        <w:keepLines w:val="0"/>
        <w:pageBreakBefore w:val="0"/>
        <w:widowControl w:val="0"/>
        <w:kinsoku/>
        <w:wordWrap/>
        <w:overflowPunct/>
        <w:topLinePunct w:val="0"/>
        <w:bidi w:val="0"/>
        <w:snapToGrid w:val="0"/>
        <w:spacing w:after="0" w:line="600" w:lineRule="exact"/>
        <w:ind w:firstLine="643"/>
        <w:textAlignment w:val="auto"/>
        <w:rPr>
          <w:rFonts w:cs="Times New Roman"/>
          <w:szCs w:val="32"/>
        </w:rPr>
      </w:pPr>
      <w:r>
        <w:rPr>
          <w:rFonts w:cs="Times New Roman"/>
          <w:b w:val="0"/>
          <w:bCs w:val="0"/>
          <w:szCs w:val="32"/>
        </w:rPr>
        <w:t>相关乡镇政府：</w:t>
      </w:r>
      <w:r>
        <w:rPr>
          <w:rFonts w:cs="Times New Roman"/>
          <w:szCs w:val="32"/>
        </w:rPr>
        <w:t>组织和指导土地所有权人、联营公司具体做好试点项目的实施工作；对项目入市方案进行初审并出具书面意见。</w:t>
      </w:r>
    </w:p>
    <w:p>
      <w:pPr>
        <w:pStyle w:val="14"/>
        <w:keepNext w:val="0"/>
        <w:keepLines w:val="0"/>
        <w:pageBreakBefore w:val="0"/>
        <w:widowControl w:val="0"/>
        <w:numPr>
          <w:ilvl w:val="0"/>
          <w:numId w:val="2"/>
        </w:numPr>
        <w:kinsoku/>
        <w:wordWrap/>
        <w:overflowPunct/>
        <w:topLinePunct w:val="0"/>
        <w:bidi w:val="0"/>
        <w:spacing w:after="0" w:line="600" w:lineRule="exact"/>
        <w:ind w:leftChars="200" w:firstLine="0" w:firstLineChars="0"/>
        <w:textAlignment w:val="auto"/>
        <w:rPr>
          <w:rFonts w:hint="eastAsia" w:ascii="楷体_GB2312" w:hAnsi="楷体_GB2312" w:eastAsia="楷体_GB2312" w:cs="楷体_GB2312"/>
          <w:lang w:val="en" w:eastAsia="zh-CN"/>
        </w:rPr>
      </w:pPr>
      <w:r>
        <w:rPr>
          <w:rFonts w:hint="eastAsia" w:ascii="楷体_GB2312" w:hAnsi="楷体_GB2312" w:eastAsia="楷体_GB2312" w:cs="楷体_GB2312"/>
          <w:lang w:val="en" w:eastAsia="zh-CN"/>
        </w:rPr>
        <w:t>其他事项</w:t>
      </w:r>
    </w:p>
    <w:p>
      <w:pPr>
        <w:pStyle w:val="32"/>
        <w:keepNext w:val="0"/>
        <w:keepLines w:val="0"/>
        <w:pageBreakBefore w:val="0"/>
        <w:widowControl w:val="0"/>
        <w:kinsoku/>
        <w:wordWrap/>
        <w:overflowPunct/>
        <w:topLinePunct w:val="0"/>
        <w:bidi w:val="0"/>
        <w:snapToGrid w:val="0"/>
        <w:spacing w:after="0" w:line="580" w:lineRule="exact"/>
        <w:ind w:firstLine="640" w:firstLineChars="200"/>
        <w:textAlignment w:val="auto"/>
        <w:rPr>
          <w:rFonts w:hint="eastAsia" w:ascii="黑体" w:hAnsi="黑体" w:eastAsia="仿宋_GB2312" w:cs="黑体"/>
          <w:lang w:val="en" w:eastAsia="zh-CN"/>
        </w:rPr>
      </w:pPr>
      <w:r>
        <w:rPr>
          <w:rFonts w:hint="eastAsia" w:cs="Times New Roman"/>
        </w:rPr>
        <w:t>专班</w:t>
      </w:r>
      <w:r>
        <w:rPr>
          <w:rFonts w:cs="Times New Roman"/>
        </w:rPr>
        <w:t>各成员单位要按照职责分工，积极稳妥开展入市试点有关重大问题研究，认真落实</w:t>
      </w:r>
      <w:r>
        <w:rPr>
          <w:rFonts w:hint="eastAsia" w:cs="Times New Roman"/>
        </w:rPr>
        <w:t>专班</w:t>
      </w:r>
      <w:r>
        <w:rPr>
          <w:rFonts w:cs="Times New Roman"/>
        </w:rPr>
        <w:t>部署的相关工作和议定事项，推动各项政策措施的制定和实施</w:t>
      </w:r>
      <w:r>
        <w:rPr>
          <w:rFonts w:hint="eastAsia" w:cs="Times New Roman"/>
          <w:lang w:eastAsia="zh-CN"/>
        </w:rPr>
        <w:t>；</w:t>
      </w:r>
      <w:r>
        <w:rPr>
          <w:rFonts w:cs="Times New Roman"/>
        </w:rPr>
        <w:t>各成员单位拟定的入市试点相关政策，应及时向办公室报告，重大政策应报请</w:t>
      </w:r>
      <w:r>
        <w:rPr>
          <w:rFonts w:hint="eastAsia" w:cs="Times New Roman"/>
        </w:rPr>
        <w:t>专班</w:t>
      </w:r>
      <w:r>
        <w:rPr>
          <w:rFonts w:cs="Times New Roman"/>
        </w:rPr>
        <w:t>会议讨论决定</w:t>
      </w:r>
      <w:r>
        <w:rPr>
          <w:rFonts w:hint="eastAsia" w:cs="Times New Roman"/>
          <w:lang w:eastAsia="zh-CN"/>
        </w:rPr>
        <w:t>；</w:t>
      </w:r>
      <w:r>
        <w:rPr>
          <w:rFonts w:cs="Times New Roman"/>
        </w:rPr>
        <w:t>各成员单位应及时报告重要工作任务落实情况、主要经验、存在问题及应对措施，由办公室汇总后上报</w:t>
      </w:r>
      <w:r>
        <w:rPr>
          <w:rFonts w:hint="eastAsia" w:cs="Times New Roman"/>
        </w:rPr>
        <w:t>专班</w:t>
      </w:r>
      <w:r>
        <w:rPr>
          <w:rFonts w:hint="eastAsia" w:cs="Times New Roman"/>
          <w:lang w:eastAsia="zh-CN"/>
        </w:rPr>
        <w:t>。</w:t>
      </w:r>
    </w:p>
    <w:p>
      <w:pPr>
        <w:pStyle w:val="8"/>
        <w:keepNext w:val="0"/>
        <w:keepLines w:val="0"/>
        <w:pageBreakBefore w:val="0"/>
        <w:widowControl w:val="0"/>
        <w:kinsoku/>
        <w:wordWrap/>
        <w:overflowPunct/>
        <w:topLinePunct w:val="0"/>
        <w:bidi w:val="0"/>
        <w:spacing w:after="0" w:line="580" w:lineRule="exact"/>
        <w:ind w:firstLine="640"/>
        <w:textAlignment w:val="auto"/>
        <w:rPr>
          <w:rFonts w:eastAsia="黑体" w:cs="Times New Roman"/>
          <w:szCs w:val="24"/>
        </w:rPr>
      </w:pPr>
      <w:r>
        <w:rPr>
          <w:rFonts w:hint="eastAsia" w:eastAsia="黑体" w:cs="Times New Roman"/>
          <w:szCs w:val="24"/>
          <w:lang w:eastAsia="zh-CN"/>
        </w:rPr>
        <w:t>四</w:t>
      </w:r>
      <w:r>
        <w:rPr>
          <w:rFonts w:eastAsia="黑体" w:cs="Times New Roman"/>
          <w:szCs w:val="24"/>
        </w:rPr>
        <w:t>、实施步骤</w:t>
      </w:r>
    </w:p>
    <w:p>
      <w:pPr>
        <w:pStyle w:val="26"/>
        <w:keepNext w:val="0"/>
        <w:keepLines w:val="0"/>
        <w:pageBreakBefore w:val="0"/>
        <w:widowControl w:val="0"/>
        <w:shd w:val="clear" w:color="auto" w:fill="auto"/>
        <w:kinsoku/>
        <w:wordWrap/>
        <w:overflowPunct/>
        <w:topLinePunct w:val="0"/>
        <w:bidi w:val="0"/>
        <w:snapToGrid w:val="0"/>
        <w:spacing w:after="0" w:line="580" w:lineRule="exact"/>
        <w:ind w:firstLine="640" w:firstLineChars="200"/>
        <w:jc w:val="both"/>
        <w:textAlignment w:val="auto"/>
        <w:rPr>
          <w:rFonts w:hint="eastAsia" w:ascii="仿宋_GB2312" w:hAnsi="仿宋_GB2312" w:eastAsia="仿宋_GB2312" w:cs="仿宋_GB2312"/>
          <w:sz w:val="32"/>
          <w:szCs w:val="32"/>
        </w:rPr>
      </w:pPr>
      <w:r>
        <w:rPr>
          <w:rFonts w:ascii="Times New Roman" w:hAnsi="Times New Roman" w:eastAsia="仿宋_GB2312" w:cs="Times New Roman"/>
          <w:sz w:val="32"/>
          <w:szCs w:val="32"/>
        </w:rPr>
        <w:t>试点工作为期两年，</w:t>
      </w:r>
      <w:r>
        <w:rPr>
          <w:rFonts w:hint="eastAsia" w:ascii="仿宋_GB2312" w:hAnsi="仿宋_GB2312" w:eastAsia="仿宋_GB2312" w:cs="仿宋_GB2312"/>
          <w:sz w:val="32"/>
          <w:szCs w:val="32"/>
        </w:rPr>
        <w:t>2023年启动，2024年底结束。总体分为准备部署、完善政策、深化实施、试点总结四个阶段。</w:t>
      </w:r>
    </w:p>
    <w:p>
      <w:pPr>
        <w:pStyle w:val="30"/>
        <w:keepNext w:val="0"/>
        <w:keepLines w:val="0"/>
        <w:pageBreakBefore w:val="0"/>
        <w:widowControl w:val="0"/>
        <w:kinsoku/>
        <w:wordWrap/>
        <w:overflowPunct/>
        <w:topLinePunct w:val="0"/>
        <w:bidi w:val="0"/>
        <w:snapToGrid w:val="0"/>
        <w:spacing w:after="0" w:line="58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（一）准备部署阶段（2023年3月</w:t>
      </w:r>
      <w:r>
        <w:rPr>
          <w:rFonts w:hint="eastAsia" w:ascii="宋体" w:hAnsi="宋体" w:eastAsia="宋体" w:cs="宋体"/>
          <w:sz w:val="32"/>
          <w:szCs w:val="32"/>
          <w:lang w:eastAsia="zh-CN"/>
        </w:rPr>
        <w:t>－</w:t>
      </w:r>
      <w:r>
        <w:rPr>
          <w:rFonts w:hint="eastAsia" w:ascii="楷体_GB2312" w:hAnsi="楷体_GB2312" w:eastAsia="楷体_GB2312" w:cs="楷体_GB2312"/>
          <w:sz w:val="32"/>
          <w:szCs w:val="32"/>
        </w:rPr>
        <w:t>2023年8月）</w:t>
      </w:r>
    </w:p>
    <w:p>
      <w:pPr>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textAlignment w:val="auto"/>
        <w:rPr>
          <w:rFonts w:cs="Times New Roman"/>
          <w:szCs w:val="32"/>
        </w:rPr>
      </w:pPr>
      <w:r>
        <w:rPr>
          <w:rFonts w:cs="Times New Roman"/>
          <w:szCs w:val="32"/>
          <w:lang w:val="zh-CN"/>
        </w:rPr>
        <w:t>成立通州区集体经营性建设用地入市试点工作</w:t>
      </w:r>
      <w:r>
        <w:rPr>
          <w:rFonts w:hint="eastAsia" w:cs="Times New Roman"/>
          <w:szCs w:val="32"/>
        </w:rPr>
        <w:t>专班</w:t>
      </w:r>
      <w:r>
        <w:rPr>
          <w:rFonts w:cs="Times New Roman"/>
          <w:szCs w:val="32"/>
          <w:lang w:val="zh-CN"/>
        </w:rPr>
        <w:t>。召开试点工作部署会，传达上级开展试点的工作要求和任务。明确部门责任分工，在组织、人员、经费、工作等方面建立保障措施；开展试点前期调研，摸清</w:t>
      </w:r>
      <w:r>
        <w:rPr>
          <w:rFonts w:cs="Times New Roman"/>
          <w:szCs w:val="32"/>
        </w:rPr>
        <w:t>集体</w:t>
      </w:r>
      <w:r>
        <w:rPr>
          <w:rFonts w:cs="Times New Roman"/>
          <w:szCs w:val="32"/>
          <w:lang w:val="zh-CN"/>
        </w:rPr>
        <w:t>土地利用管理现状、存在的问题、各职能部门的管理职能分工情况等，为试点实施</w:t>
      </w:r>
      <w:r>
        <w:rPr>
          <w:rFonts w:cs="Times New Roman"/>
          <w:szCs w:val="32"/>
        </w:rPr>
        <w:t>政策</w:t>
      </w:r>
      <w:r>
        <w:rPr>
          <w:rFonts w:cs="Times New Roman"/>
          <w:szCs w:val="32"/>
          <w:lang w:val="zh-CN"/>
        </w:rPr>
        <w:t>的制定和下一步工作的开展夯实基础。</w:t>
      </w:r>
    </w:p>
    <w:p>
      <w:pPr>
        <w:pStyle w:val="30"/>
        <w:keepNext w:val="0"/>
        <w:keepLines w:val="0"/>
        <w:pageBreakBefore w:val="0"/>
        <w:widowControl w:val="0"/>
        <w:kinsoku/>
        <w:wordWrap/>
        <w:overflowPunct/>
        <w:topLinePunct w:val="0"/>
        <w:bidi w:val="0"/>
        <w:snapToGrid w:val="0"/>
        <w:spacing w:after="0" w:line="58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（二）完善政策阶段（2023年8月</w:t>
      </w:r>
      <w:r>
        <w:rPr>
          <w:rFonts w:hint="eastAsia" w:ascii="宋体" w:hAnsi="宋体" w:eastAsia="宋体" w:cs="宋体"/>
          <w:sz w:val="32"/>
          <w:szCs w:val="32"/>
          <w:lang w:eastAsia="zh-CN"/>
        </w:rPr>
        <w:t>－</w:t>
      </w:r>
      <w:r>
        <w:rPr>
          <w:rFonts w:hint="eastAsia" w:ascii="楷体_GB2312" w:hAnsi="楷体_GB2312" w:eastAsia="楷体_GB2312" w:cs="楷体_GB2312"/>
          <w:sz w:val="32"/>
        </w:rPr>
        <w:t>2023年10月）</w:t>
      </w:r>
    </w:p>
    <w:p>
      <w:pPr>
        <w:pStyle w:val="26"/>
        <w:keepNext w:val="0"/>
        <w:keepLines w:val="0"/>
        <w:pageBreakBefore w:val="0"/>
        <w:widowControl w:val="0"/>
        <w:shd w:val="clear" w:color="auto" w:fill="auto"/>
        <w:kinsoku/>
        <w:wordWrap/>
        <w:overflowPunct/>
        <w:topLinePunct w:val="0"/>
        <w:bidi w:val="0"/>
        <w:snapToGrid w:val="0"/>
        <w:spacing w:after="0" w:line="580" w:lineRule="exact"/>
        <w:ind w:firstLine="640" w:firstLineChars="200"/>
        <w:jc w:val="both"/>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制定和完善试点工作计划，细化实施路径，明确目标、细化任务；从政策制度、管理机制、技术操作等层面完善试点配套政策文件，确保试点工作规范有序、风险可控；审慎稳妥推进集体经营性建设用地入市工作。</w:t>
      </w:r>
    </w:p>
    <w:p>
      <w:pPr>
        <w:pStyle w:val="30"/>
        <w:keepNext w:val="0"/>
        <w:keepLines w:val="0"/>
        <w:pageBreakBefore w:val="0"/>
        <w:widowControl w:val="0"/>
        <w:kinsoku/>
        <w:wordWrap/>
        <w:overflowPunct/>
        <w:topLinePunct w:val="0"/>
        <w:bidi w:val="0"/>
        <w:snapToGrid w:val="0"/>
        <w:spacing w:after="0" w:line="580" w:lineRule="exact"/>
        <w:ind w:firstLine="640" w:firstLineChars="200"/>
        <w:textAlignment w:val="auto"/>
        <w:rPr>
          <w:rFonts w:hint="eastAsia" w:ascii="楷体_GB2312" w:hAnsi="楷体_GB2312" w:eastAsia="楷体_GB2312" w:cs="楷体_GB2312"/>
          <w:sz w:val="32"/>
        </w:rPr>
      </w:pPr>
      <w:r>
        <w:rPr>
          <w:rFonts w:hint="eastAsia" w:ascii="楷体_GB2312" w:hAnsi="楷体_GB2312" w:eastAsia="楷体_GB2312" w:cs="楷体_GB2312"/>
          <w:sz w:val="32"/>
        </w:rPr>
        <w:t>（三）深化实施阶段（2023年9月</w:t>
      </w:r>
      <w:r>
        <w:rPr>
          <w:rFonts w:hint="eastAsia" w:ascii="宋体" w:hAnsi="宋体" w:eastAsia="宋体" w:cs="宋体"/>
          <w:sz w:val="32"/>
          <w:szCs w:val="32"/>
          <w:lang w:eastAsia="zh-CN"/>
        </w:rPr>
        <w:t>－</w:t>
      </w:r>
      <w:r>
        <w:rPr>
          <w:rFonts w:hint="eastAsia" w:ascii="楷体_GB2312" w:hAnsi="楷体_GB2312" w:eastAsia="楷体_GB2312" w:cs="楷体_GB2312"/>
          <w:sz w:val="32"/>
        </w:rPr>
        <w:t>2024年12月）</w:t>
      </w:r>
    </w:p>
    <w:p>
      <w:pPr>
        <w:pStyle w:val="26"/>
        <w:keepNext w:val="0"/>
        <w:keepLines w:val="0"/>
        <w:pageBreakBefore w:val="0"/>
        <w:widowControl w:val="0"/>
        <w:shd w:val="clear" w:color="auto" w:fill="auto"/>
        <w:tabs>
          <w:tab w:val="left" w:pos="950"/>
        </w:tabs>
        <w:kinsoku/>
        <w:wordWrap/>
        <w:overflowPunct/>
        <w:topLinePunct w:val="0"/>
        <w:bidi w:val="0"/>
        <w:snapToGrid w:val="0"/>
        <w:spacing w:after="0" w:line="580" w:lineRule="exact"/>
        <w:ind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按照年度供地计划，稳妥推进集体建设用地入市具体工作，</w:t>
      </w:r>
      <w:r>
        <w:rPr>
          <w:rFonts w:ascii="Times New Roman" w:hAnsi="Times New Roman" w:eastAsia="仿宋_GB2312" w:cs="Times New Roman"/>
          <w:sz w:val="32"/>
          <w:szCs w:val="32"/>
          <w:lang w:val="zh-CN"/>
        </w:rPr>
        <w:t>探索多种形式供地方式及收益分配机制，研究集体经营性建设用地入市与集体土地征收成片开发协同机制。</w:t>
      </w:r>
    </w:p>
    <w:p>
      <w:pPr>
        <w:pStyle w:val="30"/>
        <w:keepNext w:val="0"/>
        <w:keepLines w:val="0"/>
        <w:pageBreakBefore w:val="0"/>
        <w:widowControl w:val="0"/>
        <w:kinsoku/>
        <w:wordWrap/>
        <w:overflowPunct/>
        <w:topLinePunct w:val="0"/>
        <w:bidi w:val="0"/>
        <w:snapToGrid w:val="0"/>
        <w:spacing w:after="0" w:line="580" w:lineRule="exact"/>
        <w:ind w:firstLine="640" w:firstLineChars="200"/>
        <w:textAlignment w:val="auto"/>
        <w:rPr>
          <w:rFonts w:hint="eastAsia" w:ascii="仿宋_GB2312" w:hAnsi="仿宋_GB2312" w:eastAsia="仿宋_GB2312" w:cs="仿宋_GB2312"/>
          <w:sz w:val="32"/>
        </w:rPr>
      </w:pPr>
      <w:r>
        <w:rPr>
          <w:rFonts w:eastAsia="楷体_GB2312"/>
          <w:sz w:val="32"/>
        </w:rPr>
        <w:t>（四）试点总结阶段</w:t>
      </w:r>
      <w:r>
        <w:rPr>
          <w:rFonts w:hint="eastAsia" w:ascii="楷体_GB2312" w:hAnsi="楷体_GB2312" w:eastAsia="楷体_GB2312" w:cs="楷体_GB2312"/>
          <w:sz w:val="32"/>
        </w:rPr>
        <w:t>（2024年10月</w:t>
      </w:r>
      <w:r>
        <w:rPr>
          <w:rFonts w:hint="eastAsia" w:ascii="宋体" w:hAnsi="宋体" w:eastAsia="宋体" w:cs="宋体"/>
          <w:sz w:val="32"/>
          <w:szCs w:val="32"/>
          <w:lang w:eastAsia="zh-CN"/>
        </w:rPr>
        <w:t>－</w:t>
      </w:r>
      <w:r>
        <w:rPr>
          <w:rFonts w:hint="eastAsia" w:ascii="楷体_GB2312" w:hAnsi="楷体_GB2312" w:eastAsia="楷体_GB2312" w:cs="楷体_GB2312"/>
          <w:sz w:val="32"/>
        </w:rPr>
        <w:t>2024年12月）</w:t>
      </w:r>
    </w:p>
    <w:p>
      <w:pPr>
        <w:pStyle w:val="26"/>
        <w:keepNext w:val="0"/>
        <w:keepLines w:val="0"/>
        <w:pageBreakBefore w:val="0"/>
        <w:widowControl w:val="0"/>
        <w:shd w:val="clear" w:color="auto" w:fill="auto"/>
        <w:kinsoku/>
        <w:wordWrap/>
        <w:overflowPunct/>
        <w:topLinePunct w:val="0"/>
        <w:bidi w:val="0"/>
        <w:snapToGrid w:val="0"/>
        <w:spacing w:after="0" w:line="580" w:lineRule="exact"/>
        <w:ind w:firstLine="640" w:firstLineChars="200"/>
        <w:jc w:val="both"/>
        <w:textAlignment w:val="auto"/>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总结符合通州区实际的集体经营性建设用地入市试点典型经验和做法，形成通州区入市试点工作报告，报市入市协调机制办公室，并做好验收工作，接受上级对试点工作的考核验收。</w:t>
      </w:r>
    </w:p>
    <w:p>
      <w:pPr>
        <w:pStyle w:val="8"/>
        <w:keepNext w:val="0"/>
        <w:keepLines w:val="0"/>
        <w:pageBreakBefore w:val="0"/>
        <w:widowControl w:val="0"/>
        <w:kinsoku/>
        <w:wordWrap/>
        <w:overflowPunct/>
        <w:topLinePunct w:val="0"/>
        <w:bidi w:val="0"/>
        <w:spacing w:after="0" w:line="580" w:lineRule="exact"/>
        <w:ind w:firstLine="640"/>
        <w:textAlignment w:val="auto"/>
        <w:rPr>
          <w:rFonts w:eastAsia="黑体" w:cs="Times New Roman"/>
          <w:szCs w:val="24"/>
        </w:rPr>
      </w:pPr>
      <w:r>
        <w:rPr>
          <w:rFonts w:hint="eastAsia" w:eastAsia="黑体" w:cs="Times New Roman"/>
          <w:szCs w:val="24"/>
          <w:lang w:eastAsia="zh-CN"/>
        </w:rPr>
        <w:t>五</w:t>
      </w:r>
      <w:r>
        <w:rPr>
          <w:rFonts w:eastAsia="黑体" w:cs="Times New Roman"/>
          <w:szCs w:val="24"/>
        </w:rPr>
        <w:t>、保障措施</w:t>
      </w:r>
    </w:p>
    <w:p>
      <w:pPr>
        <w:pStyle w:val="30"/>
        <w:keepNext w:val="0"/>
        <w:keepLines w:val="0"/>
        <w:pageBreakBefore w:val="0"/>
        <w:widowControl w:val="0"/>
        <w:kinsoku/>
        <w:wordWrap/>
        <w:overflowPunct/>
        <w:topLinePunct w:val="0"/>
        <w:autoSpaceDE w:val="0"/>
        <w:autoSpaceDN w:val="0"/>
        <w:bidi w:val="0"/>
        <w:adjustRightInd w:val="0"/>
        <w:snapToGrid w:val="0"/>
        <w:spacing w:after="0" w:line="580" w:lineRule="exact"/>
        <w:ind w:firstLine="640" w:firstLineChars="200"/>
        <w:textAlignment w:val="auto"/>
        <w:rPr>
          <w:rFonts w:eastAsia="楷体_GB2312"/>
          <w:sz w:val="32"/>
          <w:lang w:val="zh-CN"/>
        </w:rPr>
      </w:pPr>
      <w:r>
        <w:rPr>
          <w:rFonts w:eastAsia="楷体_GB2312"/>
          <w:sz w:val="32"/>
          <w:lang w:val="zh-CN"/>
        </w:rPr>
        <w:t>（</w:t>
      </w:r>
      <w:r>
        <w:rPr>
          <w:rFonts w:hint="eastAsia" w:eastAsia="楷体_GB2312"/>
          <w:sz w:val="32"/>
          <w:lang w:val="zh-CN"/>
        </w:rPr>
        <w:t>一</w:t>
      </w:r>
      <w:r>
        <w:rPr>
          <w:rFonts w:eastAsia="楷体_GB2312"/>
          <w:sz w:val="32"/>
          <w:lang w:val="zh-CN"/>
        </w:rPr>
        <w:t>）加强宣传引导</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640"/>
        <w:textAlignment w:val="auto"/>
        <w:rPr>
          <w:rFonts w:cs="Times New Roman"/>
          <w:szCs w:val="32"/>
          <w:lang w:val="zh-CN"/>
        </w:rPr>
      </w:pPr>
      <w:r>
        <w:rPr>
          <w:rFonts w:cs="Times New Roman"/>
          <w:szCs w:val="32"/>
          <w:lang w:val="zh-CN"/>
        </w:rPr>
        <w:t>加强对试点典型案例、试点成效的总结推广，及时宣传报道试点工作中的新举措、新成效、新亮点</w:t>
      </w:r>
      <w:r>
        <w:rPr>
          <w:rFonts w:hint="eastAsia" w:cs="Times New Roman"/>
          <w:szCs w:val="32"/>
          <w:lang w:val="zh-CN"/>
        </w:rPr>
        <w:t>，</w:t>
      </w:r>
      <w:r>
        <w:rPr>
          <w:rFonts w:cs="Times New Roman"/>
          <w:szCs w:val="32"/>
          <w:lang w:val="zh-CN"/>
        </w:rPr>
        <w:t>为深化入市试点工作营造良好舆论环境和社会氛围。进一步健全信息发布制度，充分调动农村集体经济组织和市场主体参与入市试点工作的积极性，提高社会各界的参与感和获得感，促进农村集体经营性建设用地市场的培育和发展。</w:t>
      </w:r>
    </w:p>
    <w:p>
      <w:pPr>
        <w:pStyle w:val="30"/>
        <w:keepNext w:val="0"/>
        <w:keepLines w:val="0"/>
        <w:pageBreakBefore w:val="0"/>
        <w:widowControl w:val="0"/>
        <w:kinsoku/>
        <w:wordWrap/>
        <w:overflowPunct/>
        <w:topLinePunct w:val="0"/>
        <w:bidi w:val="0"/>
        <w:snapToGrid w:val="0"/>
        <w:spacing w:after="0" w:line="600" w:lineRule="exact"/>
        <w:ind w:firstLine="640" w:firstLineChars="200"/>
        <w:textAlignment w:val="auto"/>
        <w:rPr>
          <w:rFonts w:eastAsia="楷体_GB2312"/>
          <w:sz w:val="32"/>
        </w:rPr>
      </w:pPr>
      <w:r>
        <w:rPr>
          <w:rFonts w:eastAsia="楷体_GB2312"/>
          <w:sz w:val="32"/>
        </w:rPr>
        <w:t>（</w:t>
      </w:r>
      <w:r>
        <w:rPr>
          <w:rFonts w:hint="eastAsia" w:eastAsia="楷体_GB2312"/>
          <w:sz w:val="32"/>
          <w:lang w:eastAsia="zh-CN"/>
        </w:rPr>
        <w:t>二</w:t>
      </w:r>
      <w:r>
        <w:rPr>
          <w:rFonts w:eastAsia="楷体_GB2312"/>
          <w:sz w:val="32"/>
        </w:rPr>
        <w:t>）加强监督管理</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640"/>
        <w:textAlignment w:val="auto"/>
        <w:rPr>
          <w:rFonts w:cs="Times New Roman"/>
          <w:szCs w:val="32"/>
          <w:lang w:val="zh-CN"/>
        </w:rPr>
      </w:pPr>
      <w:r>
        <w:rPr>
          <w:rFonts w:cs="Times New Roman"/>
          <w:szCs w:val="32"/>
          <w:lang w:val="zh-CN"/>
        </w:rPr>
        <w:t>关于落地项目的后期监管，由各乡镇政府牵头，相关部门配合，对集体经营性建设用地利用分阶段进行全周期监管。重点监管成交价款缴纳情况、出让合同履约情况、工程建设及竣工验收情况、准入条件落实及发展情况、运营期各项财务指标和税收状况、土地收益金存储使用等。土地使用权到期后，达到协议约定要求和条件的可以优先续约。土地使用权的退出参照国有土地使用权出让合同退出条件执行。</w:t>
      </w:r>
    </w:p>
    <w:p>
      <w:pPr>
        <w:keepNext w:val="0"/>
        <w:keepLines w:val="0"/>
        <w:pageBreakBefore w:val="0"/>
        <w:widowControl w:val="0"/>
        <w:kinsoku/>
        <w:wordWrap/>
        <w:overflowPunct/>
        <w:topLinePunct w:val="0"/>
        <w:autoSpaceDE w:val="0"/>
        <w:autoSpaceDN w:val="0"/>
        <w:bidi w:val="0"/>
        <w:adjustRightInd w:val="0"/>
        <w:snapToGrid w:val="0"/>
        <w:spacing w:after="0" w:line="600" w:lineRule="exact"/>
        <w:ind w:firstLine="0" w:firstLineChars="0"/>
        <w:textAlignment w:val="auto"/>
        <w:rPr>
          <w:rFonts w:cs="Times New Roman"/>
          <w:szCs w:val="32"/>
          <w:lang w:val="zh-CN"/>
        </w:rPr>
      </w:pPr>
    </w:p>
    <w:p>
      <w:pPr>
        <w:pStyle w:val="14"/>
        <w:keepNext w:val="0"/>
        <w:keepLines w:val="0"/>
        <w:pageBreakBefore w:val="0"/>
        <w:widowControl w:val="0"/>
        <w:kinsoku/>
        <w:wordWrap/>
        <w:overflowPunct/>
        <w:topLinePunct w:val="0"/>
        <w:bidi w:val="0"/>
        <w:spacing w:after="0" w:line="600" w:lineRule="exact"/>
        <w:ind w:left="320" w:leftChars="100" w:firstLine="320" w:firstLineChars="100"/>
        <w:jc w:val="left"/>
        <w:textAlignment w:val="auto"/>
        <w:rPr>
          <w:rFonts w:cs="Times New Roman"/>
          <w:lang w:val="zh-CN"/>
        </w:rPr>
      </w:pPr>
      <w:r>
        <w:rPr>
          <w:rFonts w:cs="Times New Roman"/>
          <w:lang w:val="zh-CN"/>
        </w:rPr>
        <w:t>附件：通州区集体经营性建设用地入市审核管理程序</w:t>
      </w:r>
    </w:p>
    <w:p>
      <w:pPr>
        <w:keepNext w:val="0"/>
        <w:keepLines w:val="0"/>
        <w:pageBreakBefore w:val="0"/>
        <w:widowControl w:val="0"/>
        <w:kinsoku/>
        <w:wordWrap/>
        <w:overflowPunct/>
        <w:topLinePunct w:val="0"/>
        <w:autoSpaceDE/>
        <w:autoSpaceDN/>
        <w:bidi w:val="0"/>
        <w:adjustRightInd/>
        <w:snapToGrid w:val="0"/>
        <w:spacing w:after="0" w:line="600" w:lineRule="exact"/>
        <w:ind w:firstLine="0" w:firstLineChars="0"/>
        <w:jc w:val="both"/>
        <w:textAlignment w:val="auto"/>
        <w:outlineLvl w:val="2"/>
        <w:rPr>
          <w:rFonts w:hint="eastAsia" w:ascii="黑体" w:hAnsi="黑体" w:eastAsia="黑体" w:cs="黑体"/>
          <w:bCs/>
          <w:sz w:val="32"/>
          <w:szCs w:val="32"/>
        </w:rPr>
      </w:pPr>
      <w:r>
        <w:rPr>
          <w:rFonts w:hint="eastAsia" w:ascii="黑体" w:hAnsi="黑体" w:eastAsia="黑体" w:cs="黑体"/>
          <w:bCs/>
          <w:sz w:val="32"/>
          <w:szCs w:val="32"/>
        </w:rPr>
        <w:t>附件</w:t>
      </w:r>
    </w:p>
    <w:p>
      <w:pPr>
        <w:keepNext w:val="0"/>
        <w:keepLines w:val="0"/>
        <w:pageBreakBefore w:val="0"/>
        <w:widowControl w:val="0"/>
        <w:kinsoku/>
        <w:wordWrap/>
        <w:overflowPunct/>
        <w:topLinePunct w:val="0"/>
        <w:autoSpaceDE/>
        <w:autoSpaceDN/>
        <w:bidi w:val="0"/>
        <w:adjustRightInd/>
        <w:snapToGrid w:val="0"/>
        <w:spacing w:after="0" w:line="600" w:lineRule="exact"/>
        <w:ind w:firstLine="0" w:firstLineChars="0"/>
        <w:jc w:val="center"/>
        <w:textAlignment w:val="auto"/>
        <w:outlineLvl w:val="2"/>
        <w:rPr>
          <w:rFonts w:eastAsia="方正小标宋简体" w:cs="Times New Roman"/>
          <w:bCs/>
          <w:sz w:val="44"/>
        </w:rPr>
      </w:pPr>
    </w:p>
    <w:p>
      <w:pPr>
        <w:keepNext w:val="0"/>
        <w:keepLines w:val="0"/>
        <w:pageBreakBefore w:val="0"/>
        <w:widowControl w:val="0"/>
        <w:kinsoku/>
        <w:wordWrap/>
        <w:overflowPunct/>
        <w:topLinePunct w:val="0"/>
        <w:autoSpaceDE/>
        <w:autoSpaceDN/>
        <w:bidi w:val="0"/>
        <w:adjustRightInd/>
        <w:snapToGrid w:val="0"/>
        <w:spacing w:after="0" w:line="600" w:lineRule="exact"/>
        <w:ind w:firstLine="0" w:firstLineChars="0"/>
        <w:jc w:val="center"/>
        <w:textAlignment w:val="auto"/>
        <w:outlineLvl w:val="2"/>
        <w:rPr>
          <w:rFonts w:eastAsia="方正小标宋简体" w:cs="Times New Roman"/>
          <w:bCs/>
          <w:sz w:val="44"/>
        </w:rPr>
      </w:pPr>
      <w:r>
        <w:rPr>
          <w:rFonts w:eastAsia="方正小标宋简体" w:cs="Times New Roman"/>
          <w:bCs/>
          <w:sz w:val="44"/>
        </w:rPr>
        <w:t>通州区集体经营性建设用地入市审核管理程序</w:t>
      </w:r>
    </w:p>
    <w:p>
      <w:pPr>
        <w:keepNext w:val="0"/>
        <w:keepLines w:val="0"/>
        <w:pageBreakBefore w:val="0"/>
        <w:widowControl w:val="0"/>
        <w:kinsoku/>
        <w:wordWrap/>
        <w:overflowPunct/>
        <w:topLinePunct w:val="0"/>
        <w:autoSpaceDE/>
        <w:autoSpaceDN/>
        <w:bidi w:val="0"/>
        <w:adjustRightInd/>
        <w:snapToGrid w:val="0"/>
        <w:spacing w:after="0" w:line="600" w:lineRule="exact"/>
        <w:ind w:firstLine="600"/>
        <w:jc w:val="center"/>
        <w:textAlignment w:val="auto"/>
        <w:rPr>
          <w:rFonts w:cs="Times New Roman"/>
          <w:b/>
        </w:rPr>
      </w:pPr>
      <w:r>
        <w:rPr>
          <w:rFonts w:cs="Times New Roman"/>
          <w:sz w:val="30"/>
        </w:rPr>
        <w:t xml:space="preserve"> </w:t>
      </w:r>
    </w:p>
    <w:p>
      <w:pPr>
        <w:keepNext w:val="0"/>
        <w:keepLines w:val="0"/>
        <w:pageBreakBefore w:val="0"/>
        <w:widowControl w:val="0"/>
        <w:kinsoku/>
        <w:wordWrap/>
        <w:overflowPunct/>
        <w:topLinePunct w:val="0"/>
        <w:autoSpaceDE/>
        <w:autoSpaceDN/>
        <w:bidi w:val="0"/>
        <w:adjustRightInd/>
        <w:snapToGrid w:val="0"/>
        <w:spacing w:after="0" w:line="600" w:lineRule="exact"/>
        <w:ind w:firstLine="640"/>
        <w:textAlignment w:val="auto"/>
        <w:rPr>
          <w:rFonts w:cs="Times New Roman"/>
          <w:szCs w:val="32"/>
        </w:rPr>
      </w:pPr>
      <w:r>
        <w:rPr>
          <w:rFonts w:cs="Times New Roman"/>
          <w:szCs w:val="32"/>
        </w:rPr>
        <w:t>为规范通州区集体经营性建设用地入市试点工作，按照</w:t>
      </w:r>
      <w:r>
        <w:rPr>
          <w:rFonts w:hint="eastAsia" w:cs="Times New Roman"/>
          <w:szCs w:val="32"/>
          <w:lang w:eastAsia="zh-CN"/>
        </w:rPr>
        <w:t>《</w:t>
      </w:r>
      <w:r>
        <w:rPr>
          <w:rFonts w:cs="Times New Roman"/>
          <w:szCs w:val="32"/>
        </w:rPr>
        <w:t>自然资源部办公厅关于印发</w:t>
      </w:r>
      <w:r>
        <w:rPr>
          <w:rFonts w:hint="eastAsia" w:cs="Times New Roman"/>
          <w:szCs w:val="32"/>
          <w:lang w:eastAsia="zh-CN"/>
        </w:rPr>
        <w:t>〈</w:t>
      </w:r>
      <w:r>
        <w:rPr>
          <w:rFonts w:cs="Times New Roman"/>
          <w:szCs w:val="32"/>
        </w:rPr>
        <w:t>深化农村集体经营性建设用地入市试点工作方案</w:t>
      </w:r>
      <w:r>
        <w:rPr>
          <w:rFonts w:hint="eastAsia" w:cs="Times New Roman"/>
          <w:szCs w:val="32"/>
          <w:lang w:eastAsia="zh-CN"/>
        </w:rPr>
        <w:t>〉</w:t>
      </w:r>
      <w:r>
        <w:rPr>
          <w:rFonts w:cs="Times New Roman"/>
          <w:szCs w:val="32"/>
        </w:rPr>
        <w:t>的通知》</w:t>
      </w:r>
      <w:r>
        <w:rPr>
          <w:rFonts w:cs="Times New Roman"/>
          <w:szCs w:val="32"/>
          <w:lang w:val="en-US" w:eastAsia="zh-CN"/>
        </w:rPr>
        <w:t>（自然资办函</w:t>
      </w:r>
      <w:r>
        <w:rPr>
          <w:rFonts w:hint="eastAsia" w:ascii="仿宋_GB2312" w:hAnsi="仿宋_GB2312" w:eastAsia="仿宋_GB2312" w:cs="仿宋_GB2312"/>
          <w:szCs w:val="32"/>
          <w:lang w:val="en-US" w:eastAsia="zh-CN"/>
        </w:rPr>
        <w:t>〔202</w:t>
      </w:r>
      <w:r>
        <w:rPr>
          <w:rFonts w:hint="eastAsia" w:ascii="仿宋_GB2312" w:hAnsi="仿宋_GB2312" w:cs="仿宋_GB2312"/>
          <w:szCs w:val="32"/>
          <w:lang w:val="en-US" w:eastAsia="zh-CN"/>
        </w:rPr>
        <w:t>3</w:t>
      </w:r>
      <w:r>
        <w:rPr>
          <w:rFonts w:hint="eastAsia" w:ascii="仿宋_GB2312" w:hAnsi="仿宋_GB2312" w:eastAsia="仿宋_GB2312" w:cs="仿宋_GB2312"/>
          <w:szCs w:val="32"/>
          <w:lang w:val="en-US" w:eastAsia="zh-CN"/>
        </w:rPr>
        <w:t>〕364</w:t>
      </w:r>
      <w:r>
        <w:rPr>
          <w:rFonts w:cs="Times New Roman"/>
          <w:szCs w:val="32"/>
          <w:lang w:val="en-US" w:eastAsia="zh-CN"/>
        </w:rPr>
        <w:t>号）</w:t>
      </w:r>
      <w:r>
        <w:rPr>
          <w:rFonts w:cs="Times New Roman"/>
          <w:szCs w:val="32"/>
        </w:rPr>
        <w:t>要求，结合通州区实际，特制定本程序。</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szCs w:val="32"/>
        </w:rPr>
        <w:t>第一条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[入市实施主体]</w:t>
      </w:r>
      <w:r>
        <w:rPr>
          <w:rFonts w:hint="eastAsia" w:ascii="仿宋_GB2312" w:hAnsi="仿宋_GB2312" w:eastAsia="仿宋_GB2312" w:cs="仿宋_GB2312"/>
          <w:b w:val="0"/>
          <w:bCs w:val="0"/>
          <w:szCs w:val="32"/>
        </w:rPr>
        <w:t>入市实施主体为乡镇联营公司。</w:t>
      </w:r>
    </w:p>
    <w:p>
      <w:pPr>
        <w:keepNext w:val="0"/>
        <w:keepLines w:val="0"/>
        <w:pageBreakBefore w:val="0"/>
        <w:widowControl w:val="0"/>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szCs w:val="32"/>
        </w:rPr>
        <w:t>第二条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[授权批复]</w:t>
      </w:r>
      <w:r>
        <w:rPr>
          <w:rFonts w:hint="eastAsia" w:ascii="仿宋_GB2312" w:hAnsi="仿宋_GB2312" w:eastAsia="仿宋_GB2312" w:cs="仿宋_GB2312"/>
          <w:b w:val="0"/>
          <w:bCs w:val="0"/>
          <w:szCs w:val="32"/>
        </w:rPr>
        <w:t>乡镇政府向</w:t>
      </w:r>
      <w:r>
        <w:rPr>
          <w:rFonts w:hint="eastAsia" w:ascii="仿宋_GB2312" w:hAnsi="仿宋_GB2312" w:cs="仿宋_GB2312"/>
          <w:b w:val="0"/>
          <w:bCs w:val="0"/>
          <w:szCs w:val="32"/>
          <w:lang w:eastAsia="zh-CN"/>
        </w:rPr>
        <w:t>市规划自然资源委通州分局</w:t>
      </w:r>
      <w:r>
        <w:rPr>
          <w:rFonts w:hint="eastAsia" w:ascii="仿宋_GB2312" w:hAnsi="仿宋_GB2312" w:eastAsia="仿宋_GB2312" w:cs="仿宋_GB2312"/>
          <w:b w:val="0"/>
          <w:bCs w:val="0"/>
          <w:szCs w:val="32"/>
        </w:rPr>
        <w:t>致函，提出具体项目授权申请，</w:t>
      </w:r>
      <w:r>
        <w:rPr>
          <w:rFonts w:hint="eastAsia" w:ascii="仿宋_GB2312" w:hAnsi="仿宋_GB2312" w:cs="仿宋_GB2312"/>
          <w:b w:val="0"/>
          <w:bCs w:val="0"/>
          <w:szCs w:val="32"/>
          <w:lang w:eastAsia="zh-CN"/>
        </w:rPr>
        <w:t>市规划自然资源委通州分局</w:t>
      </w:r>
      <w:r>
        <w:rPr>
          <w:rFonts w:hint="eastAsia" w:ascii="仿宋_GB2312" w:hAnsi="仿宋_GB2312" w:eastAsia="仿宋_GB2312" w:cs="仿宋_GB2312"/>
          <w:b w:val="0"/>
          <w:bCs w:val="0"/>
          <w:szCs w:val="32"/>
        </w:rPr>
        <w:t>初审后报区政府审批，由区政府向联营公司印发授权批复，明确其实施主体身份和具体工作内容。</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napToGrid w:val="0"/>
          <w:kern w:val="0"/>
          <w:szCs w:val="32"/>
        </w:rPr>
      </w:pPr>
      <w:r>
        <w:rPr>
          <w:rFonts w:hint="eastAsia" w:ascii="楷体_GB2312" w:hAnsi="楷体_GB2312" w:eastAsia="楷体_GB2312" w:cs="楷体_GB2312"/>
          <w:b w:val="0"/>
          <w:bCs w:val="0"/>
          <w:szCs w:val="32"/>
        </w:rPr>
        <w:t>第三条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[纳入供地计划]</w:t>
      </w:r>
      <w:r>
        <w:rPr>
          <w:rFonts w:hint="eastAsia" w:ascii="仿宋_GB2312" w:hAnsi="仿宋_GB2312" w:eastAsia="仿宋_GB2312" w:cs="仿宋_GB2312"/>
          <w:b w:val="0"/>
          <w:bCs w:val="0"/>
          <w:szCs w:val="32"/>
        </w:rPr>
        <w:t>乡镇政府及时梳理拟入市地块，结合各类影响因素，合理考虑入市时序。区政府统筹安排年度集体经营性建设用地供地计划。</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szCs w:val="32"/>
        </w:rPr>
        <w:t>第四条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[编制实施方案]</w:t>
      </w:r>
      <w:r>
        <w:rPr>
          <w:rFonts w:hint="eastAsia" w:ascii="仿宋_GB2312" w:hAnsi="仿宋_GB2312" w:eastAsia="仿宋_GB2312" w:cs="仿宋_GB2312"/>
          <w:b w:val="0"/>
          <w:bCs w:val="0"/>
          <w:szCs w:val="32"/>
        </w:rPr>
        <w:t>入市实施主体组织编制土地前期整理实施方案，</w:t>
      </w:r>
      <w:r>
        <w:rPr>
          <w:rFonts w:hint="eastAsia" w:ascii="仿宋_GB2312" w:hAnsi="仿宋_GB2312" w:eastAsia="仿宋_GB2312" w:cs="仿宋_GB2312"/>
          <w:b w:val="0"/>
          <w:bCs w:val="0"/>
        </w:rPr>
        <w:t>主要内容包括资金来源、规划实施、产业方向、资金平衡、收益分配等</w:t>
      </w:r>
      <w:r>
        <w:rPr>
          <w:rFonts w:hint="eastAsia" w:ascii="仿宋_GB2312" w:hAnsi="仿宋_GB2312" w:eastAsia="仿宋_GB2312" w:cs="仿宋_GB2312"/>
          <w:b w:val="0"/>
          <w:bCs w:val="0"/>
          <w:szCs w:val="32"/>
        </w:rPr>
        <w:t>。</w:t>
      </w:r>
      <w:r>
        <w:rPr>
          <w:rFonts w:hint="eastAsia" w:ascii="仿宋_GB2312" w:hAnsi="仿宋_GB2312" w:eastAsia="仿宋_GB2312" w:cs="仿宋_GB2312"/>
          <w:b w:val="0"/>
          <w:bCs w:val="0"/>
        </w:rPr>
        <w:t>项目用地规划综合实施方案若包含上述内容的，可不再单独编制土地前期整理实施方案。</w:t>
      </w:r>
      <w:r>
        <w:rPr>
          <w:rFonts w:hint="eastAsia" w:ascii="仿宋_GB2312" w:hAnsi="仿宋_GB2312" w:eastAsia="仿宋_GB2312" w:cs="仿宋_GB2312"/>
          <w:b w:val="0"/>
          <w:bCs w:val="0"/>
          <w:szCs w:val="32"/>
        </w:rPr>
        <w:t>实施方案由乡镇政府进行初审，经入市专班办公室会议审查后提请入市审核联席会议审议，报区政府审批。</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szCs w:val="32"/>
        </w:rPr>
        <w:t>第五条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[土地前期手续办理]</w:t>
      </w:r>
      <w:r>
        <w:rPr>
          <w:rFonts w:hint="eastAsia" w:ascii="仿宋_GB2312" w:hAnsi="仿宋_GB2312" w:eastAsia="仿宋_GB2312" w:cs="仿宋_GB2312"/>
          <w:b w:val="0"/>
          <w:bCs w:val="0"/>
          <w:szCs w:val="32"/>
        </w:rPr>
        <w:t>入市实施主体需完成土地入市前手续办理。包括规划条件、项目核准、占地批复、多规合一供审意见、水评、交评、考古、土壤污染评价、市政综合等入市前必要前期手续。</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szCs w:val="32"/>
        </w:rPr>
        <w:t>第六条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[产业准入]</w:t>
      </w:r>
      <w:r>
        <w:rPr>
          <w:rFonts w:hint="eastAsia" w:ascii="仿宋_GB2312" w:hAnsi="仿宋_GB2312" w:eastAsia="仿宋_GB2312" w:cs="仿宋_GB2312"/>
          <w:b w:val="0"/>
          <w:bCs w:val="0"/>
          <w:szCs w:val="32"/>
        </w:rPr>
        <w:t>由区投</w:t>
      </w:r>
      <w:r>
        <w:rPr>
          <w:rFonts w:hint="eastAsia" w:ascii="仿宋_GB2312" w:hAnsi="仿宋_GB2312" w:cs="仿宋_GB2312"/>
          <w:b w:val="0"/>
          <w:bCs w:val="0"/>
          <w:szCs w:val="32"/>
          <w:lang w:eastAsia="zh-CN"/>
        </w:rPr>
        <w:t>资</w:t>
      </w:r>
      <w:r>
        <w:rPr>
          <w:rFonts w:hint="eastAsia" w:ascii="仿宋_GB2312" w:hAnsi="仿宋_GB2312" w:eastAsia="仿宋_GB2312" w:cs="仿宋_GB2312"/>
          <w:b w:val="0"/>
          <w:bCs w:val="0"/>
          <w:szCs w:val="32"/>
        </w:rPr>
        <w:t>促</w:t>
      </w:r>
      <w:r>
        <w:rPr>
          <w:rFonts w:hint="eastAsia" w:ascii="仿宋_GB2312" w:hAnsi="仿宋_GB2312" w:cs="仿宋_GB2312"/>
          <w:b w:val="0"/>
          <w:bCs w:val="0"/>
          <w:szCs w:val="32"/>
          <w:lang w:eastAsia="zh-CN"/>
        </w:rPr>
        <w:t>进服务</w:t>
      </w:r>
      <w:r>
        <w:rPr>
          <w:rFonts w:hint="eastAsia" w:ascii="仿宋_GB2312" w:hAnsi="仿宋_GB2312" w:eastAsia="仿宋_GB2312" w:cs="仿宋_GB2312"/>
          <w:b w:val="0"/>
          <w:bCs w:val="0"/>
          <w:szCs w:val="32"/>
        </w:rPr>
        <w:t>中心组织召开区产促会，指导确定产业发展方向，明确产业准入条件，在土地供应前对拟引入产业和企业资格进行预审并出具预审意见。</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szCs w:val="32"/>
        </w:rPr>
        <w:t>第七条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[土地前期整理验收]</w:t>
      </w:r>
      <w:r>
        <w:rPr>
          <w:rFonts w:hint="eastAsia" w:ascii="仿宋_GB2312" w:hAnsi="仿宋_GB2312" w:eastAsia="仿宋_GB2312" w:cs="仿宋_GB2312"/>
          <w:b w:val="0"/>
          <w:bCs w:val="0"/>
          <w:szCs w:val="32"/>
        </w:rPr>
        <w:t>土地前期整理完成后，由入市实施主体组织验收材料及现场测绘成果，报入市审核联席会议审议。</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szCs w:val="32"/>
        </w:rPr>
        <w:t>第八条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[土地前期整理成本审核]</w:t>
      </w:r>
      <w:r>
        <w:rPr>
          <w:rFonts w:hint="eastAsia" w:ascii="仿宋_GB2312" w:hAnsi="仿宋_GB2312" w:eastAsia="仿宋_GB2312" w:cs="仿宋_GB2312"/>
          <w:b w:val="0"/>
          <w:bCs w:val="0"/>
          <w:szCs w:val="32"/>
        </w:rPr>
        <w:t>土地前期整理完成后，由入市实施主体委托具备资质的审计机构对前期整理成本进行审计，</w:t>
      </w:r>
      <w:r>
        <w:rPr>
          <w:rFonts w:hint="eastAsia" w:ascii="仿宋_GB2312" w:hAnsi="仿宋_GB2312" w:eastAsia="仿宋_GB2312" w:cs="仿宋_GB2312"/>
          <w:b w:val="0"/>
          <w:bCs w:val="0"/>
        </w:rPr>
        <w:t>成本主要包括前期费用、地上物补偿、占地费用、市政基础设施建设、财务费用、管理费、审计费及相关税费等。</w:t>
      </w:r>
      <w:r>
        <w:rPr>
          <w:rFonts w:hint="eastAsia" w:ascii="仿宋_GB2312" w:hAnsi="仿宋_GB2312" w:eastAsia="仿宋_GB2312" w:cs="仿宋_GB2312"/>
          <w:b w:val="0"/>
          <w:bCs w:val="0"/>
          <w:szCs w:val="32"/>
        </w:rPr>
        <w:t>审计结果经入市审核联席会议审议后报区政府审批。</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szCs w:val="32"/>
        </w:rPr>
        <w:t>第九条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[确定入市价格]</w:t>
      </w:r>
      <w:r>
        <w:rPr>
          <w:rFonts w:hint="eastAsia" w:ascii="仿宋_GB2312" w:hAnsi="仿宋_GB2312" w:eastAsia="仿宋_GB2312" w:cs="仿宋_GB2312"/>
          <w:b w:val="0"/>
          <w:bCs w:val="0"/>
          <w:szCs w:val="32"/>
        </w:rPr>
        <w:t>入市实施主体委托具备资质的评估机构参照国有土地评估技术规范进行评估，可视市场情况、项目运营模式、区位条件等综合因素进一步研究确定地价评估浮动修正系数，评估结果经入市审核联席会议审核后，报区政府审批。</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zCs w:val="32"/>
        </w:rPr>
      </w:pPr>
      <w:r>
        <w:rPr>
          <w:rFonts w:hint="eastAsia" w:ascii="楷体_GB2312" w:hAnsi="楷体_GB2312" w:eastAsia="楷体_GB2312" w:cs="楷体_GB2312"/>
          <w:b w:val="0"/>
          <w:bCs w:val="0"/>
          <w:szCs w:val="32"/>
        </w:rPr>
        <w:t>第十条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[拟订入市方案]</w:t>
      </w:r>
      <w:r>
        <w:rPr>
          <w:rFonts w:hint="eastAsia" w:ascii="仿宋_GB2312" w:hAnsi="仿宋_GB2312" w:eastAsia="仿宋_GB2312" w:cs="仿宋_GB2312"/>
          <w:b w:val="0"/>
          <w:bCs w:val="0"/>
          <w:szCs w:val="32"/>
        </w:rPr>
        <w:t>入市实施主体组织编制集体经营性建设用地入市方案，明确入市地块位置、面积、现状、规划用途、规划条件、权属情况、产业准入、生态环境保护要求、开发程度、使用期限、入市方式、入市价格、竞买人资格、地价款缴纳、收益分配、违约责任及处置程序等相关内容，并经集体经济组织民主决策形成决议后向乡镇政府提出入市申请。</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napToGrid w:val="0"/>
          <w:kern w:val="0"/>
          <w:szCs w:val="32"/>
        </w:rPr>
      </w:pPr>
      <w:r>
        <w:rPr>
          <w:rFonts w:hint="eastAsia" w:ascii="楷体_GB2312" w:hAnsi="楷体_GB2312" w:eastAsia="楷体_GB2312" w:cs="楷体_GB2312"/>
          <w:b w:val="0"/>
          <w:bCs w:val="0"/>
          <w:szCs w:val="32"/>
        </w:rPr>
        <w:t>第十一条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[乡镇政府初审]</w:t>
      </w:r>
      <w:r>
        <w:rPr>
          <w:rFonts w:hint="eastAsia" w:ascii="仿宋_GB2312" w:hAnsi="仿宋_GB2312" w:eastAsia="仿宋_GB2312" w:cs="仿宋_GB2312"/>
          <w:b w:val="0"/>
          <w:bCs w:val="0"/>
          <w:szCs w:val="32"/>
        </w:rPr>
        <w:t>乡镇政府收到申请后，应对申请入市宗地的入市方案内容进行初审，出具入市初审书面意见，报区入市专班办公室审查。</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napToGrid w:val="0"/>
          <w:kern w:val="0"/>
          <w:szCs w:val="32"/>
        </w:rPr>
      </w:pPr>
      <w:r>
        <w:rPr>
          <w:rFonts w:hint="eastAsia" w:ascii="楷体_GB2312" w:hAnsi="楷体_GB2312" w:eastAsia="楷体_GB2312" w:cs="楷体_GB2312"/>
          <w:b w:val="0"/>
          <w:bCs w:val="0"/>
          <w:szCs w:val="32"/>
        </w:rPr>
        <w:t>第十二条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[入市专班办公室审查]</w:t>
      </w:r>
      <w:r>
        <w:rPr>
          <w:rFonts w:hint="eastAsia" w:ascii="仿宋_GB2312" w:hAnsi="仿宋_GB2312" w:eastAsia="仿宋_GB2312" w:cs="仿宋_GB2312"/>
          <w:b w:val="0"/>
          <w:bCs w:val="0"/>
          <w:szCs w:val="32"/>
        </w:rPr>
        <w:t>区入市专班办公室收到申请后，组织成员单位对申请入市的集体经营性建设用地地块权属情况、入市方式、入市价格、竞买人资格设置、基础设施等配套情况、是否符合本市供地政策和建设用地标准，以及其他有关条件进行审查。</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napToGrid w:val="0"/>
          <w:kern w:val="0"/>
          <w:szCs w:val="32"/>
        </w:rPr>
      </w:pPr>
      <w:r>
        <w:rPr>
          <w:rFonts w:hint="eastAsia" w:ascii="楷体_GB2312" w:hAnsi="楷体_GB2312" w:eastAsia="楷体_GB2312" w:cs="楷体_GB2312"/>
          <w:b w:val="0"/>
          <w:bCs w:val="0"/>
          <w:szCs w:val="32"/>
        </w:rPr>
        <w:t>第十三条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[入市专班联席会审议]</w:t>
      </w:r>
      <w:r>
        <w:rPr>
          <w:rFonts w:hint="eastAsia" w:ascii="仿宋_GB2312" w:hAnsi="仿宋_GB2312" w:eastAsia="仿宋_GB2312" w:cs="仿宋_GB2312"/>
          <w:b w:val="0"/>
          <w:bCs w:val="0"/>
          <w:szCs w:val="32"/>
        </w:rPr>
        <w:t>区入市专班办公室会议审查通过后，提请入市审核联席会议审议。审议通过后将项目入市方案、项目申请材料和审议结果报区政府。</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cs="仿宋_GB2312"/>
          <w:b w:val="0"/>
          <w:bCs w:val="0"/>
          <w:szCs w:val="32"/>
          <w:u w:val="none"/>
          <w:lang w:eastAsia="zh-CN"/>
        </w:rPr>
      </w:pPr>
      <w:r>
        <w:rPr>
          <w:rFonts w:hint="eastAsia" w:ascii="楷体_GB2312" w:hAnsi="楷体_GB2312" w:eastAsia="楷体_GB2312" w:cs="楷体_GB2312"/>
          <w:b w:val="0"/>
          <w:bCs w:val="0"/>
          <w:szCs w:val="32"/>
          <w:u w:val="none"/>
        </w:rPr>
        <w:t>第十四条</w:t>
      </w:r>
      <w:r>
        <w:rPr>
          <w:rFonts w:hint="eastAsia" w:ascii="楷体_GB2312" w:hAnsi="楷体_GB2312" w:eastAsia="楷体_GB2312" w:cs="楷体_GB2312"/>
          <w:b w:val="0"/>
          <w:bCs w:val="0"/>
          <w:szCs w:val="32"/>
          <w:u w:val="none"/>
          <w:lang w:val="en-US" w:eastAsia="zh-CN"/>
        </w:rPr>
        <w:t xml:space="preserve">  </w:t>
      </w:r>
      <w:r>
        <w:rPr>
          <w:rFonts w:hint="eastAsia" w:ascii="楷体_GB2312" w:hAnsi="楷体_GB2312" w:eastAsia="楷体_GB2312" w:cs="楷体_GB2312"/>
          <w:b w:val="0"/>
          <w:bCs w:val="0"/>
          <w:szCs w:val="32"/>
          <w:u w:val="none"/>
        </w:rPr>
        <w:t>[区政府批准]</w:t>
      </w:r>
      <w:r>
        <w:rPr>
          <w:rFonts w:hint="eastAsia" w:ascii="仿宋_GB2312" w:hAnsi="仿宋_GB2312" w:eastAsia="仿宋_GB2312" w:cs="仿宋_GB2312"/>
          <w:b w:val="0"/>
          <w:bCs w:val="0"/>
          <w:szCs w:val="32"/>
          <w:u w:val="none"/>
        </w:rPr>
        <w:t>区政府审核同意后，</w:t>
      </w:r>
      <w:r>
        <w:rPr>
          <w:rFonts w:hint="eastAsia" w:ascii="仿宋_GB2312" w:hAnsi="仿宋_GB2312" w:cs="仿宋_GB2312"/>
          <w:b w:val="0"/>
          <w:bCs w:val="0"/>
          <w:szCs w:val="32"/>
          <w:u w:val="none"/>
          <w:lang w:eastAsia="zh-CN"/>
        </w:rPr>
        <w:t>进行审批。</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hint="eastAsia" w:ascii="仿宋_GB2312" w:hAnsi="仿宋_GB2312" w:eastAsia="仿宋_GB2312" w:cs="仿宋_GB2312"/>
          <w:b w:val="0"/>
          <w:bCs w:val="0"/>
          <w:snapToGrid w:val="0"/>
          <w:kern w:val="0"/>
          <w:szCs w:val="32"/>
        </w:rPr>
      </w:pPr>
      <w:r>
        <w:rPr>
          <w:rFonts w:hint="eastAsia" w:ascii="楷体_GB2312" w:hAnsi="楷体_GB2312" w:eastAsia="楷体_GB2312" w:cs="楷体_GB2312"/>
          <w:b w:val="0"/>
          <w:bCs w:val="0"/>
          <w:szCs w:val="32"/>
        </w:rPr>
        <w:t>第十五条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[组织入市]</w:t>
      </w:r>
      <w:r>
        <w:rPr>
          <w:rFonts w:hint="eastAsia" w:ascii="仿宋_GB2312" w:hAnsi="仿宋_GB2312" w:eastAsia="仿宋_GB2312" w:cs="仿宋_GB2312"/>
          <w:b w:val="0"/>
          <w:bCs w:val="0"/>
          <w:szCs w:val="32"/>
        </w:rPr>
        <w:t>集体经营性建设用地入市可采取招标、拍卖、挂牌方式确定土地使用权人。市规划自然资源委通州分局参照现行国有建设用地使用权入市方式组织公告和入市工作。</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cs="Times New Roman"/>
          <w:szCs w:val="32"/>
        </w:rPr>
      </w:pPr>
      <w:r>
        <w:rPr>
          <w:rFonts w:hint="eastAsia" w:ascii="楷体_GB2312" w:hAnsi="楷体_GB2312" w:eastAsia="楷体_GB2312" w:cs="楷体_GB2312"/>
          <w:b w:val="0"/>
          <w:bCs w:val="0"/>
          <w:szCs w:val="32"/>
        </w:rPr>
        <w:t>第十六条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[土地成交与合同签订]</w:t>
      </w:r>
      <w:r>
        <w:rPr>
          <w:rFonts w:hint="eastAsia" w:ascii="仿宋_GB2312" w:hAnsi="仿宋_GB2312" w:eastAsia="仿宋_GB2312" w:cs="仿宋_GB2312"/>
          <w:b w:val="0"/>
          <w:bCs w:val="0"/>
          <w:szCs w:val="32"/>
        </w:rPr>
        <w:t>按照入市公告要求，履行土地成交相关程序。土地确认成交后</w:t>
      </w:r>
      <w:r>
        <w:rPr>
          <w:rFonts w:cs="Times New Roman"/>
          <w:szCs w:val="32"/>
        </w:rPr>
        <w:t>，由入市实施主体与土地使用权人签订土地出让合同，分别报乡镇政府和市规划自然资源委通州分局备案。</w:t>
      </w:r>
    </w:p>
    <w:p>
      <w:pPr>
        <w:keepNext w:val="0"/>
        <w:keepLines w:val="0"/>
        <w:pageBreakBefore w:val="0"/>
        <w:widowControl w:val="0"/>
        <w:tabs>
          <w:tab w:val="left" w:pos="0"/>
        </w:tabs>
        <w:kinsoku/>
        <w:wordWrap/>
        <w:overflowPunct/>
        <w:topLinePunct w:val="0"/>
        <w:bidi w:val="0"/>
        <w:snapToGrid w:val="0"/>
        <w:spacing w:after="0" w:line="600" w:lineRule="exact"/>
        <w:ind w:firstLine="640"/>
        <w:textAlignment w:val="auto"/>
        <w:rPr>
          <w:rFonts w:cs="Times New Roman"/>
          <w:snapToGrid w:val="0"/>
          <w:kern w:val="0"/>
          <w:szCs w:val="32"/>
        </w:rPr>
      </w:pPr>
      <w:r>
        <w:rPr>
          <w:rFonts w:cs="Times New Roman"/>
          <w:szCs w:val="32"/>
        </w:rPr>
        <w:t>出让合同须载明土地界址、面积、用途、规划条件、使用期限、交易价款支付、交地时间和开工竣工期限、产业准入和生态环境保护要求，约定提前收回的条件、补偿方式、土地使用权届满续期和地上建筑物、构筑物等附着物处理方式，以及违约责任和解决争议的方法等</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cs="Times New Roman"/>
          <w:b w:val="0"/>
          <w:bCs w:val="0"/>
          <w:snapToGrid w:val="0"/>
          <w:kern w:val="0"/>
          <w:szCs w:val="32"/>
        </w:rPr>
      </w:pPr>
      <w:r>
        <w:rPr>
          <w:rFonts w:hint="eastAsia" w:ascii="楷体_GB2312" w:hAnsi="楷体_GB2312" w:eastAsia="楷体_GB2312" w:cs="楷体_GB2312"/>
          <w:b w:val="0"/>
          <w:bCs w:val="0"/>
          <w:szCs w:val="32"/>
        </w:rPr>
        <w:t>第十七条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[地价款缴纳]</w:t>
      </w:r>
      <w:r>
        <w:rPr>
          <w:rFonts w:cs="Times New Roman"/>
          <w:b w:val="0"/>
          <w:bCs w:val="0"/>
          <w:szCs w:val="32"/>
        </w:rPr>
        <w:t>土地成交价款由土地受让方直接支付至</w:t>
      </w:r>
      <w:r>
        <w:rPr>
          <w:rFonts w:hint="eastAsia" w:cs="Times New Roman"/>
          <w:b w:val="0"/>
          <w:bCs w:val="0"/>
          <w:szCs w:val="32"/>
        </w:rPr>
        <w:t>乡镇联营公司</w:t>
      </w:r>
      <w:r>
        <w:rPr>
          <w:rFonts w:cs="Times New Roman"/>
          <w:b w:val="0"/>
          <w:bCs w:val="0"/>
          <w:szCs w:val="32"/>
        </w:rPr>
        <w:t>，由</w:t>
      </w:r>
      <w:r>
        <w:rPr>
          <w:rFonts w:hint="eastAsia" w:cs="Times New Roman"/>
          <w:b w:val="0"/>
          <w:bCs w:val="0"/>
          <w:szCs w:val="32"/>
        </w:rPr>
        <w:t>乡镇联营公司</w:t>
      </w:r>
      <w:r>
        <w:rPr>
          <w:rFonts w:cs="Times New Roman"/>
          <w:b w:val="0"/>
          <w:bCs w:val="0"/>
          <w:szCs w:val="32"/>
        </w:rPr>
        <w:t>按照规定比例向区财政缴纳土地收益调节金。</w:t>
      </w:r>
    </w:p>
    <w:p>
      <w:pPr>
        <w:keepNext w:val="0"/>
        <w:keepLines w:val="0"/>
        <w:pageBreakBefore w:val="0"/>
        <w:widowControl w:val="0"/>
        <w:tabs>
          <w:tab w:val="left" w:pos="0"/>
        </w:tabs>
        <w:kinsoku/>
        <w:wordWrap/>
        <w:overflowPunct/>
        <w:topLinePunct w:val="0"/>
        <w:bidi w:val="0"/>
        <w:snapToGrid w:val="0"/>
        <w:spacing w:after="0" w:line="600" w:lineRule="exact"/>
        <w:ind w:firstLine="643"/>
        <w:textAlignment w:val="auto"/>
        <w:rPr>
          <w:rFonts w:cs="Times New Roman"/>
          <w:snapToGrid w:val="0"/>
          <w:kern w:val="0"/>
          <w:szCs w:val="32"/>
        </w:rPr>
      </w:pPr>
      <w:r>
        <w:rPr>
          <w:rFonts w:hint="eastAsia" w:ascii="楷体_GB2312" w:hAnsi="楷体_GB2312" w:eastAsia="楷体_GB2312" w:cs="楷体_GB2312"/>
          <w:b w:val="0"/>
          <w:bCs w:val="0"/>
          <w:szCs w:val="32"/>
        </w:rPr>
        <w:t>第十八条</w:t>
      </w:r>
      <w:r>
        <w:rPr>
          <w:rFonts w:hint="eastAsia" w:ascii="楷体_GB2312" w:hAnsi="楷体_GB2312" w:eastAsia="楷体_GB2312" w:cs="楷体_GB2312"/>
          <w:b w:val="0"/>
          <w:bCs w:val="0"/>
          <w:szCs w:val="32"/>
          <w:lang w:val="en-US" w:eastAsia="zh-CN"/>
        </w:rPr>
        <w:t xml:space="preserve">  </w:t>
      </w:r>
      <w:r>
        <w:rPr>
          <w:rFonts w:hint="eastAsia" w:ascii="楷体_GB2312" w:hAnsi="楷体_GB2312" w:eastAsia="楷体_GB2312" w:cs="楷体_GB2312"/>
          <w:b w:val="0"/>
          <w:bCs w:val="0"/>
          <w:szCs w:val="32"/>
        </w:rPr>
        <w:t>[</w:t>
      </w:r>
      <w:r>
        <w:rPr>
          <w:rFonts w:hint="eastAsia" w:ascii="楷体_GB2312" w:hAnsi="楷体_GB2312" w:eastAsia="楷体_GB2312" w:cs="楷体_GB2312"/>
          <w:b w:val="0"/>
          <w:bCs w:val="0"/>
          <w:snapToGrid w:val="0"/>
          <w:kern w:val="0"/>
          <w:szCs w:val="32"/>
        </w:rPr>
        <w:t>权属登记及项目建设</w:t>
      </w:r>
      <w:r>
        <w:rPr>
          <w:rFonts w:hint="eastAsia" w:ascii="楷体_GB2312" w:hAnsi="楷体_GB2312" w:eastAsia="楷体_GB2312" w:cs="楷体_GB2312"/>
          <w:b w:val="0"/>
          <w:bCs w:val="0"/>
          <w:szCs w:val="32"/>
        </w:rPr>
        <w:t>]</w:t>
      </w:r>
      <w:r>
        <w:rPr>
          <w:rFonts w:cs="Times New Roman"/>
          <w:b w:val="0"/>
          <w:bCs w:val="0"/>
          <w:snapToGrid w:val="0"/>
          <w:kern w:val="0"/>
          <w:szCs w:val="32"/>
        </w:rPr>
        <w:t>集</w:t>
      </w:r>
      <w:r>
        <w:rPr>
          <w:rFonts w:cs="Times New Roman"/>
          <w:snapToGrid w:val="0"/>
          <w:kern w:val="0"/>
          <w:szCs w:val="32"/>
        </w:rPr>
        <w:t>体经营性建设用地使用权完成入市交易、缴清土地价款和相关税费后，使用权人可向不动产登记机构申请集体经营性建设用地使用权登记并参照国有建设用地方式办理项目核准或备案、乡村建设工程规划许可证、工程施工许可证、竣工验收等手续。</w:t>
      </w:r>
    </w:p>
    <w:p>
      <w:pPr>
        <w:keepNext w:val="0"/>
        <w:keepLines w:val="0"/>
        <w:pageBreakBefore w:val="0"/>
        <w:widowControl w:val="0"/>
        <w:kinsoku/>
        <w:wordWrap/>
        <w:overflowPunct/>
        <w:topLinePunct w:val="0"/>
        <w:autoSpaceDE/>
        <w:autoSpaceDN/>
        <w:bidi w:val="0"/>
        <w:adjustRightInd/>
        <w:snapToGrid/>
        <w:spacing w:after="0" w:line="700" w:lineRule="exact"/>
        <w:textAlignment w:val="auto"/>
      </w:pPr>
      <w:bookmarkStart w:id="2" w:name="_GoBack"/>
      <w:bookmarkEnd w:id="2"/>
    </w:p>
    <w:p>
      <w:pPr>
        <w:keepNext w:val="0"/>
        <w:keepLines w:val="0"/>
        <w:pageBreakBefore w:val="0"/>
        <w:widowControl w:val="0"/>
        <w:kinsoku/>
        <w:wordWrap/>
        <w:overflowPunct/>
        <w:topLinePunct w:val="0"/>
        <w:autoSpaceDE/>
        <w:autoSpaceDN/>
        <w:bidi w:val="0"/>
        <w:adjustRightInd/>
        <w:snapToGrid/>
        <w:spacing w:after="0" w:line="700" w:lineRule="exact"/>
        <w:textAlignment w:val="auto"/>
        <w:rPr>
          <w:rFonts w:cs="Times New Roman"/>
          <w:snapToGrid w:val="0"/>
          <w:kern w:val="0"/>
          <w:szCs w:val="32"/>
        </w:rPr>
      </w:pPr>
    </w:p>
    <w:p>
      <w:pPr>
        <w:pStyle w:val="3"/>
        <w:keepNext w:val="0"/>
        <w:keepLines w:val="0"/>
        <w:pageBreakBefore w:val="0"/>
        <w:widowControl w:val="0"/>
        <w:kinsoku/>
        <w:wordWrap/>
        <w:overflowPunct/>
        <w:topLinePunct w:val="0"/>
        <w:autoSpaceDE/>
        <w:autoSpaceDN/>
        <w:bidi w:val="0"/>
        <w:adjustRightInd/>
        <w:snapToGrid/>
        <w:spacing w:after="0" w:line="700" w:lineRule="exact"/>
        <w:textAlignment w:val="auto"/>
      </w:pPr>
    </w:p>
    <w:p>
      <w:pPr>
        <w:keepNext w:val="0"/>
        <w:keepLines w:val="0"/>
        <w:pageBreakBefore w:val="0"/>
        <w:widowControl w:val="0"/>
        <w:tabs>
          <w:tab w:val="left" w:pos="360"/>
        </w:tabs>
        <w:kinsoku/>
        <w:wordWrap/>
        <w:overflowPunct/>
        <w:topLinePunct w:val="0"/>
        <w:autoSpaceDE/>
        <w:autoSpaceDN/>
        <w:bidi w:val="0"/>
        <w:adjustRightInd/>
        <w:snapToGrid/>
        <w:spacing w:after="0" w:line="640" w:lineRule="exact"/>
        <w:ind w:left="2025" w:leftChars="1" w:hanging="2022" w:hangingChars="632"/>
        <w:textAlignment w:val="auto"/>
        <w:rPr>
          <w:rFonts w:hint="eastAsia" w:ascii="仿宋_GB2312" w:eastAsia="仿宋_GB2312"/>
          <w:color w:val="000000"/>
          <w:sz w:val="28"/>
          <w:szCs w:val="28"/>
          <w:lang w:eastAsia="zh-CN"/>
        </w:rPr>
      </w:pPr>
      <w:r>
        <w:rPr>
          <w:rFonts w:hint="eastAsia" w:ascii="仿宋_GB2312" w:eastAsia="仿宋_GB2312"/>
          <w:color w:val="00000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86360</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6.8pt;height:0pt;width:441pt;z-index:251658240;mso-width-relative:page;mso-height-relative:page;" filled="f" stroked="t" coordsize="21600,21600" o:gfxdata="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H3ZAjSAAAABgEAAA8AAAAAAAAAAQAgAAAAOAAAAGRycy9kb3ducmV2LnhtbFBLAQIUABQAAAAI&#10;AIdO4kDv1CyJ3QEAAJkDAAAOAAAAAAAAAAEAIAAAADcBAABkcnMvZTJvRG9jLnhtbFBLBQYAAAAA&#10;BgAGAFkBAACGBQ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  抄送：区委办</w:t>
      </w:r>
      <w:r>
        <w:rPr>
          <w:rFonts w:hint="eastAsia" w:ascii="仿宋_GB2312"/>
          <w:color w:val="000000"/>
          <w:sz w:val="28"/>
          <w:szCs w:val="28"/>
          <w:lang w:eastAsia="zh-CN"/>
        </w:rPr>
        <w:t>公室</w:t>
      </w:r>
      <w:r>
        <w:rPr>
          <w:rFonts w:hint="eastAsia" w:ascii="仿宋_GB2312" w:eastAsia="仿宋_GB2312"/>
          <w:color w:val="000000"/>
          <w:sz w:val="28"/>
          <w:szCs w:val="28"/>
        </w:rPr>
        <w:t>，区人大办公室，区政协办公室</w:t>
      </w:r>
      <w:r>
        <w:rPr>
          <w:rFonts w:hint="eastAsia" w:ascii="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100"/>
        <w:textAlignment w:val="auto"/>
        <w:rPr>
          <w:rFonts w:hint="default"/>
          <w:lang w:val="en-US" w:eastAsia="zh-CN"/>
        </w:rPr>
      </w:pPr>
      <w:r>
        <w:rPr>
          <w:rFonts w:hint="eastAsia"/>
          <w:color w:val="000000"/>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52070</wp:posOffset>
                </wp:positionV>
                <wp:extent cx="56007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45pt;margin-top:4.1pt;height:0pt;width:441pt;z-index:251659264;mso-width-relative:page;mso-height-relative:page;" filled="f" stroked="t" coordsize="21600,21600" o:gfxdata="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v&#10;qC9y0QAAAAQBAAAPAAAAAAAAAAEAIAAAADgAAABkcnMvZG93bnJldi54bWxQSwECFAAUAAAACACH&#10;TuJAoG448NwBAACZAwAADgAAAAAAAAABACAAAAA2AQAAZHJzL2Uyb0RvYy54bWxQSwUGAAAAAAYA&#10;BgBZAQAAhAUAAAAA&#10;">
                <v:fill on="f" focussize="0,0"/>
                <v:stroke color="#000000" joinstyle="round"/>
                <v:imagedata o:title=""/>
                <o:lock v:ext="edit" aspectratio="f"/>
              </v:line>
            </w:pict>
          </mc:Fallback>
        </mc:AlternateContent>
      </w:r>
      <w:r>
        <w:rPr>
          <w:rFonts w:hint="eastAsia"/>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388620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0.6pt;height:0pt;width:441pt;z-index:251660288;mso-width-relative:page;mso-height-relative:page;" filled="f" stroked="t" coordsize="21600,21600" o:gfxdata="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Dh7y20wAAAAYBAAAPAAAAAAAAAAEAIAAAADgAAABkcnMvZG93bnJldi54bWxQSwECFAAUAAAA&#10;CACHTuJAOcQj090BAACZAwAADgAAAAAAAAABACAAAAA4AQAAZHJzL2Uyb0RvYy54bWxQSwUGAAAA&#10;AAYABgBZAQAAhwU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北京市通州区人民政府办公室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年</w:t>
      </w:r>
      <w:r>
        <w:rPr>
          <w:rFonts w:hint="eastAsia" w:ascii="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color w:val="000000"/>
          <w:sz w:val="28"/>
          <w:szCs w:val="28"/>
          <w:lang w:val="en-US" w:eastAsia="zh-CN"/>
        </w:rPr>
        <w:t>4</w:t>
      </w:r>
      <w:r>
        <w:rPr>
          <w:rFonts w:hint="eastAsia" w:ascii="仿宋_GB2312" w:eastAsia="仿宋_GB2312"/>
          <w:color w:val="000000"/>
          <w:sz w:val="28"/>
          <w:szCs w:val="28"/>
        </w:rPr>
        <w:t xml:space="preserve">日印发 </w:t>
      </w:r>
      <w:r>
        <w:rPr>
          <w:rFonts w:hint="eastAsia"/>
          <w:color w:val="000000"/>
        </w:rPr>
        <w:t xml:space="preserve"> </w:t>
      </w:r>
    </w:p>
    <w:sectPr>
      <w:headerReference r:id="rId5" w:type="default"/>
      <w:footerReference r:id="rId7" w:type="default"/>
      <w:headerReference r:id="rId6" w:type="even"/>
      <w:footerReference r:id="rId8" w:type="even"/>
      <w:pgSz w:w="11906" w:h="16838"/>
      <w:pgMar w:top="1701" w:right="1474" w:bottom="1701" w:left="1587" w:header="851" w:footer="1474" w:gutter="0"/>
      <w:pgNumType w:fmt="decimal"/>
      <w:cols w:space="0" w:num="1"/>
      <w:rtlGutter w:val="0"/>
      <w:docGrid w:type="lines" w:linePitch="44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小标宋">
    <w:altName w:val="宋体"/>
    <w:panose1 w:val="03000509000000000000"/>
    <w:charset w:val="00"/>
    <w:family w:val="script"/>
    <w:pitch w:val="default"/>
    <w:sig w:usb0="00000000" w:usb1="00000000" w:usb2="0000001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posOffset>4785360</wp:posOffset>
              </wp:positionH>
              <wp:positionV relativeFrom="paragraph">
                <wp:posOffset>-17780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6.8pt;margin-top:-1.4pt;height:144pt;width:144pt;mso-position-horizontal-relative:margin;mso-wrap-style:none;z-index:251663360;mso-width-relative:page;mso-height-relative:page;" filled="f" stroked="f" coordsize="21600,21600" o:gfxdata="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X0Ll02AAAAAs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1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ind w:left="0" w:leftChars="0"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2"/>
                      <w:ind w:left="0" w:leftChars="0"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F76BD"/>
    <w:multiLevelType w:val="singleLevel"/>
    <w:tmpl w:val="DDFF76BD"/>
    <w:lvl w:ilvl="0" w:tentative="0">
      <w:start w:val="1"/>
      <w:numFmt w:val="chineseCounting"/>
      <w:suff w:val="nothing"/>
      <w:lvlText w:val="（%1）"/>
      <w:lvlJc w:val="left"/>
      <w:rPr>
        <w:rFonts w:hint="eastAsia"/>
      </w:rPr>
    </w:lvl>
  </w:abstractNum>
  <w:abstractNum w:abstractNumId="1">
    <w:nsid w:val="5FFFBB88"/>
    <w:multiLevelType w:val="singleLevel"/>
    <w:tmpl w:val="5FFFBB8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cumentProtection w:enforcement="0"/>
  <w:defaultTabStop w:val="420"/>
  <w:evenAndOddHeaders w:val="true"/>
  <w:drawingGridHorizontalSpacing w:val="105"/>
  <w:drawingGridVerticalSpacing w:val="224"/>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jZjFiMTBhMTY4YmE1MGI0ZTc1NDM2MGJiYTRkNzQifQ=="/>
  </w:docVars>
  <w:rsids>
    <w:rsidRoot w:val="00AE5128"/>
    <w:rsid w:val="00001B24"/>
    <w:rsid w:val="000272B2"/>
    <w:rsid w:val="0005321A"/>
    <w:rsid w:val="00064680"/>
    <w:rsid w:val="00067626"/>
    <w:rsid w:val="000C017E"/>
    <w:rsid w:val="000C1B08"/>
    <w:rsid w:val="000E0C85"/>
    <w:rsid w:val="001834F7"/>
    <w:rsid w:val="001C0144"/>
    <w:rsid w:val="00215910"/>
    <w:rsid w:val="0022325C"/>
    <w:rsid w:val="0023211C"/>
    <w:rsid w:val="00242F74"/>
    <w:rsid w:val="002642E4"/>
    <w:rsid w:val="00286A4E"/>
    <w:rsid w:val="002A284D"/>
    <w:rsid w:val="002A65FA"/>
    <w:rsid w:val="002A6D4C"/>
    <w:rsid w:val="002B177B"/>
    <w:rsid w:val="002D0D38"/>
    <w:rsid w:val="002E5320"/>
    <w:rsid w:val="00302459"/>
    <w:rsid w:val="00317113"/>
    <w:rsid w:val="0037249B"/>
    <w:rsid w:val="003C258D"/>
    <w:rsid w:val="003D55F6"/>
    <w:rsid w:val="003D6AAB"/>
    <w:rsid w:val="003F1185"/>
    <w:rsid w:val="004366F0"/>
    <w:rsid w:val="00442029"/>
    <w:rsid w:val="004574EE"/>
    <w:rsid w:val="0048300E"/>
    <w:rsid w:val="004A22BA"/>
    <w:rsid w:val="004C53CC"/>
    <w:rsid w:val="00530355"/>
    <w:rsid w:val="005540A9"/>
    <w:rsid w:val="00555037"/>
    <w:rsid w:val="00571CDC"/>
    <w:rsid w:val="005C07CC"/>
    <w:rsid w:val="005C76C8"/>
    <w:rsid w:val="005F43A3"/>
    <w:rsid w:val="00602FE0"/>
    <w:rsid w:val="00611422"/>
    <w:rsid w:val="00623858"/>
    <w:rsid w:val="00641656"/>
    <w:rsid w:val="00650593"/>
    <w:rsid w:val="006A680E"/>
    <w:rsid w:val="007015B8"/>
    <w:rsid w:val="00724FAF"/>
    <w:rsid w:val="00740008"/>
    <w:rsid w:val="00781338"/>
    <w:rsid w:val="007913DB"/>
    <w:rsid w:val="007D0C52"/>
    <w:rsid w:val="007D4C8C"/>
    <w:rsid w:val="007E0321"/>
    <w:rsid w:val="007E6B80"/>
    <w:rsid w:val="0083131A"/>
    <w:rsid w:val="008442AE"/>
    <w:rsid w:val="0085078D"/>
    <w:rsid w:val="00882B72"/>
    <w:rsid w:val="00894CC1"/>
    <w:rsid w:val="008D23D4"/>
    <w:rsid w:val="00907A69"/>
    <w:rsid w:val="00925573"/>
    <w:rsid w:val="00944854"/>
    <w:rsid w:val="009560C0"/>
    <w:rsid w:val="00961CA2"/>
    <w:rsid w:val="009A56A0"/>
    <w:rsid w:val="009B328A"/>
    <w:rsid w:val="009B4A10"/>
    <w:rsid w:val="009C0111"/>
    <w:rsid w:val="009D2EB4"/>
    <w:rsid w:val="009E0E6C"/>
    <w:rsid w:val="009F590B"/>
    <w:rsid w:val="009F6629"/>
    <w:rsid w:val="00A00BD4"/>
    <w:rsid w:val="00A16D58"/>
    <w:rsid w:val="00A56A54"/>
    <w:rsid w:val="00A618AC"/>
    <w:rsid w:val="00A67417"/>
    <w:rsid w:val="00A839E9"/>
    <w:rsid w:val="00AA4651"/>
    <w:rsid w:val="00AC76BC"/>
    <w:rsid w:val="00AE2D09"/>
    <w:rsid w:val="00AE5128"/>
    <w:rsid w:val="00B15C95"/>
    <w:rsid w:val="00B216E4"/>
    <w:rsid w:val="00B248DA"/>
    <w:rsid w:val="00B505C1"/>
    <w:rsid w:val="00B551ED"/>
    <w:rsid w:val="00B66D4A"/>
    <w:rsid w:val="00B73C84"/>
    <w:rsid w:val="00BA1CD1"/>
    <w:rsid w:val="00BB7022"/>
    <w:rsid w:val="00BC6B56"/>
    <w:rsid w:val="00BE6FAA"/>
    <w:rsid w:val="00C07340"/>
    <w:rsid w:val="00C2409A"/>
    <w:rsid w:val="00C306F7"/>
    <w:rsid w:val="00C33563"/>
    <w:rsid w:val="00C74EED"/>
    <w:rsid w:val="00C86C68"/>
    <w:rsid w:val="00C933BE"/>
    <w:rsid w:val="00C96A4E"/>
    <w:rsid w:val="00CB52E3"/>
    <w:rsid w:val="00CC5372"/>
    <w:rsid w:val="00CC7CE0"/>
    <w:rsid w:val="00CD5B0B"/>
    <w:rsid w:val="00D1431E"/>
    <w:rsid w:val="00D24F47"/>
    <w:rsid w:val="00D927A9"/>
    <w:rsid w:val="00D96C98"/>
    <w:rsid w:val="00DC4287"/>
    <w:rsid w:val="00DD7FDA"/>
    <w:rsid w:val="00DF36C7"/>
    <w:rsid w:val="00E1053F"/>
    <w:rsid w:val="00E1619D"/>
    <w:rsid w:val="00E32060"/>
    <w:rsid w:val="00E3273A"/>
    <w:rsid w:val="00E47EC6"/>
    <w:rsid w:val="00E662F8"/>
    <w:rsid w:val="00ED080E"/>
    <w:rsid w:val="00EF33A4"/>
    <w:rsid w:val="00EF4395"/>
    <w:rsid w:val="00F27EF1"/>
    <w:rsid w:val="00F61850"/>
    <w:rsid w:val="00FA726D"/>
    <w:rsid w:val="00FB291E"/>
    <w:rsid w:val="00FC4BC4"/>
    <w:rsid w:val="00FE592E"/>
    <w:rsid w:val="02EE1AF3"/>
    <w:rsid w:val="03120C0C"/>
    <w:rsid w:val="04D2439F"/>
    <w:rsid w:val="04D67B0D"/>
    <w:rsid w:val="04EC0AAF"/>
    <w:rsid w:val="05B71F49"/>
    <w:rsid w:val="06913676"/>
    <w:rsid w:val="069416F6"/>
    <w:rsid w:val="0720385E"/>
    <w:rsid w:val="07F111C8"/>
    <w:rsid w:val="0ABB13BD"/>
    <w:rsid w:val="0ABD7E6B"/>
    <w:rsid w:val="0CC94DEF"/>
    <w:rsid w:val="0F034702"/>
    <w:rsid w:val="0F35741A"/>
    <w:rsid w:val="0FA15752"/>
    <w:rsid w:val="0FA72C49"/>
    <w:rsid w:val="105C6881"/>
    <w:rsid w:val="11D07116"/>
    <w:rsid w:val="12B2232D"/>
    <w:rsid w:val="13044C61"/>
    <w:rsid w:val="1371785B"/>
    <w:rsid w:val="13CC6CBB"/>
    <w:rsid w:val="14C2255A"/>
    <w:rsid w:val="177B2611"/>
    <w:rsid w:val="17F7B486"/>
    <w:rsid w:val="186F79FB"/>
    <w:rsid w:val="190266B0"/>
    <w:rsid w:val="198663FC"/>
    <w:rsid w:val="1B382445"/>
    <w:rsid w:val="1C68276E"/>
    <w:rsid w:val="1C691F5E"/>
    <w:rsid w:val="1CED1B18"/>
    <w:rsid w:val="1D054398"/>
    <w:rsid w:val="1F1060CE"/>
    <w:rsid w:val="1F270E4C"/>
    <w:rsid w:val="20E15E8B"/>
    <w:rsid w:val="211A22D5"/>
    <w:rsid w:val="22290545"/>
    <w:rsid w:val="225279EB"/>
    <w:rsid w:val="22DA1CDD"/>
    <w:rsid w:val="23871660"/>
    <w:rsid w:val="23FEC87D"/>
    <w:rsid w:val="27505161"/>
    <w:rsid w:val="277C2269"/>
    <w:rsid w:val="27ED495A"/>
    <w:rsid w:val="28F45EB1"/>
    <w:rsid w:val="29946D79"/>
    <w:rsid w:val="2C2D1241"/>
    <w:rsid w:val="2CEF2CDD"/>
    <w:rsid w:val="2D9772F8"/>
    <w:rsid w:val="2E61757A"/>
    <w:rsid w:val="2F5F58CD"/>
    <w:rsid w:val="2FF75DEF"/>
    <w:rsid w:val="2FF9FF9D"/>
    <w:rsid w:val="2FFF1FB5"/>
    <w:rsid w:val="31852D85"/>
    <w:rsid w:val="336F2DF3"/>
    <w:rsid w:val="33CD4CA2"/>
    <w:rsid w:val="349277A4"/>
    <w:rsid w:val="376A3A5A"/>
    <w:rsid w:val="376F5832"/>
    <w:rsid w:val="37BFAF5C"/>
    <w:rsid w:val="385D236B"/>
    <w:rsid w:val="387E14A4"/>
    <w:rsid w:val="3A8F54EB"/>
    <w:rsid w:val="3B653D90"/>
    <w:rsid w:val="3C5EF1A1"/>
    <w:rsid w:val="3C6B5997"/>
    <w:rsid w:val="3DBDB6A8"/>
    <w:rsid w:val="3EEBF2C4"/>
    <w:rsid w:val="3FC73829"/>
    <w:rsid w:val="3FD60BF9"/>
    <w:rsid w:val="3FF66614"/>
    <w:rsid w:val="3FF9BD89"/>
    <w:rsid w:val="3FFE9009"/>
    <w:rsid w:val="40222D00"/>
    <w:rsid w:val="40935B38"/>
    <w:rsid w:val="42094EEA"/>
    <w:rsid w:val="43535351"/>
    <w:rsid w:val="435A7085"/>
    <w:rsid w:val="457C2FAD"/>
    <w:rsid w:val="45A5636F"/>
    <w:rsid w:val="460E4492"/>
    <w:rsid w:val="46B240D3"/>
    <w:rsid w:val="46D82B48"/>
    <w:rsid w:val="479D2C48"/>
    <w:rsid w:val="49851D3B"/>
    <w:rsid w:val="49CD2D52"/>
    <w:rsid w:val="4A544F96"/>
    <w:rsid w:val="4B0755BA"/>
    <w:rsid w:val="4F314945"/>
    <w:rsid w:val="4F336172"/>
    <w:rsid w:val="4FA61C45"/>
    <w:rsid w:val="4FDA5558"/>
    <w:rsid w:val="50522933"/>
    <w:rsid w:val="517DBEF9"/>
    <w:rsid w:val="53000AEF"/>
    <w:rsid w:val="53766F8D"/>
    <w:rsid w:val="55322CC5"/>
    <w:rsid w:val="553F340E"/>
    <w:rsid w:val="57774B85"/>
    <w:rsid w:val="57884105"/>
    <w:rsid w:val="57ED3110"/>
    <w:rsid w:val="57FFE1CF"/>
    <w:rsid w:val="58106656"/>
    <w:rsid w:val="58404395"/>
    <w:rsid w:val="5A684200"/>
    <w:rsid w:val="5B7F7ED1"/>
    <w:rsid w:val="5B8A051B"/>
    <w:rsid w:val="5D112BD4"/>
    <w:rsid w:val="5D1670B8"/>
    <w:rsid w:val="5D9F233E"/>
    <w:rsid w:val="5F3A89EC"/>
    <w:rsid w:val="5F5FD4B2"/>
    <w:rsid w:val="5F5FD7E5"/>
    <w:rsid w:val="5F79701C"/>
    <w:rsid w:val="5F7F8DF3"/>
    <w:rsid w:val="5FF77DC1"/>
    <w:rsid w:val="60086873"/>
    <w:rsid w:val="63F16AE1"/>
    <w:rsid w:val="64D64AE3"/>
    <w:rsid w:val="66514C83"/>
    <w:rsid w:val="68007045"/>
    <w:rsid w:val="69160ACD"/>
    <w:rsid w:val="696B0D44"/>
    <w:rsid w:val="6997221D"/>
    <w:rsid w:val="6A6E659E"/>
    <w:rsid w:val="6B203EE8"/>
    <w:rsid w:val="6BFF4AE5"/>
    <w:rsid w:val="6C870450"/>
    <w:rsid w:val="6FFEEE14"/>
    <w:rsid w:val="6FFFC1A8"/>
    <w:rsid w:val="711D79E2"/>
    <w:rsid w:val="72846DBE"/>
    <w:rsid w:val="73AF0565"/>
    <w:rsid w:val="73E07968"/>
    <w:rsid w:val="75EFA5ED"/>
    <w:rsid w:val="774C4D47"/>
    <w:rsid w:val="7776765F"/>
    <w:rsid w:val="779F6509"/>
    <w:rsid w:val="77F91482"/>
    <w:rsid w:val="781947FD"/>
    <w:rsid w:val="789D2020"/>
    <w:rsid w:val="78EC0536"/>
    <w:rsid w:val="792B5D36"/>
    <w:rsid w:val="7AFD2891"/>
    <w:rsid w:val="7B3A1513"/>
    <w:rsid w:val="7B755202"/>
    <w:rsid w:val="7BF7C2DD"/>
    <w:rsid w:val="7C1F7542"/>
    <w:rsid w:val="7C7C458C"/>
    <w:rsid w:val="7CBB0A5D"/>
    <w:rsid w:val="7CE82A1E"/>
    <w:rsid w:val="7DD761DD"/>
    <w:rsid w:val="7DDE4CB4"/>
    <w:rsid w:val="7F8A7CB5"/>
    <w:rsid w:val="7F9C1A6F"/>
    <w:rsid w:val="7FBAE303"/>
    <w:rsid w:val="7FCF9029"/>
    <w:rsid w:val="7FD34515"/>
    <w:rsid w:val="7FFF8A83"/>
    <w:rsid w:val="87FF6A4C"/>
    <w:rsid w:val="92DF19DA"/>
    <w:rsid w:val="97BAE2E4"/>
    <w:rsid w:val="97DED269"/>
    <w:rsid w:val="9DF97FF2"/>
    <w:rsid w:val="9EB6469B"/>
    <w:rsid w:val="A3C7CFCE"/>
    <w:rsid w:val="ADBEBE83"/>
    <w:rsid w:val="AFFEAE1B"/>
    <w:rsid w:val="B8DB2376"/>
    <w:rsid w:val="BB3F7A3C"/>
    <w:rsid w:val="BFBF801C"/>
    <w:rsid w:val="D1FA1E83"/>
    <w:rsid w:val="DFFDBF9B"/>
    <w:rsid w:val="E4BF8A48"/>
    <w:rsid w:val="E5FDD4A3"/>
    <w:rsid w:val="E6EAF366"/>
    <w:rsid w:val="EDAF1267"/>
    <w:rsid w:val="EFF3E73C"/>
    <w:rsid w:val="F3BD7839"/>
    <w:rsid w:val="F4C63048"/>
    <w:rsid w:val="F6AF35F7"/>
    <w:rsid w:val="F971BBE1"/>
    <w:rsid w:val="FAF3A1B7"/>
    <w:rsid w:val="FB134D7F"/>
    <w:rsid w:val="FBE40397"/>
    <w:rsid w:val="FBF7384B"/>
    <w:rsid w:val="FCBF7DC6"/>
    <w:rsid w:val="FDFFF2FE"/>
    <w:rsid w:val="FE72B781"/>
    <w:rsid w:val="FEE3DA3A"/>
    <w:rsid w:val="FEFF4FC5"/>
    <w:rsid w:val="FF3FA650"/>
    <w:rsid w:val="FFBE993A"/>
    <w:rsid w:val="FFBFC5A1"/>
    <w:rsid w:val="FFFF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360" w:lineRule="auto"/>
      <w:ind w:firstLine="200" w:firstLineChars="200"/>
      <w:jc w:val="both"/>
    </w:pPr>
    <w:rPr>
      <w:rFonts w:ascii="Times New Roman" w:hAnsi="Times New Roman" w:eastAsia="仿宋_GB2312" w:cstheme="minorBidi"/>
      <w:kern w:val="2"/>
      <w:sz w:val="32"/>
      <w:szCs w:val="28"/>
      <w:lang w:val="en-US" w:eastAsia="zh-CN" w:bidi="ar-SA"/>
    </w:rPr>
  </w:style>
  <w:style w:type="paragraph" w:styleId="4">
    <w:name w:val="heading 1"/>
    <w:basedOn w:val="1"/>
    <w:next w:val="1"/>
    <w:link w:val="22"/>
    <w:qFormat/>
    <w:uiPriority w:val="9"/>
    <w:pPr>
      <w:keepNext/>
      <w:keepLines/>
      <w:jc w:val="left"/>
      <w:outlineLvl w:val="0"/>
    </w:pPr>
    <w:rPr>
      <w:rFonts w:eastAsia="黑体"/>
      <w:bCs/>
      <w:kern w:val="44"/>
      <w:szCs w:val="44"/>
    </w:rPr>
  </w:style>
  <w:style w:type="paragraph" w:styleId="5">
    <w:name w:val="heading 2"/>
    <w:basedOn w:val="1"/>
    <w:next w:val="1"/>
    <w:link w:val="23"/>
    <w:unhideWhenUsed/>
    <w:qFormat/>
    <w:uiPriority w:val="9"/>
    <w:pPr>
      <w:keepNext/>
      <w:keepLines/>
      <w:jc w:val="left"/>
      <w:outlineLvl w:val="1"/>
    </w:pPr>
    <w:rPr>
      <w:rFonts w:eastAsia="楷体_GB2312" w:cstheme="majorBidi"/>
      <w:bCs/>
      <w:szCs w:val="32"/>
    </w:rPr>
  </w:style>
  <w:style w:type="paragraph" w:styleId="6">
    <w:name w:val="heading 3"/>
    <w:basedOn w:val="1"/>
    <w:next w:val="1"/>
    <w:link w:val="24"/>
    <w:unhideWhenUsed/>
    <w:qFormat/>
    <w:uiPriority w:val="9"/>
    <w:pPr>
      <w:keepNext/>
      <w:keepLines/>
      <w:spacing w:before="260" w:after="260" w:line="416" w:lineRule="auto"/>
      <w:outlineLvl w:val="2"/>
    </w:pPr>
    <w:rPr>
      <w:b/>
      <w:bCs/>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after="120"/>
    </w:pPr>
  </w:style>
  <w:style w:type="paragraph" w:customStyle="1" w:styleId="3">
    <w:name w:val="BodyText2"/>
    <w:basedOn w:val="1"/>
    <w:qFormat/>
    <w:uiPriority w:val="0"/>
    <w:pPr>
      <w:spacing w:after="120" w:line="480" w:lineRule="auto"/>
    </w:pPr>
  </w:style>
  <w:style w:type="paragraph" w:styleId="7">
    <w:name w:val="annotation text"/>
    <w:basedOn w:val="1"/>
    <w:unhideWhenUsed/>
    <w:qFormat/>
    <w:uiPriority w:val="99"/>
    <w:pPr>
      <w:jc w:val="left"/>
    </w:pPr>
  </w:style>
  <w:style w:type="paragraph" w:styleId="8">
    <w:name w:val="Body Text"/>
    <w:basedOn w:val="1"/>
    <w:next w:val="9"/>
    <w:qFormat/>
    <w:uiPriority w:val="0"/>
    <w:pPr>
      <w:spacing w:after="120"/>
    </w:pPr>
  </w:style>
  <w:style w:type="paragraph" w:styleId="9">
    <w:name w:val="Body Text 2"/>
    <w:basedOn w:val="1"/>
    <w:unhideWhenUsed/>
    <w:qFormat/>
    <w:uiPriority w:val="0"/>
    <w:rPr>
      <w:rFonts w:eastAsia="楷体_GB2312"/>
    </w:rPr>
  </w:style>
  <w:style w:type="paragraph" w:styleId="10">
    <w:name w:val="Plain Text"/>
    <w:next w:val="1"/>
    <w:qFormat/>
    <w:uiPriority w:val="0"/>
    <w:pPr>
      <w:widowControl w:val="0"/>
      <w:spacing w:line="560" w:lineRule="exact"/>
      <w:ind w:firstLine="800" w:firstLineChars="200"/>
      <w:jc w:val="both"/>
    </w:pPr>
    <w:rPr>
      <w:rFonts w:ascii="Times New Roman" w:hAnsi="Times New Roman" w:eastAsia="仿宋" w:cs="Courier New"/>
      <w:kern w:val="2"/>
      <w:sz w:val="32"/>
      <w:szCs w:val="21"/>
      <w:lang w:val="en-US" w:eastAsia="zh-CN" w:bidi="ar-SA"/>
    </w:rPr>
  </w:style>
  <w:style w:type="paragraph" w:styleId="11">
    <w:name w:val="Body Text Indent 2"/>
    <w:basedOn w:val="1"/>
    <w:qFormat/>
    <w:uiPriority w:val="0"/>
    <w:pPr>
      <w:spacing w:after="120" w:line="480" w:lineRule="auto"/>
      <w:ind w:left="420" w:leftChars="200"/>
    </w:pPr>
    <w:rPr>
      <w:sz w:val="24"/>
    </w:rPr>
  </w:style>
  <w:style w:type="paragraph" w:styleId="12">
    <w:name w:val="footer"/>
    <w:basedOn w:val="1"/>
    <w:link w:val="29"/>
    <w:unhideWhenUsed/>
    <w:qFormat/>
    <w:uiPriority w:val="99"/>
    <w:pPr>
      <w:tabs>
        <w:tab w:val="center" w:pos="4153"/>
        <w:tab w:val="right" w:pos="8306"/>
      </w:tabs>
      <w:snapToGrid w:val="0"/>
      <w:spacing w:line="240" w:lineRule="auto"/>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4">
    <w:name w:val="index 9"/>
    <w:basedOn w:val="1"/>
    <w:next w:val="1"/>
    <w:unhideWhenUsed/>
    <w:qFormat/>
    <w:uiPriority w:val="99"/>
    <w:pPr>
      <w:ind w:left="1600" w:leftChars="1600"/>
    </w:p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8"/>
    <w:next w:val="17"/>
    <w:qFormat/>
    <w:uiPriority w:val="0"/>
    <w:pPr>
      <w:spacing w:beforeAutospacing="1" w:after="100" w:afterAutospacing="1"/>
      <w:ind w:left="1548" w:firstLine="420" w:firstLineChars="100"/>
    </w:pPr>
    <w:rPr>
      <w:kern w:val="0"/>
      <w:sz w:val="20"/>
      <w:szCs w:val="20"/>
    </w:rPr>
  </w:style>
  <w:style w:type="paragraph" w:styleId="17">
    <w:name w:val="Body Text First Indent 2"/>
    <w:basedOn w:val="1"/>
    <w:next w:val="1"/>
    <w:qFormat/>
    <w:uiPriority w:val="0"/>
    <w:pPr>
      <w:ind w:firstLine="420"/>
    </w:pPr>
    <w:rPr>
      <w:rFonts w:ascii="仿宋_GB2312"/>
      <w:sz w:val="21"/>
      <w:szCs w:val="32"/>
    </w:rPr>
  </w:style>
  <w:style w:type="character" w:styleId="20">
    <w:name w:val="Strong"/>
    <w:basedOn w:val="19"/>
    <w:qFormat/>
    <w:uiPriority w:val="0"/>
    <w:rPr>
      <w:b/>
    </w:rPr>
  </w:style>
  <w:style w:type="character" w:styleId="21">
    <w:name w:val="page number"/>
    <w:basedOn w:val="19"/>
    <w:qFormat/>
    <w:uiPriority w:val="0"/>
  </w:style>
  <w:style w:type="character" w:customStyle="1" w:styleId="22">
    <w:name w:val="标题 1 字符"/>
    <w:basedOn w:val="19"/>
    <w:link w:val="4"/>
    <w:qFormat/>
    <w:uiPriority w:val="9"/>
    <w:rPr>
      <w:rFonts w:ascii="Times New Roman" w:hAnsi="Times New Roman" w:eastAsia="黑体"/>
      <w:bCs/>
      <w:kern w:val="44"/>
      <w:sz w:val="32"/>
      <w:szCs w:val="44"/>
    </w:rPr>
  </w:style>
  <w:style w:type="character" w:customStyle="1" w:styleId="23">
    <w:name w:val="标题 2 字符"/>
    <w:basedOn w:val="19"/>
    <w:link w:val="5"/>
    <w:qFormat/>
    <w:uiPriority w:val="9"/>
    <w:rPr>
      <w:rFonts w:ascii="Times New Roman" w:hAnsi="Times New Roman" w:eastAsia="楷体_GB2312" w:cstheme="majorBidi"/>
      <w:bCs/>
      <w:sz w:val="32"/>
      <w:szCs w:val="32"/>
    </w:rPr>
  </w:style>
  <w:style w:type="character" w:customStyle="1" w:styleId="24">
    <w:name w:val="标题 3 字符"/>
    <w:basedOn w:val="19"/>
    <w:link w:val="6"/>
    <w:semiHidden/>
    <w:qFormat/>
    <w:uiPriority w:val="9"/>
    <w:rPr>
      <w:rFonts w:ascii="Times New Roman" w:hAnsi="Times New Roman" w:eastAsia="仿宋_GB2312"/>
      <w:b/>
      <w:bCs/>
      <w:sz w:val="32"/>
      <w:szCs w:val="32"/>
    </w:rPr>
  </w:style>
  <w:style w:type="character" w:customStyle="1" w:styleId="25">
    <w:name w:val="Body text (2) Exact"/>
    <w:basedOn w:val="19"/>
    <w:link w:val="26"/>
    <w:qFormat/>
    <w:uiPriority w:val="0"/>
    <w:rPr>
      <w:sz w:val="20"/>
      <w:szCs w:val="20"/>
      <w:shd w:val="clear" w:color="auto" w:fill="FFFFFF"/>
    </w:rPr>
  </w:style>
  <w:style w:type="paragraph" w:customStyle="1" w:styleId="26">
    <w:name w:val="Body text (2)"/>
    <w:basedOn w:val="1"/>
    <w:link w:val="25"/>
    <w:qFormat/>
    <w:uiPriority w:val="0"/>
    <w:pPr>
      <w:shd w:val="clear" w:color="auto" w:fill="FFFFFF"/>
      <w:spacing w:line="240" w:lineRule="auto"/>
      <w:ind w:firstLine="0" w:firstLineChars="0"/>
      <w:jc w:val="left"/>
    </w:pPr>
    <w:rPr>
      <w:rFonts w:asciiTheme="minorHAnsi" w:hAnsiTheme="minorHAnsi" w:eastAsiaTheme="minorEastAsia"/>
      <w:sz w:val="20"/>
      <w:szCs w:val="20"/>
    </w:rPr>
  </w:style>
  <w:style w:type="character" w:customStyle="1" w:styleId="27">
    <w:name w:val="Body text (2) + SimSun"/>
    <w:basedOn w:val="25"/>
    <w:qFormat/>
    <w:uiPriority w:val="0"/>
    <w:rPr>
      <w:rFonts w:ascii="宋体" w:hAnsi="宋体" w:eastAsia="宋体" w:cs="宋体"/>
      <w:b/>
      <w:bCs/>
      <w:color w:val="000000"/>
      <w:spacing w:val="0"/>
      <w:w w:val="100"/>
      <w:position w:val="0"/>
      <w:sz w:val="32"/>
      <w:szCs w:val="32"/>
      <w:shd w:val="clear" w:color="auto" w:fill="FFFFFF"/>
      <w:lang w:val="zh-TW" w:eastAsia="zh-TW" w:bidi="zh-TW"/>
    </w:rPr>
  </w:style>
  <w:style w:type="character" w:customStyle="1" w:styleId="28">
    <w:name w:val="页眉 字符"/>
    <w:basedOn w:val="19"/>
    <w:link w:val="13"/>
    <w:qFormat/>
    <w:uiPriority w:val="99"/>
    <w:rPr>
      <w:rFonts w:ascii="Times New Roman" w:hAnsi="Times New Roman" w:eastAsia="仿宋_GB2312"/>
      <w:sz w:val="18"/>
      <w:szCs w:val="18"/>
    </w:rPr>
  </w:style>
  <w:style w:type="character" w:customStyle="1" w:styleId="29">
    <w:name w:val="页脚 字符"/>
    <w:basedOn w:val="19"/>
    <w:link w:val="12"/>
    <w:qFormat/>
    <w:uiPriority w:val="99"/>
    <w:rPr>
      <w:rFonts w:ascii="Times New Roman" w:hAnsi="Times New Roman" w:eastAsia="仿宋_GB2312"/>
      <w:sz w:val="18"/>
      <w:szCs w:val="18"/>
    </w:rPr>
  </w:style>
  <w:style w:type="paragraph" w:customStyle="1" w:styleId="3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31">
    <w:name w:val="修订1"/>
    <w:hidden/>
    <w:semiHidden/>
    <w:qFormat/>
    <w:uiPriority w:val="99"/>
    <w:pPr>
      <w:spacing w:after="160" w:line="278" w:lineRule="auto"/>
    </w:pPr>
    <w:rPr>
      <w:rFonts w:ascii="Times New Roman" w:hAnsi="Times New Roman" w:eastAsia="仿宋_GB2312" w:cstheme="minorBidi"/>
      <w:kern w:val="2"/>
      <w:sz w:val="32"/>
      <w:szCs w:val="28"/>
      <w:lang w:val="en-US" w:eastAsia="zh-CN" w:bidi="ar-SA"/>
    </w:rPr>
  </w:style>
  <w:style w:type="paragraph" w:customStyle="1" w:styleId="32">
    <w:name w:val="列出段落1"/>
    <w:basedOn w:val="1"/>
    <w:qFormat/>
    <w:uiPriority w:val="0"/>
    <w:pPr>
      <w:ind w:firstLine="420"/>
    </w:pPr>
  </w:style>
  <w:style w:type="paragraph" w:customStyle="1" w:styleId="33">
    <w:name w:val="修订2"/>
    <w:hidden/>
    <w:unhideWhenUsed/>
    <w:qFormat/>
    <w:uiPriority w:val="99"/>
    <w:pPr>
      <w:spacing w:after="160" w:line="278" w:lineRule="auto"/>
    </w:pPr>
    <w:rPr>
      <w:rFonts w:ascii="Times New Roman" w:hAnsi="Times New Roman" w:eastAsia="仿宋_GB2312" w:cstheme="minorBidi"/>
      <w:kern w:val="2"/>
      <w:sz w:val="32"/>
      <w:szCs w:val="28"/>
      <w:lang w:val="en-US" w:eastAsia="zh-CN" w:bidi="ar-SA"/>
    </w:rPr>
  </w:style>
  <w:style w:type="paragraph" w:customStyle="1" w:styleId="34">
    <w:name w:val="修订3"/>
    <w:hidden/>
    <w:unhideWhenUsed/>
    <w:qFormat/>
    <w:uiPriority w:val="99"/>
    <w:pPr>
      <w:spacing w:after="160" w:line="278" w:lineRule="auto"/>
    </w:pPr>
    <w:rPr>
      <w:rFonts w:ascii="Times New Roman" w:hAnsi="Times New Roman" w:eastAsia="仿宋_GB2312" w:cstheme="minorBidi"/>
      <w:kern w:val="2"/>
      <w:sz w:val="32"/>
      <w:szCs w:val="28"/>
      <w:lang w:val="en-US" w:eastAsia="zh-CN" w:bidi="ar-SA"/>
    </w:rPr>
  </w:style>
  <w:style w:type="paragraph" w:customStyle="1" w:styleId="35">
    <w:name w:val="Revision"/>
    <w:hidden/>
    <w:unhideWhenUsed/>
    <w:qFormat/>
    <w:uiPriority w:val="99"/>
    <w:pPr>
      <w:spacing w:after="0" w:line="240" w:lineRule="auto"/>
    </w:pPr>
    <w:rPr>
      <w:rFonts w:ascii="Times New Roman" w:hAnsi="Times New Roman" w:eastAsia="仿宋_GB2312" w:cstheme="minorBidi"/>
      <w:kern w:val="2"/>
      <w:sz w:val="32"/>
      <w:szCs w:val="28"/>
      <w:lang w:val="en-US" w:eastAsia="zh-CN" w:bidi="ar-SA"/>
    </w:rPr>
  </w:style>
  <w:style w:type="paragraph" w:customStyle="1" w:styleId="36">
    <w:name w:val="样式 首行缩进:  2 字符"/>
    <w:basedOn w:val="1"/>
    <w:qFormat/>
    <w:uiPriority w:val="0"/>
    <w:pPr>
      <w:ind w:firstLine="480"/>
    </w:pPr>
    <w:rPr>
      <w:rFonts w:hint="eastAsia" w:ascii="宋体" w:hAnsi="宋体" w:eastAsia="宋体" w:cs="Times New Roman"/>
      <w:kern w:val="0"/>
      <w:szCs w:val="24"/>
    </w:rPr>
  </w:style>
  <w:style w:type="paragraph" w:customStyle="1" w:styleId="37">
    <w:name w:val="通政办发"/>
    <w:qFormat/>
    <w:uiPriority w:val="0"/>
    <w:pPr>
      <w:widowControl w:val="0"/>
      <w:snapToGrid w:val="0"/>
      <w:spacing w:line="600" w:lineRule="exact"/>
      <w:jc w:val="center"/>
    </w:pPr>
    <w:rPr>
      <w:rFonts w:ascii="仿宋_GB2312" w:hAnsi="Times New Roman" w:eastAsia="仿宋_GB2312" w:cs="仿宋_GB2312"/>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7155</Words>
  <Characters>7213</Characters>
  <Lines>94</Lines>
  <Paragraphs>26</Paragraphs>
  <TotalTime>1</TotalTime>
  <ScaleCrop>false</ScaleCrop>
  <LinksUpToDate>false</LinksUpToDate>
  <CharactersWithSpaces>7228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2023-02-24T17:06:00Z</dcterms:created>
  <dc:creator>批注</dc:creator>
  <cp:lastModifiedBy>user</cp:lastModifiedBy>
  <cp:lastPrinted>2024-01-26T03:43:00Z</cp:lastPrinted>
  <dcterms:modified xsi:type="dcterms:W3CDTF">2024-02-04T16:01:55Z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A0FD0ECA8F914E19BA6C94FE96E87BAF_13</vt:lpwstr>
  </property>
</Properties>
</file>