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附件1</w:t>
      </w:r>
      <w:r>
        <w:rPr>
          <w:rFonts w:hint="eastAsia" w:ascii="黑体" w:hAnsi="黑体" w:eastAsia="黑体"/>
          <w:color w:val="auto"/>
          <w:sz w:val="32"/>
          <w:szCs w:val="32"/>
          <w:lang w:val="en-US" w:eastAsia="zh-CN"/>
        </w:rPr>
        <w:t>-1</w:t>
      </w:r>
    </w:p>
    <w:tbl>
      <w:tblPr>
        <w:tblStyle w:val="8"/>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910"/>
        <w:gridCol w:w="140"/>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2023</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bookmarkStart w:id="0" w:name="_GoBack"/>
            <w:r>
              <w:rPr>
                <w:rFonts w:hint="eastAsia" w:ascii="宋体" w:hAnsi="宋体" w:cs="宋体"/>
                <w:color w:val="auto"/>
                <w:kern w:val="0"/>
                <w:sz w:val="18"/>
                <w:szCs w:val="18"/>
              </w:rPr>
              <w:t>职业技能管理服务经费</w:t>
            </w:r>
            <w:bookmarkEnd w:id="0"/>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北京市通州区人力资源和社会保障局</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通州区职业技能管理中心</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w:t>
            </w:r>
            <w:r>
              <w:rPr>
                <w:rFonts w:ascii="宋体" w:hAnsi="宋体" w:cs="宋体"/>
                <w:color w:val="auto"/>
                <w:kern w:val="0"/>
                <w:sz w:val="18"/>
                <w:szCs w:val="18"/>
              </w:rPr>
              <w:t>负责人</w:t>
            </w:r>
          </w:p>
        </w:tc>
        <w:tc>
          <w:tcPr>
            <w:tcW w:w="402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周伟玲</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ascii="宋体" w:hAnsi="宋体" w:cs="宋体"/>
                <w:color w:val="auto"/>
                <w:kern w:val="0"/>
                <w:sz w:val="18"/>
                <w:szCs w:val="18"/>
              </w:rPr>
              <w:t>联系电话</w:t>
            </w:r>
          </w:p>
        </w:tc>
        <w:tc>
          <w:tcPr>
            <w:tcW w:w="2306"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60562051</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9.97498</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99.7%</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9.97498</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99.7%</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860"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目标1：完成区级培训机构师资培训和质量督导员培训。</w:t>
            </w:r>
          </w:p>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目标2：完成区级督考员培训，并对区内技能等级认定考试派遣督考员。</w:t>
            </w:r>
          </w:p>
          <w:p>
            <w:pPr>
              <w:widowControl/>
              <w:spacing w:line="240" w:lineRule="exact"/>
              <w:jc w:val="left"/>
              <w:rPr>
                <w:rFonts w:hint="eastAsia" w:ascii="宋体" w:hAnsi="宋体" w:cs="宋体"/>
                <w:color w:val="auto"/>
                <w:kern w:val="0"/>
                <w:sz w:val="18"/>
                <w:szCs w:val="18"/>
              </w:rPr>
            </w:pPr>
            <w:r>
              <w:rPr>
                <w:rFonts w:hint="eastAsia" w:ascii="宋体" w:hAnsi="宋体" w:cs="宋体"/>
                <w:color w:val="auto"/>
                <w:kern w:val="0"/>
                <w:sz w:val="18"/>
                <w:szCs w:val="18"/>
              </w:rPr>
              <w:t xml:space="preserve">目标3：做好补贴培训班的督导工作，保障补贴培训质量。       </w:t>
            </w:r>
          </w:p>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目标4：做好日常民办职业技能培训机构师资管理的各项工作。配合职业能力建设科开展好民办校认定等的专家评审工作。</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both"/>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开展</w:t>
            </w:r>
            <w:r>
              <w:rPr>
                <w:rFonts w:hint="eastAsia" w:ascii="宋体" w:hAnsi="宋体" w:cs="宋体"/>
                <w:color w:val="auto"/>
                <w:kern w:val="0"/>
                <w:sz w:val="18"/>
                <w:szCs w:val="18"/>
              </w:rPr>
              <w:t>区级培训机构师资培训和质量督导员培训</w:t>
            </w:r>
            <w:r>
              <w:rPr>
                <w:rFonts w:hint="eastAsia" w:ascii="宋体" w:hAnsi="宋体" w:eastAsia="宋体" w:cs="宋体"/>
                <w:i w:val="0"/>
                <w:iCs w:val="0"/>
                <w:color w:val="000000"/>
                <w:kern w:val="0"/>
                <w:sz w:val="18"/>
                <w:szCs w:val="18"/>
                <w:u w:val="none"/>
                <w:lang w:val="en-US" w:eastAsia="zh-CN" w:bidi="ar"/>
              </w:rPr>
              <w:t>约</w:t>
            </w:r>
            <w:r>
              <w:rPr>
                <w:rFonts w:hint="eastAsia" w:ascii="宋体" w:hAnsi="宋体" w:cs="宋体"/>
                <w:i w:val="0"/>
                <w:iCs w:val="0"/>
                <w:color w:val="000000"/>
                <w:kern w:val="0"/>
                <w:sz w:val="18"/>
                <w:szCs w:val="18"/>
                <w:u w:val="none"/>
                <w:lang w:val="en-US" w:eastAsia="zh-CN" w:bidi="ar"/>
              </w:rPr>
              <w:t>120人，利用互联网+的督导模式，开展现场职业技能等级认定督导和培训督导，</w:t>
            </w:r>
            <w:r>
              <w:rPr>
                <w:rFonts w:hint="eastAsia" w:ascii="宋体" w:hAnsi="宋体" w:cs="宋体"/>
                <w:color w:val="auto"/>
                <w:kern w:val="0"/>
                <w:sz w:val="18"/>
                <w:szCs w:val="18"/>
              </w:rPr>
              <w:t>配合职业能力建设科</w:t>
            </w:r>
            <w:r>
              <w:rPr>
                <w:rFonts w:hint="eastAsia" w:ascii="宋体" w:hAnsi="宋体" w:cs="宋体"/>
                <w:color w:val="auto"/>
                <w:kern w:val="0"/>
                <w:sz w:val="18"/>
                <w:szCs w:val="18"/>
                <w:lang w:val="en-US" w:eastAsia="zh-CN"/>
              </w:rPr>
              <w:t>开展5次专家评审工作</w:t>
            </w:r>
            <w:r>
              <w:rPr>
                <w:rFonts w:hint="eastAsia" w:ascii="宋体" w:hAnsi="宋体" w:cs="宋体"/>
                <w:color w:val="auto"/>
                <w:kern w:val="0"/>
                <w:sz w:val="18"/>
                <w:szCs w:val="18"/>
              </w:rPr>
              <w:t>。</w:t>
            </w:r>
            <w:r>
              <w:rPr>
                <w:rFonts w:hint="eastAsia" w:ascii="宋体" w:hAnsi="宋体" w:cs="宋体"/>
                <w:color w:val="auto"/>
                <w:kern w:val="0"/>
                <w:sz w:val="18"/>
                <w:szCs w:val="18"/>
                <w:lang w:eastAsia="zh-CN"/>
              </w:rPr>
              <w:t>稳步推进区职业技能管理中心工作有序开展。</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219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default"/>
                <w:lang w:val="en-US" w:eastAsia="zh-CN"/>
              </w:rPr>
            </w:pPr>
            <w:r>
              <w:rPr>
                <w:rFonts w:hint="eastAsia" w:ascii="宋体" w:hAnsi="宋体" w:cs="宋体"/>
                <w:color w:val="auto"/>
                <w:kern w:val="0"/>
                <w:sz w:val="18"/>
                <w:szCs w:val="18"/>
              </w:rPr>
              <w:t>产出指标</w:t>
            </w:r>
          </w:p>
        </w:tc>
        <w:tc>
          <w:tcPr>
            <w:tcW w:w="1086"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指标1：组织区级培训机构师资培训和督导员培训</w:t>
            </w:r>
          </w:p>
        </w:tc>
        <w:tc>
          <w:tcPr>
            <w:tcW w:w="938"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年度内师资培训和督导员培训约100人（以实际发生为准）</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i w:val="0"/>
                <w:iCs w:val="0"/>
                <w:color w:val="000000"/>
                <w:kern w:val="0"/>
                <w:sz w:val="18"/>
                <w:szCs w:val="18"/>
                <w:u w:val="none"/>
                <w:lang w:val="en-US" w:eastAsia="zh-CN" w:bidi="ar"/>
              </w:rPr>
              <w:t>开展</w:t>
            </w:r>
            <w:r>
              <w:rPr>
                <w:rFonts w:hint="eastAsia" w:ascii="宋体" w:hAnsi="宋体" w:eastAsia="宋体" w:cs="宋体"/>
                <w:i w:val="0"/>
                <w:iCs w:val="0"/>
                <w:color w:val="000000"/>
                <w:kern w:val="0"/>
                <w:sz w:val="18"/>
                <w:szCs w:val="18"/>
                <w:u w:val="none"/>
                <w:lang w:val="en-US" w:eastAsia="zh-CN" w:bidi="ar"/>
              </w:rPr>
              <w:t>师资培训和督导员培训约</w:t>
            </w:r>
            <w:r>
              <w:rPr>
                <w:rFonts w:hint="eastAsia" w:ascii="宋体" w:hAnsi="宋体" w:cs="宋体"/>
                <w:i w:val="0"/>
                <w:iCs w:val="0"/>
                <w:color w:val="000000"/>
                <w:kern w:val="0"/>
                <w:sz w:val="18"/>
                <w:szCs w:val="18"/>
                <w:u w:val="none"/>
                <w:lang w:val="en-US" w:eastAsia="zh-CN" w:bidi="ar"/>
              </w:rPr>
              <w:t>120人</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34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pStyle w:val="2"/>
              <w:rPr>
                <w:rFonts w:hint="eastAsia" w:ascii="宋体" w:hAnsi="宋体" w:cs="宋体"/>
                <w:color w:val="auto"/>
                <w:kern w:val="0"/>
                <w:sz w:val="18"/>
                <w:szCs w:val="18"/>
                <w:lang w:val="en-US" w:eastAsia="zh-CN"/>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指标2：组织区级督考员培训和职业技能等级认定质量督导工作</w:t>
            </w:r>
          </w:p>
        </w:tc>
        <w:tc>
          <w:tcPr>
            <w:tcW w:w="938"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每场督考员派遣不少于2人</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按照市中心相关规定开展工作</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28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pStyle w:val="2"/>
              <w:rPr>
                <w:rFonts w:hint="eastAsia" w:ascii="宋体" w:hAnsi="宋体" w:cs="宋体"/>
                <w:color w:val="auto"/>
                <w:kern w:val="0"/>
                <w:sz w:val="18"/>
                <w:szCs w:val="18"/>
                <w:lang w:val="en-US" w:eastAsia="zh-CN"/>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指标3：补贴培训班督导现场督导全覆盖</w:t>
            </w:r>
          </w:p>
        </w:tc>
        <w:tc>
          <w:tcPr>
            <w:tcW w:w="938"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补贴培训督导全覆盖</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开展49次培训督导，实现全覆盖</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59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pStyle w:val="2"/>
              <w:rPr>
                <w:rFonts w:hint="eastAsia" w:ascii="宋体" w:hAnsi="宋体" w:cs="宋体"/>
                <w:color w:val="auto"/>
                <w:kern w:val="0"/>
                <w:sz w:val="18"/>
                <w:szCs w:val="18"/>
                <w:lang w:val="en-US" w:eastAsia="zh-CN"/>
              </w:rPr>
            </w:pPr>
          </w:p>
        </w:tc>
        <w:tc>
          <w:tcPr>
            <w:tcW w:w="108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指标4：配合职业能力建设科组织行业专家对民办校认定等工作开展评审工作</w:t>
            </w:r>
          </w:p>
        </w:tc>
        <w:tc>
          <w:tcPr>
            <w:tcW w:w="938"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依具体情况而定</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开展5次专家评审工作</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83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指标1：聘请北京市职业技能培训相关专家或优秀职业技能教育工作者进行师资培训，保障培训质量。</w:t>
            </w:r>
          </w:p>
        </w:tc>
        <w:tc>
          <w:tcPr>
            <w:tcW w:w="938"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开展区级师资培训1次</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组织开展区级师资培训，效果显著</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67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指标2：组织区级督考员培训并完成督考任务</w:t>
            </w:r>
          </w:p>
        </w:tc>
        <w:tc>
          <w:tcPr>
            <w:tcW w:w="938"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职业技能等级认定考试督考员派遣比例100%</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100&amp;完成</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41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指标3：保质保量完成</w:t>
            </w:r>
          </w:p>
        </w:tc>
        <w:tc>
          <w:tcPr>
            <w:tcW w:w="938"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保质保量完成所有补贴培训班督导</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100&amp;完成</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34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指标4：保质保量完成</w:t>
            </w:r>
          </w:p>
        </w:tc>
        <w:tc>
          <w:tcPr>
            <w:tcW w:w="938"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保质保量完成民办校认定工作</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100&amp;完成</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0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时效</w:t>
            </w: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指标1：开展区级师资培训、督导员培训</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2023年底前完成</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2023年10月</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0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指标2：组织区级督考员培训时间及完成督考任务时间</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2023年底前完成</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2023年12月</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0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指标3：依据补贴培训班开展情况开展督导</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2023年底前完成</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2023年10月</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0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指标4：配合职业能力建设科，组织行业专家对民办校认定等工作开展评审工作</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2023年底前完成</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2023年12月</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指标1：电话回访服务费</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据实支付</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共计</w:t>
            </w:r>
            <w:r>
              <w:rPr>
                <w:rFonts w:hint="default" w:ascii="宋体" w:hAnsi="宋体" w:eastAsia="宋体" w:cs="宋体"/>
                <w:color w:val="auto"/>
                <w:kern w:val="0"/>
                <w:sz w:val="18"/>
                <w:szCs w:val="18"/>
                <w:lang w:val="en-US" w:eastAsia="zh-CN" w:bidi="ar-SA"/>
              </w:rPr>
              <w:t>47138.4</w:t>
            </w:r>
            <w:r>
              <w:rPr>
                <w:rFonts w:hint="eastAsia" w:ascii="宋体" w:hAnsi="宋体" w:cs="宋体"/>
                <w:color w:val="auto"/>
                <w:kern w:val="0"/>
                <w:sz w:val="18"/>
                <w:szCs w:val="18"/>
                <w:lang w:val="en-US" w:eastAsia="zh-CN" w:bidi="ar-SA"/>
              </w:rPr>
              <w:t>元</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147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指标</w:t>
            </w:r>
            <w:r>
              <w:rPr>
                <w:rFonts w:hint="eastAsia" w:ascii="宋体" w:hAnsi="宋体" w:cs="宋体"/>
                <w:i w:val="0"/>
                <w:iCs w:val="0"/>
                <w:color w:val="000000"/>
                <w:kern w:val="0"/>
                <w:sz w:val="18"/>
                <w:szCs w:val="18"/>
                <w:u w:val="none"/>
                <w:lang w:val="en-US" w:eastAsia="zh-CN" w:bidi="ar"/>
              </w:rPr>
              <w:t>2</w:t>
            </w:r>
            <w:r>
              <w:rPr>
                <w:rFonts w:hint="eastAsia" w:ascii="宋体" w:hAnsi="宋体" w:eastAsia="宋体" w:cs="宋体"/>
                <w:i w:val="0"/>
                <w:iCs w:val="0"/>
                <w:color w:val="000000"/>
                <w:kern w:val="0"/>
                <w:sz w:val="18"/>
                <w:szCs w:val="18"/>
                <w:u w:val="none"/>
                <w:lang w:val="en-US" w:eastAsia="zh-CN" w:bidi="ar"/>
              </w:rPr>
              <w:t>：专家费</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据实支付</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支付5批次专家费用，共计16500元</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174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指标3：审计服务费</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据实支付</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30000元</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174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left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指标4：日常管理</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据实支付</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6111.4元</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2</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96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default" w:eastAsia="宋体"/>
                <w:sz w:val="18"/>
                <w:szCs w:val="18"/>
                <w:lang w:val="en-US" w:eastAsia="zh-CN"/>
              </w:rPr>
            </w:pPr>
            <w:r>
              <w:rPr>
                <w:rFonts w:hint="eastAsia" w:ascii="宋体" w:hAnsi="宋体" w:cs="宋体"/>
                <w:color w:val="auto"/>
                <w:kern w:val="0"/>
                <w:sz w:val="18"/>
                <w:szCs w:val="18"/>
              </w:rPr>
              <w:t>效益指标</w:t>
            </w:r>
          </w:p>
        </w:tc>
        <w:tc>
          <w:tcPr>
            <w:tcW w:w="1086"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指标1：市级对区级督考质量评价需达到满意</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满意率</w:t>
            </w:r>
            <w:r>
              <w:rPr>
                <w:rFonts w:hint="eastAsia" w:ascii="宋体" w:hAnsi="宋体" w:cs="宋体"/>
                <w:color w:val="auto"/>
                <w:kern w:val="0"/>
                <w:sz w:val="18"/>
                <w:szCs w:val="18"/>
                <w:lang w:val="en-US" w:eastAsia="zh-CN"/>
              </w:rPr>
              <w:t>90%以上</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8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pStyle w:val="2"/>
              <w:rPr>
                <w:rFonts w:hint="eastAsia" w:ascii="宋体" w:hAnsi="宋体" w:cs="宋体"/>
                <w:color w:val="auto"/>
                <w:kern w:val="0"/>
                <w:sz w:val="18"/>
                <w:szCs w:val="18"/>
                <w:lang w:val="en-US" w:eastAsia="zh-CN"/>
              </w:rPr>
            </w:pPr>
          </w:p>
        </w:tc>
        <w:tc>
          <w:tcPr>
            <w:tcW w:w="108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指标2：保证资金安全</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eastAsia="zh-CN"/>
              </w:rPr>
              <w:t>执行</w:t>
            </w:r>
            <w:r>
              <w:rPr>
                <w:rFonts w:hint="eastAsia" w:ascii="宋体" w:hAnsi="宋体" w:cs="宋体"/>
                <w:color w:val="auto"/>
                <w:kern w:val="0"/>
                <w:sz w:val="18"/>
                <w:szCs w:val="18"/>
                <w:lang w:val="en-US" w:eastAsia="zh-CN"/>
              </w:rPr>
              <w:t>90%以上</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90%以上</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46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指标</w:t>
            </w: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：保证职业技能培训日常工作的开展</w:t>
            </w:r>
          </w:p>
        </w:tc>
        <w:tc>
          <w:tcPr>
            <w:tcW w:w="938"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工作有序推进</w:t>
            </w:r>
          </w:p>
        </w:tc>
        <w:tc>
          <w:tcPr>
            <w:tcW w:w="91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按要求开展</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061" w:hRule="exact"/>
          <w:jc w:val="center"/>
        </w:trPr>
        <w:tc>
          <w:tcPr>
            <w:tcW w:w="578" w:type="dxa"/>
            <w:vMerge w:val="continue"/>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指标</w:t>
            </w: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 稳步推进通武廊区域高技能人才合作</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稳步推进</w:t>
            </w:r>
          </w:p>
        </w:tc>
        <w:tc>
          <w:tcPr>
            <w:tcW w:w="9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稳步推进</w:t>
            </w:r>
          </w:p>
        </w:tc>
        <w:tc>
          <w:tcPr>
            <w:tcW w:w="4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23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hint="default" w:eastAsia="宋体"/>
                <w:sz w:val="18"/>
                <w:szCs w:val="18"/>
                <w:lang w:val="en-US" w:eastAsia="zh-CN"/>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eastAsia="宋体" w:cs="宋体"/>
                <w:color w:val="auto"/>
                <w:kern w:val="0"/>
                <w:sz w:val="18"/>
                <w:szCs w:val="18"/>
                <w:lang w:eastAsia="zh-CN"/>
              </w:rPr>
            </w:pPr>
            <w:r>
              <w:rPr>
                <w:rFonts w:hint="eastAsia" w:ascii="宋体" w:hAnsi="宋体" w:eastAsia="宋体" w:cs="宋体"/>
                <w:i w:val="0"/>
                <w:iCs w:val="0"/>
                <w:color w:val="000000"/>
                <w:kern w:val="0"/>
                <w:sz w:val="18"/>
                <w:szCs w:val="18"/>
                <w:u w:val="none"/>
                <w:lang w:val="en-US" w:eastAsia="zh-CN" w:bidi="ar"/>
              </w:rPr>
              <w:t>指标1：辖区技能等级认定机构对督考员评价满意度≥90%。</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90%以上</w:t>
            </w:r>
          </w:p>
        </w:tc>
        <w:tc>
          <w:tcPr>
            <w:tcW w:w="9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100%</w:t>
            </w:r>
          </w:p>
        </w:tc>
        <w:tc>
          <w:tcPr>
            <w:tcW w:w="4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521" w:hRule="exact"/>
          <w:jc w:val="center"/>
        </w:trPr>
        <w:tc>
          <w:tcPr>
            <w:tcW w:w="578" w:type="dxa"/>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pStyle w:val="2"/>
              <w:rPr>
                <w:rFonts w:hint="eastAsia" w:ascii="宋体" w:hAnsi="宋体" w:cs="宋体"/>
                <w:color w:val="auto"/>
                <w:kern w:val="0"/>
                <w:sz w:val="18"/>
                <w:szCs w:val="18"/>
                <w:lang w:val="en-US" w:eastAsia="zh-CN"/>
              </w:rPr>
            </w:pPr>
          </w:p>
        </w:tc>
        <w:tc>
          <w:tcPr>
            <w:tcW w:w="108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宋体" w:hAnsi="宋体" w:cs="宋体"/>
                <w:color w:val="auto"/>
                <w:kern w:val="0"/>
                <w:sz w:val="18"/>
                <w:szCs w:val="18"/>
              </w:rPr>
            </w:pPr>
            <w:r>
              <w:rPr>
                <w:rFonts w:hint="eastAsia" w:ascii="宋体" w:hAnsi="宋体" w:eastAsia="宋体" w:cs="宋体"/>
                <w:i w:val="0"/>
                <w:iCs w:val="0"/>
                <w:color w:val="000000"/>
                <w:kern w:val="0"/>
                <w:sz w:val="18"/>
                <w:szCs w:val="18"/>
                <w:u w:val="none"/>
                <w:lang w:val="en-US" w:eastAsia="zh-CN" w:bidi="ar"/>
              </w:rPr>
              <w:t>指标2：确保督导工作学员满意度达到90%以上。</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eastAsia="宋体" w:cs="宋体"/>
                <w:i w:val="0"/>
                <w:iCs w:val="0"/>
                <w:color w:val="000000"/>
                <w:kern w:val="0"/>
                <w:sz w:val="18"/>
                <w:szCs w:val="18"/>
                <w:u w:val="none"/>
                <w:lang w:val="en-US" w:eastAsia="zh-CN" w:bidi="ar"/>
              </w:rPr>
              <w:t>90%以上</w:t>
            </w:r>
          </w:p>
        </w:tc>
        <w:tc>
          <w:tcPr>
            <w:tcW w:w="910"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495"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82"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495"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ascii="黑体" w:hAnsi="黑体" w:eastAsia="黑体" w:cs="黑体"/>
          <w:sz w:val="18"/>
          <w:szCs w:val="18"/>
          <w:lang w:eastAsia="zh-CN"/>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int="eastAsia" w:ascii="黑体" w:hAnsi="黑体" w:eastAsia="黑体" w:cs="黑体"/>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jc w:val="left"/>
        <w:textAlignment w:val="auto"/>
        <w:rPr>
          <w:rFonts w:hint="eastAsia" w:ascii="黑体" w:hAnsi="黑体" w:eastAsia="黑体" w:cs="黑体"/>
          <w:sz w:val="32"/>
          <w:szCs w:val="32"/>
          <w:lang w:eastAsia="zh-CN"/>
        </w:rPr>
      </w:pPr>
    </w:p>
    <w:p>
      <w:pPr>
        <w:rPr>
          <w:rFonts w:hint="eastAsia" w:eastAsia="宋体"/>
          <w:b w:val="0"/>
          <w:bCs w:val="0"/>
          <w:lang w:val="en-US" w:eastAsia="zh-CN"/>
        </w:rPr>
      </w:pPr>
    </w:p>
    <w:sectPr>
      <w:footerReference r:id="rId3" w:type="default"/>
      <w:pgSz w:w="11906" w:h="16838"/>
      <w:pgMar w:top="1440" w:right="1803" w:bottom="1440" w:left="1803" w:header="851" w:footer="992" w:gutter="0"/>
      <w:pgNumType w:fmt="decimal"/>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5"/>
                          </w:pPr>
                          <w:r>
                            <w:fldChar w:fldCharType="begin"/>
                          </w:r>
                          <w:r>
                            <w:instrText xml:space="preserve"> PAGE  \* MERGEFORMAT </w:instrText>
                          </w:r>
                          <w:r>
                            <w:fldChar w:fldCharType="separate"/>
                          </w:r>
                          <w:r>
                            <w:t>21</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LNJWO7QAAAABQEAAA8AAAAAAAAAAQAgAAAAIgAAAGRycy9kb3ducmV2&#10;LnhtbFBLAQIUABQAAAAIAIdO4kCEXiZ/ywEAAHkDAAAOAAAAAAAAAAEAIAAAAB8BAABkcnMvZTJv&#10;RG9jLnhtbFBLBQYAAAAABgAGAFkBAAB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zYmUwN2NlMGFkODlkOTViZmMwODMzOTJhYjVhOTYifQ=="/>
  </w:docVars>
  <w:rsids>
    <w:rsidRoot w:val="5EDB0B63"/>
    <w:rsid w:val="01534994"/>
    <w:rsid w:val="05DF404E"/>
    <w:rsid w:val="0B353139"/>
    <w:rsid w:val="0C8165E0"/>
    <w:rsid w:val="16BA423F"/>
    <w:rsid w:val="1F4B1294"/>
    <w:rsid w:val="219C6D4E"/>
    <w:rsid w:val="23073EAF"/>
    <w:rsid w:val="253E38A1"/>
    <w:rsid w:val="2A1F7EFC"/>
    <w:rsid w:val="2CA05FE4"/>
    <w:rsid w:val="2CBF8107"/>
    <w:rsid w:val="2EB70209"/>
    <w:rsid w:val="30FF2B40"/>
    <w:rsid w:val="31F476C7"/>
    <w:rsid w:val="35D339CB"/>
    <w:rsid w:val="3E3810D0"/>
    <w:rsid w:val="3FF79B31"/>
    <w:rsid w:val="41A45EE6"/>
    <w:rsid w:val="44586430"/>
    <w:rsid w:val="4B2A687E"/>
    <w:rsid w:val="4BA31FDB"/>
    <w:rsid w:val="4BAE073A"/>
    <w:rsid w:val="4BFF9656"/>
    <w:rsid w:val="516A1590"/>
    <w:rsid w:val="537B9DA3"/>
    <w:rsid w:val="5A474F5C"/>
    <w:rsid w:val="5DDF52D1"/>
    <w:rsid w:val="5EDB0B63"/>
    <w:rsid w:val="5F9F33EB"/>
    <w:rsid w:val="6AC7B1A3"/>
    <w:rsid w:val="6B316059"/>
    <w:rsid w:val="6B77FB6F"/>
    <w:rsid w:val="6EE9A86C"/>
    <w:rsid w:val="6FD43E60"/>
    <w:rsid w:val="72E07098"/>
    <w:rsid w:val="763E871D"/>
    <w:rsid w:val="777B0232"/>
    <w:rsid w:val="79EBFCAD"/>
    <w:rsid w:val="7BBD97BD"/>
    <w:rsid w:val="7BFE4A5B"/>
    <w:rsid w:val="7BFFEC6B"/>
    <w:rsid w:val="7DAC0F9E"/>
    <w:rsid w:val="7DBF4FBB"/>
    <w:rsid w:val="7DCD9330"/>
    <w:rsid w:val="7DD758A1"/>
    <w:rsid w:val="7E562264"/>
    <w:rsid w:val="7E5EB5A1"/>
    <w:rsid w:val="7F2773F9"/>
    <w:rsid w:val="7F3909BD"/>
    <w:rsid w:val="7F7C49BA"/>
    <w:rsid w:val="7F972011"/>
    <w:rsid w:val="7FBF70D0"/>
    <w:rsid w:val="7FF719AD"/>
    <w:rsid w:val="9BFD2FEF"/>
    <w:rsid w:val="AFDDEFDC"/>
    <w:rsid w:val="B2DFF942"/>
    <w:rsid w:val="B5FC34C6"/>
    <w:rsid w:val="BAEFCA12"/>
    <w:rsid w:val="BD5D8A02"/>
    <w:rsid w:val="D4CEDA1A"/>
    <w:rsid w:val="D5A31DC0"/>
    <w:rsid w:val="D7FF1616"/>
    <w:rsid w:val="DFEAA56F"/>
    <w:rsid w:val="E6922BE3"/>
    <w:rsid w:val="EB5BB730"/>
    <w:rsid w:val="EDFF835A"/>
    <w:rsid w:val="EEBB59E1"/>
    <w:rsid w:val="EFCF022D"/>
    <w:rsid w:val="F37B3AB2"/>
    <w:rsid w:val="F6FF4047"/>
    <w:rsid w:val="F7E365DE"/>
    <w:rsid w:val="FA5A168B"/>
    <w:rsid w:val="FD3F40DC"/>
    <w:rsid w:val="FEF8056D"/>
    <w:rsid w:val="FEF82787"/>
    <w:rsid w:val="FEFD3F0E"/>
    <w:rsid w:val="FFBDEA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4">
    <w:name w:val="Body Text"/>
    <w:basedOn w:val="1"/>
    <w:next w:val="1"/>
    <w:qFormat/>
    <w:uiPriority w:val="0"/>
    <w:pPr>
      <w:spacing w:before="0" w:after="140" w:line="276" w:lineRule="auto"/>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0">
    <w:name w:val="Hyperlink"/>
    <w:basedOn w:val="9"/>
    <w:qFormat/>
    <w:uiPriority w:val="0"/>
    <w:rPr>
      <w:color w:val="0000FF"/>
      <w:u w:val="single"/>
    </w:rPr>
  </w:style>
  <w:style w:type="character" w:customStyle="1" w:styleId="11">
    <w:name w:val="font81"/>
    <w:basedOn w:val="9"/>
    <w:qFormat/>
    <w:uiPriority w:val="0"/>
    <w:rPr>
      <w:rFonts w:hint="eastAsia" w:ascii="宋体" w:hAnsi="宋体" w:eastAsia="宋体" w:cs="宋体"/>
      <w:color w:val="000000"/>
      <w:sz w:val="20"/>
      <w:szCs w:val="20"/>
      <w:u w:val="none"/>
    </w:rPr>
  </w:style>
  <w:style w:type="character" w:customStyle="1" w:styleId="12">
    <w:name w:val="font11"/>
    <w:basedOn w:val="9"/>
    <w:qFormat/>
    <w:uiPriority w:val="0"/>
    <w:rPr>
      <w:rFonts w:hint="eastAsia" w:ascii="仿宋_GB2312" w:eastAsia="仿宋_GB2312" w:cs="仿宋_GB2312"/>
      <w:color w:val="000000"/>
      <w:sz w:val="24"/>
      <w:szCs w:val="24"/>
      <w:u w:val="none"/>
    </w:rPr>
  </w:style>
  <w:style w:type="character" w:customStyle="1" w:styleId="13">
    <w:name w:val="font61"/>
    <w:basedOn w:val="9"/>
    <w:qFormat/>
    <w:uiPriority w:val="0"/>
    <w:rPr>
      <w:rFonts w:hint="eastAsia" w:ascii="仿宋_GB2312" w:eastAsia="仿宋_GB2312" w:cs="仿宋_GB2312"/>
      <w:color w:val="000000"/>
      <w:sz w:val="24"/>
      <w:szCs w:val="24"/>
      <w:u w:val="none"/>
    </w:rPr>
  </w:style>
  <w:style w:type="character" w:customStyle="1" w:styleId="14">
    <w:name w:val="font71"/>
    <w:basedOn w:val="9"/>
    <w:qFormat/>
    <w:uiPriority w:val="0"/>
    <w:rPr>
      <w:rFonts w:hint="eastAsia" w:ascii="宋体" w:hAnsi="宋体" w:eastAsia="宋体" w:cs="宋体"/>
      <w:color w:val="FF0000"/>
      <w:sz w:val="20"/>
      <w:szCs w:val="20"/>
      <w:u w:val="none"/>
    </w:rPr>
  </w:style>
  <w:style w:type="paragraph" w:customStyle="1" w:styleId="15">
    <w:name w:val="表格"/>
    <w:basedOn w:val="1"/>
    <w:qFormat/>
    <w:uiPriority w:val="0"/>
    <w:pPr>
      <w:autoSpaceDN w:val="0"/>
      <w:jc w:val="center"/>
    </w:pPr>
    <w:rPr>
      <w:rFonts w:ascii="Verdana" w:hAnsi="Verdana" w:eastAsia="仿宋_GB2312" w:cs="Times New Roman"/>
      <w:bCs/>
      <w:sz w:val="24"/>
      <w:szCs w:val="21"/>
      <w:lang w:eastAsia="en-US"/>
    </w:rPr>
  </w:style>
  <w:style w:type="paragraph" w:customStyle="1" w:styleId="16">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2024-03-12T19:08:00Z</dcterms:created>
  <dc:creator>user</dc:creator>
  <cp:lastModifiedBy>Administrator</cp:lastModifiedBy>
  <cp:lastPrinted>2024-03-30T01:59:00Z</cp:lastPrinted>
  <dcterms:modified xsi:type="dcterms:W3CDTF">2024-09-10T11:33:24Z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F05AC27CF9D741F7A67B221AF27E4CB7_13</vt:lpwstr>
  </property>
</Properties>
</file>