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600" w:lineRule="exact"/>
        <w:jc w:val="center"/>
        <w:rPr>
          <w:rFonts w:ascii="方正小标宋简体" w:eastAsia="方正小标宋简体"/>
          <w:bCs/>
          <w:sz w:val="44"/>
        </w:rPr>
      </w:pPr>
      <w:r>
        <w:rPr>
          <w:rFonts w:hint="eastAsia" w:ascii="方正小标宋简体" w:eastAsia="方正小标宋简体"/>
          <w:bCs/>
          <w:sz w:val="44"/>
        </w:rPr>
        <w:t>北京市</w:t>
      </w:r>
      <w:r>
        <w:rPr>
          <w:rFonts w:hint="eastAsia" w:ascii="方正小标宋简体" w:eastAsia="方正小标宋简体"/>
          <w:bCs/>
          <w:sz w:val="44"/>
          <w:lang w:eastAsia="zh-CN"/>
        </w:rPr>
        <w:t>通州区</w:t>
      </w:r>
      <w:r>
        <w:rPr>
          <w:rFonts w:hint="eastAsia" w:ascii="方正小标宋简体" w:eastAsia="方正小标宋简体"/>
          <w:bCs/>
          <w:sz w:val="44"/>
        </w:rPr>
        <w:t>发展和改革委员会</w:t>
      </w:r>
    </w:p>
    <w:p>
      <w:pPr>
        <w:keepNext w:val="0"/>
        <w:keepLines w:val="0"/>
        <w:pageBreakBefore w:val="0"/>
        <w:widowControl w:val="0"/>
        <w:kinsoku/>
        <w:wordWrap/>
        <w:overflowPunct/>
        <w:topLinePunct w:val="0"/>
        <w:autoSpaceDE/>
        <w:autoSpaceDN/>
        <w:bidi w:val="0"/>
        <w:spacing w:line="600" w:lineRule="exact"/>
        <w:jc w:val="center"/>
        <w:rPr>
          <w:rFonts w:hint="eastAsia" w:ascii="方正小标宋简体" w:eastAsia="方正小标宋简体"/>
          <w:bCs/>
          <w:sz w:val="44"/>
        </w:rPr>
      </w:pPr>
      <w:r>
        <w:rPr>
          <w:rFonts w:hint="eastAsia" w:ascii="方正小标宋简体" w:eastAsia="方正小标宋简体"/>
          <w:bCs/>
          <w:sz w:val="44"/>
        </w:rPr>
        <w:t>关于镜澄街（通济路-庙上路）道路工程</w:t>
      </w:r>
    </w:p>
    <w:p>
      <w:pPr>
        <w:keepNext w:val="0"/>
        <w:keepLines w:val="0"/>
        <w:pageBreakBefore w:val="0"/>
        <w:widowControl w:val="0"/>
        <w:kinsoku/>
        <w:wordWrap/>
        <w:overflowPunct/>
        <w:topLinePunct w:val="0"/>
        <w:autoSpaceDE/>
        <w:autoSpaceDN/>
        <w:bidi w:val="0"/>
        <w:spacing w:line="600" w:lineRule="exact"/>
        <w:jc w:val="center"/>
        <w:rPr>
          <w:rFonts w:hint="eastAsia" w:ascii="仿宋_GB2312" w:eastAsia="仿宋_GB2312"/>
          <w:b w:val="0"/>
          <w:sz w:val="32"/>
          <w:u w:val="thick" w:color="FF0000"/>
        </w:rPr>
      </w:pPr>
      <w:r>
        <w:rPr>
          <w:rFonts w:hint="eastAsia" w:ascii="方正小标宋简体" w:eastAsia="方正小标宋简体"/>
          <w:bCs/>
          <w:sz w:val="44"/>
          <w:lang w:eastAsia="zh-CN"/>
        </w:rPr>
        <w:t>核准</w:t>
      </w:r>
      <w:r>
        <w:rPr>
          <w:rFonts w:hint="eastAsia" w:ascii="方正小标宋简体" w:eastAsia="方正小标宋简体"/>
          <w:bCs/>
          <w:sz w:val="44"/>
        </w:rPr>
        <w:t>的批复</w:t>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baseline"/>
        <w:rPr>
          <w:rFonts w:hint="default" w:ascii="华文中宋" w:hAnsi="华文中宋" w:eastAsia="楷体_GB2312"/>
          <w:sz w:val="48"/>
          <w:lang w:val="en-US" w:eastAsia="zh-CN"/>
        </w:rPr>
      </w:pPr>
      <w:r>
        <w:rPr>
          <w:rFonts w:hint="eastAsia" w:ascii="仿宋_GB2312" w:hAnsi="仿宋_GB2312" w:eastAsia="仿宋_GB2312" w:cs="仿宋_GB2312"/>
          <w:b w:val="0"/>
          <w:bCs w:val="0"/>
          <w:sz w:val="32"/>
          <w:szCs w:val="32"/>
          <w:lang w:eastAsia="zh-CN"/>
        </w:rPr>
        <w:t>京通州</w:t>
      </w:r>
      <w:r>
        <w:rPr>
          <w:rFonts w:hint="eastAsia" w:ascii="仿宋_GB2312" w:hAnsi="仿宋_GB2312" w:eastAsia="仿宋_GB2312" w:cs="仿宋_GB2312"/>
          <w:b w:val="0"/>
          <w:bCs w:val="0"/>
          <w:sz w:val="32"/>
          <w:szCs w:val="32"/>
        </w:rPr>
        <w:t>发改（</w:t>
      </w:r>
      <w:r>
        <w:rPr>
          <w:rFonts w:hint="eastAsia" w:ascii="仿宋_GB2312" w:hAnsi="仿宋_GB2312" w:eastAsia="仿宋_GB2312" w:cs="仿宋_GB2312"/>
          <w:b w:val="0"/>
          <w:bCs w:val="0"/>
          <w:sz w:val="32"/>
          <w:szCs w:val="32"/>
          <w:lang w:eastAsia="zh-CN"/>
        </w:rPr>
        <w:t>核</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号</w:t>
      </w:r>
    </w:p>
    <w:p>
      <w:pPr>
        <w:bidi w:val="0"/>
        <w:rPr>
          <w:rFonts w:ascii="Times New Roman" w:hAnsi="Times New Roman"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spacing w:line="600" w:lineRule="exact"/>
        <w:rPr>
          <w:rFonts w:ascii="仿宋_GB2312"/>
        </w:rPr>
      </w:pPr>
    </w:p>
    <w:p>
      <w:pPr>
        <w:keepNext w:val="0"/>
        <w:keepLines w:val="0"/>
        <w:pageBreakBefore w:val="0"/>
        <w:widowControl w:val="0"/>
        <w:tabs>
          <w:tab w:val="left" w:pos="4680"/>
        </w:tabs>
        <w:kinsoku/>
        <w:wordWrap/>
        <w:overflowPunct/>
        <w:topLinePunct w:val="0"/>
        <w:autoSpaceDE/>
        <w:autoSpaceDN/>
        <w:bidi w:val="0"/>
        <w:adjustRightInd w:val="0"/>
        <w:snapToGrid w:val="0"/>
        <w:spacing w:line="600" w:lineRule="exact"/>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北京城市副中心投资建设集团有限公司：</w:t>
      </w:r>
    </w:p>
    <w:p>
      <w:pPr>
        <w:keepNext w:val="0"/>
        <w:keepLines w:val="0"/>
        <w:pageBreakBefore w:val="0"/>
        <w:widowControl w:val="0"/>
        <w:tabs>
          <w:tab w:val="left" w:pos="4680"/>
        </w:tabs>
        <w:kinsoku/>
        <w:wordWrap/>
        <w:overflowPunct/>
        <w:topLinePunct w:val="0"/>
        <w:autoSpaceDE/>
        <w:autoSpaceDN/>
        <w:bidi w:val="0"/>
        <w:adjustRightInd w:val="0"/>
        <w:snapToGrid w:val="0"/>
        <w:spacing w:line="60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报送镜澄街（通济路-庙上路）道路工程项目申请报告的请示》</w:t>
      </w:r>
      <w:r>
        <w:rPr>
          <w:rFonts w:hint="eastAsia" w:ascii="FangSong_GB2312" w:hAnsi="FangSong_GB2312" w:eastAsia="FangSong_GB2312"/>
          <w:sz w:val="32"/>
        </w:rPr>
        <w:t>（京北投〔202</w:t>
      </w:r>
      <w:r>
        <w:rPr>
          <w:rFonts w:hint="eastAsia" w:ascii="FangSong_GB2312" w:hAnsi="FangSong_GB2312" w:eastAsia="FangSong_GB2312"/>
          <w:sz w:val="32"/>
          <w:lang w:val="en-US" w:eastAsia="zh-CN"/>
        </w:rPr>
        <w:t>4</w:t>
      </w:r>
      <w:r>
        <w:rPr>
          <w:rFonts w:hint="eastAsia" w:ascii="FangSong_GB2312" w:hAnsi="FangSong_GB2312" w:eastAsia="FangSong_GB2312"/>
          <w:sz w:val="32"/>
        </w:rPr>
        <w:t>〕</w:t>
      </w:r>
      <w:r>
        <w:rPr>
          <w:rFonts w:hint="eastAsia" w:ascii="FangSong_GB2312" w:hAnsi="FangSong_GB2312" w:eastAsia="FangSong_GB2312"/>
          <w:sz w:val="32"/>
          <w:lang w:val="en-US" w:eastAsia="zh-CN"/>
        </w:rPr>
        <w:t>323</w:t>
      </w:r>
      <w:r>
        <w:rPr>
          <w:rFonts w:hint="eastAsia" w:ascii="FangSong_GB2312" w:hAnsi="FangSong_GB2312" w:eastAsia="FangSong_GB2312"/>
          <w:sz w:val="32"/>
        </w:rPr>
        <w:t>号）</w:t>
      </w:r>
      <w:r>
        <w:rPr>
          <w:rFonts w:hint="eastAsia" w:ascii="仿宋_GB2312" w:hAnsi="仿宋_GB2312" w:eastAsia="仿宋_GB2312" w:cs="仿宋_GB2312"/>
          <w:sz w:val="32"/>
          <w:szCs w:val="32"/>
          <w:highlight w:val="none"/>
          <w:lang w:eastAsia="zh-CN"/>
        </w:rPr>
        <w:t>、《关于报送镜澄街（通济路-庙上路）道路工程项目招标方案核准的请示》</w:t>
      </w:r>
      <w:r>
        <w:rPr>
          <w:rFonts w:hint="eastAsia" w:ascii="FangSong_GB2312" w:hAnsi="FangSong_GB2312" w:eastAsia="FangSong_GB2312"/>
          <w:sz w:val="32"/>
        </w:rPr>
        <w:t>（京北投〔202</w:t>
      </w:r>
      <w:r>
        <w:rPr>
          <w:rFonts w:hint="eastAsia" w:ascii="FangSong_GB2312" w:hAnsi="FangSong_GB2312" w:eastAsia="FangSong_GB2312"/>
          <w:sz w:val="32"/>
          <w:lang w:val="en-US" w:eastAsia="zh-CN"/>
        </w:rPr>
        <w:t>4</w:t>
      </w:r>
      <w:r>
        <w:rPr>
          <w:rFonts w:hint="eastAsia" w:ascii="FangSong_GB2312" w:hAnsi="FangSong_GB2312" w:eastAsia="FangSong_GB2312"/>
          <w:sz w:val="32"/>
        </w:rPr>
        <w:t>〕</w:t>
      </w:r>
      <w:r>
        <w:rPr>
          <w:rFonts w:hint="eastAsia" w:ascii="FangSong_GB2312" w:hAnsi="FangSong_GB2312" w:eastAsia="FangSong_GB2312"/>
          <w:sz w:val="32"/>
          <w:lang w:val="en-US" w:eastAsia="zh-CN"/>
        </w:rPr>
        <w:t>324</w:t>
      </w:r>
      <w:r>
        <w:rPr>
          <w:rFonts w:hint="eastAsia" w:ascii="FangSong_GB2312" w:hAnsi="FangSong_GB2312" w:eastAsia="FangSong_GB2312"/>
          <w:sz w:val="32"/>
        </w:rPr>
        <w:t>号）</w:t>
      </w:r>
      <w:r>
        <w:rPr>
          <w:rFonts w:hint="eastAsia" w:ascii="仿宋_GB2312" w:hAnsi="仿宋_GB2312" w:eastAsia="仿宋_GB2312" w:cs="仿宋_GB2312"/>
          <w:sz w:val="32"/>
          <w:szCs w:val="32"/>
        </w:rPr>
        <w:t>收悉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根据北京市规划</w:t>
      </w:r>
      <w:r>
        <w:rPr>
          <w:rFonts w:hint="eastAsia" w:ascii="仿宋_GB2312" w:hAnsi="仿宋_GB2312" w:eastAsia="仿宋_GB2312" w:cs="仿宋_GB2312"/>
          <w:sz w:val="32"/>
          <w:szCs w:val="32"/>
          <w:lang w:eastAsia="zh-CN"/>
        </w:rPr>
        <w:t>和自然资源委员会</w:t>
      </w:r>
      <w:r>
        <w:rPr>
          <w:rFonts w:hint="eastAsia" w:ascii="仿宋_GB2312" w:hAnsi="仿宋_GB2312" w:eastAsia="仿宋_GB2312" w:cs="仿宋_GB2312"/>
          <w:sz w:val="32"/>
          <w:szCs w:val="32"/>
        </w:rPr>
        <w:t>通州分局</w:t>
      </w:r>
      <w:r>
        <w:rPr>
          <w:rFonts w:hint="eastAsia" w:ascii="仿宋_GB2312" w:hAnsi="仿宋_GB2312" w:eastAsia="仿宋_GB2312" w:cs="仿宋_GB2312"/>
          <w:sz w:val="32"/>
          <w:szCs w:val="32"/>
          <w:lang w:eastAsia="zh-CN"/>
        </w:rPr>
        <w:t>《关于镜澄街（消防指挥中心段） 道路工程市政交通基础设施“多规合一”协同意见的函》</w:t>
      </w:r>
      <w:r>
        <w:rPr>
          <w:rFonts w:hint="eastAsia" w:ascii="仿宋_GB2312" w:hAnsi="仿宋_GB2312" w:eastAsia="仿宋_GB2312" w:cs="仿宋_GB2312"/>
          <w:sz w:val="32"/>
          <w:szCs w:val="32"/>
        </w:rPr>
        <w:t>（京规自基础策划</w:t>
      </w:r>
      <w:r>
        <w:rPr>
          <w:rFonts w:hint="eastAsia" w:ascii="FangSong_GB2312" w:hAnsi="FangSong_GB2312" w:eastAsia="FangSong_GB2312"/>
          <w:sz w:val="32"/>
        </w:rPr>
        <w:t>[通]</w:t>
      </w:r>
      <w:r>
        <w:rPr>
          <w:rFonts w:hint="eastAsia" w:ascii="仿宋_GB2312" w:hAnsi="仿宋_GB2312" w:eastAsia="仿宋_GB2312" w:cs="仿宋_GB2312"/>
          <w:sz w:val="32"/>
          <w:szCs w:val="32"/>
        </w:rPr>
        <w:t>函</w:t>
      </w:r>
      <w:r>
        <w:rPr>
          <w:rFonts w:hint="eastAsia" w:ascii="FangSong_GB2312" w:hAnsi="FangSong_GB2312" w:eastAsia="FangSong_GB2312"/>
          <w:sz w:val="32"/>
        </w:rPr>
        <w:t>〔202</w:t>
      </w:r>
      <w:r>
        <w:rPr>
          <w:rFonts w:hint="eastAsia" w:ascii="FangSong_GB2312" w:hAnsi="FangSong_GB2312" w:eastAsia="FangSong_GB2312"/>
          <w:sz w:val="32"/>
          <w:lang w:val="en-US" w:eastAsia="zh-CN"/>
        </w:rPr>
        <w:t>0</w:t>
      </w:r>
      <w:r>
        <w:rPr>
          <w:rFonts w:hint="eastAsia" w:ascii="FangSong_GB2312" w:hAnsi="FangSong_GB2312" w:eastAsia="FangSong_GB2312"/>
          <w:sz w:val="32"/>
        </w:rPr>
        <w:t>〕</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《关于镜澄街（通济路-消防指挥中心西）道路工程市政交通基础设施“多规合一”协同意见的函》（京规自基础策划</w:t>
      </w:r>
      <w:r>
        <w:rPr>
          <w:rFonts w:hint="eastAsia" w:ascii="FangSong_GB2312" w:hAnsi="FangSong_GB2312" w:eastAsia="FangSong_GB2312"/>
          <w:sz w:val="32"/>
        </w:rPr>
        <w:t>[通]</w:t>
      </w:r>
      <w:r>
        <w:rPr>
          <w:rFonts w:hint="eastAsia" w:ascii="仿宋_GB2312" w:hAnsi="仿宋_GB2312" w:eastAsia="仿宋_GB2312" w:cs="仿宋_GB2312"/>
          <w:sz w:val="32"/>
          <w:szCs w:val="32"/>
        </w:rPr>
        <w:t>函〔202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、《关于镜澄街（畅和西路-庙上路） 道路工程市政交通基础设施“多规合一”协同意见的函》（</w:t>
      </w:r>
      <w:r>
        <w:rPr>
          <w:rFonts w:hint="eastAsia" w:ascii="仿宋_GB2312" w:hAnsi="仿宋_GB2312" w:eastAsia="仿宋_GB2312" w:cs="仿宋_GB2312"/>
          <w:sz w:val="32"/>
          <w:szCs w:val="32"/>
        </w:rPr>
        <w:t>京规自基础策划</w:t>
      </w:r>
      <w:r>
        <w:rPr>
          <w:rFonts w:hint="eastAsia" w:ascii="FangSong_GB2312" w:hAnsi="FangSong_GB2312" w:eastAsia="FangSong_GB2312"/>
          <w:sz w:val="32"/>
        </w:rPr>
        <w:t>[通]</w:t>
      </w:r>
      <w:r>
        <w:rPr>
          <w:rFonts w:hint="eastAsia" w:ascii="仿宋_GB2312" w:hAnsi="仿宋_GB2312" w:eastAsia="仿宋_GB2312" w:cs="仿宋_GB2312"/>
          <w:sz w:val="32"/>
          <w:szCs w:val="32"/>
        </w:rPr>
        <w:t>函</w:t>
      </w:r>
      <w:r>
        <w:rPr>
          <w:rFonts w:hint="eastAsia" w:ascii="FangSong_GB2312" w:hAnsi="FangSong_GB2312" w:eastAsia="FangSong_GB2312"/>
          <w:sz w:val="32"/>
        </w:rPr>
        <w:t>〔202</w:t>
      </w:r>
      <w:r>
        <w:rPr>
          <w:rFonts w:hint="eastAsia" w:ascii="FangSong_GB2312" w:hAnsi="FangSong_GB2312" w:eastAsia="FangSong_GB2312"/>
          <w:sz w:val="32"/>
          <w:lang w:val="en-US" w:eastAsia="zh-CN"/>
        </w:rPr>
        <w:t>2</w:t>
      </w:r>
      <w:r>
        <w:rPr>
          <w:rFonts w:hint="eastAsia" w:ascii="FangSong_GB2312" w:hAnsi="FangSong_GB2312" w:eastAsia="FangSong_GB2312"/>
          <w:sz w:val="32"/>
        </w:rPr>
        <w:t>〕</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）、《建设项目用地预审与选址意见书》</w:t>
      </w:r>
      <w:r>
        <w:rPr>
          <w:rFonts w:hint="eastAsia" w:ascii="FangSong_GB2312" w:hAnsi="FangSong_GB2312" w:eastAsia="FangSong_GB2312"/>
          <w:sz w:val="32"/>
        </w:rPr>
        <w:t>（202</w:t>
      </w:r>
      <w:r>
        <w:rPr>
          <w:rFonts w:hint="eastAsia" w:ascii="FangSong_GB2312" w:hAnsi="FangSong_GB2312" w:eastAsia="FangSong_GB2312"/>
          <w:sz w:val="32"/>
          <w:lang w:val="en-US" w:eastAsia="zh-CN"/>
        </w:rPr>
        <w:t>3</w:t>
      </w:r>
      <w:r>
        <w:rPr>
          <w:rFonts w:hint="eastAsia" w:ascii="FangSong_GB2312" w:hAnsi="FangSong_GB2312" w:eastAsia="FangSong_GB2312"/>
          <w:sz w:val="32"/>
        </w:rPr>
        <w:t>规自[通]预选市政字</w:t>
      </w:r>
      <w:r>
        <w:rPr>
          <w:rFonts w:hint="eastAsia" w:ascii="FangSong_GB2312" w:hAnsi="FangSong_GB2312" w:eastAsia="FangSong_GB2312"/>
          <w:sz w:val="32"/>
          <w:lang w:val="en-US" w:eastAsia="zh-CN"/>
        </w:rPr>
        <w:t>0029</w:t>
      </w:r>
      <w:r>
        <w:rPr>
          <w:rFonts w:hint="eastAsia" w:ascii="FangSong_GB2312" w:hAnsi="FangSong_GB2312" w:eastAsia="FangSong_GB2312"/>
          <w:sz w:val="32"/>
        </w:rPr>
        <w:t>号）</w:t>
      </w:r>
      <w:r>
        <w:rPr>
          <w:rFonts w:hint="eastAsia" w:ascii="仿宋_GB2312" w:hAnsi="仿宋_GB2312" w:eastAsia="仿宋_GB2312" w:cs="仿宋_GB2312"/>
          <w:sz w:val="32"/>
          <w:szCs w:val="32"/>
        </w:rPr>
        <w:t>等相关文件，</w:t>
      </w:r>
      <w:r>
        <w:rPr>
          <w:rFonts w:hint="eastAsia" w:ascii="仿宋_GB2312" w:hAnsi="仿宋_GB2312" w:eastAsia="仿宋_GB2312" w:cs="仿宋_GB2312"/>
          <w:sz w:val="32"/>
          <w:szCs w:val="32"/>
          <w:lang w:eastAsia="zh-CN"/>
        </w:rPr>
        <w:t>经研究，原则同意你单位建设</w:t>
      </w:r>
      <w:r>
        <w:rPr>
          <w:rFonts w:hint="eastAsia" w:ascii="仿宋_GB2312" w:hAnsi="仿宋_GB2312" w:eastAsia="仿宋_GB2312" w:cs="仿宋_GB2312"/>
          <w:sz w:val="32"/>
          <w:szCs w:val="32"/>
        </w:rPr>
        <w:t>镜澄街（通济路-庙上路）</w:t>
      </w:r>
      <w:r>
        <w:rPr>
          <w:rFonts w:hint="eastAsia" w:ascii="仿宋_GB2312" w:hAnsi="仿宋_GB2312" w:eastAsia="仿宋_GB2312" w:cs="仿宋_GB2312"/>
          <w:sz w:val="32"/>
          <w:szCs w:val="32"/>
          <w:lang w:eastAsia="zh-CN"/>
        </w:rPr>
        <w:t>道路工程。</w:t>
      </w:r>
      <w:r>
        <w:rPr>
          <w:rFonts w:hint="eastAsia" w:ascii="仿宋_GB2312" w:hAnsi="仿宋_GB2312" w:eastAsia="仿宋_GB2312" w:cs="仿宋_GB2312"/>
          <w:sz w:val="32"/>
          <w:szCs w:val="32"/>
        </w:rPr>
        <w:t>现就有关事项批复如下：</w:t>
      </w:r>
    </w:p>
    <w:p>
      <w:pPr>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600" w:lineRule="exact"/>
        <w:ind w:firstLine="640" w:firstLineChars="200"/>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一、建设地点：本项目位于北京城市副中心</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lang w:eastAsia="zh-CN"/>
        </w:rPr>
        <w:t>组团</w:t>
      </w:r>
      <w:r>
        <w:rPr>
          <w:rFonts w:hint="eastAsia" w:ascii="仿宋_GB2312" w:hAnsi="仿宋_GB2312" w:eastAsia="仿宋_GB2312" w:cs="仿宋_GB2312"/>
          <w:sz w:val="32"/>
          <w:szCs w:val="32"/>
          <w:lang w:val="en-US" w:eastAsia="zh-CN"/>
        </w:rPr>
        <w:t>0902</w:t>
      </w:r>
      <w:r>
        <w:rPr>
          <w:rFonts w:hint="eastAsia" w:ascii="仿宋_GB2312" w:hAnsi="仿宋_GB2312" w:eastAsia="仿宋_GB2312" w:cs="仿宋_GB2312"/>
          <w:sz w:val="32"/>
          <w:szCs w:val="32"/>
          <w:lang w:eastAsia="zh-CN"/>
        </w:rPr>
        <w:t>街区，西起通济路，东至庙上路。</w:t>
      </w:r>
    </w:p>
    <w:p>
      <w:pPr>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600" w:lineRule="exact"/>
        <w:ind w:firstLine="640" w:firstLineChars="200"/>
        <w:textAlignment w:val="baseline"/>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二、规划用地：本项目规划总用地规模为</w:t>
      </w:r>
      <w:r>
        <w:rPr>
          <w:rFonts w:hint="eastAsia" w:ascii="仿宋_GB2312" w:hAnsi="仿宋_GB2312" w:eastAsia="仿宋_GB2312" w:cs="仿宋_GB2312"/>
          <w:sz w:val="32"/>
          <w:szCs w:val="32"/>
          <w:lang w:val="en-US" w:eastAsia="zh-CN"/>
        </w:rPr>
        <w:t>18751.124</w:t>
      </w:r>
      <w:r>
        <w:rPr>
          <w:rFonts w:hint="eastAsia" w:ascii="仿宋_GB2312" w:hAnsi="仿宋_GB2312" w:eastAsia="仿宋_GB2312" w:cs="仿宋_GB2312"/>
          <w:sz w:val="32"/>
          <w:szCs w:val="32"/>
          <w:lang w:eastAsia="zh-CN"/>
        </w:rPr>
        <w:t>平方米，具体规划用地指标以规划自然资源部门核定为准。</w:t>
      </w:r>
    </w:p>
    <w:p>
      <w:pPr>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60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建设内容及规模：</w:t>
      </w:r>
      <w:r>
        <w:rPr>
          <w:rFonts w:hint="eastAsia" w:ascii="仿宋_GB2312" w:hAnsi="仿宋_GB2312" w:eastAsia="仿宋_GB2312" w:cs="仿宋_GB2312"/>
          <w:sz w:val="32"/>
          <w:szCs w:val="32"/>
          <w:lang w:eastAsia="zh-CN"/>
        </w:rPr>
        <w:t>项目规划为城市支路，道路全长约</w:t>
      </w:r>
      <w:r>
        <w:rPr>
          <w:rFonts w:hint="eastAsia" w:ascii="仿宋_GB2312" w:hAnsi="仿宋_GB2312" w:eastAsia="仿宋_GB2312" w:cs="仿宋_GB2312"/>
          <w:sz w:val="32"/>
          <w:szCs w:val="32"/>
          <w:lang w:val="en-US" w:eastAsia="zh-CN"/>
        </w:rPr>
        <w:t>0.75公里</w:t>
      </w:r>
      <w:r>
        <w:rPr>
          <w:rFonts w:hint="eastAsia" w:ascii="仿宋_GB2312" w:hAnsi="仿宋_GB2312" w:eastAsia="仿宋_GB2312" w:cs="仿宋_GB2312"/>
          <w:sz w:val="32"/>
          <w:szCs w:val="32"/>
          <w:lang w:eastAsia="zh-CN"/>
        </w:rPr>
        <w:t>，红线宽25米，设计速度30公里/小时。</w:t>
      </w:r>
      <w:r>
        <w:rPr>
          <w:rFonts w:hint="eastAsia" w:ascii="仿宋_GB2312" w:hAnsi="仿宋_GB2312" w:eastAsia="仿宋_GB2312" w:cs="仿宋_GB2312"/>
          <w:sz w:val="32"/>
          <w:szCs w:val="32"/>
        </w:rPr>
        <w:t>建设内容包括道路、交通、绿化、照明、雨水、</w:t>
      </w:r>
      <w:r>
        <w:rPr>
          <w:rFonts w:hint="eastAsia" w:ascii="仿宋_GB2312" w:hAnsi="仿宋_GB2312" w:eastAsia="仿宋_GB2312" w:cs="仿宋_GB2312"/>
          <w:sz w:val="32"/>
          <w:szCs w:val="32"/>
          <w:lang w:eastAsia="zh-CN"/>
        </w:rPr>
        <w:t>污水、</w:t>
      </w:r>
      <w:r>
        <w:rPr>
          <w:rFonts w:hint="eastAsia" w:ascii="仿宋_GB2312" w:hAnsi="仿宋_GB2312" w:eastAsia="仿宋_GB2312" w:cs="仿宋_GB2312"/>
          <w:sz w:val="32"/>
          <w:szCs w:val="32"/>
        </w:rPr>
        <w:t>再生水</w:t>
      </w:r>
      <w:r>
        <w:rPr>
          <w:rFonts w:hint="eastAsia" w:ascii="仿宋_GB2312" w:hAnsi="仿宋_GB2312" w:eastAsia="仿宋_GB2312" w:cs="仿宋_GB2312"/>
          <w:sz w:val="32"/>
          <w:szCs w:val="32"/>
          <w:lang w:eastAsia="zh-CN"/>
        </w:rPr>
        <w:t>、外电源</w:t>
      </w:r>
      <w:r>
        <w:rPr>
          <w:rFonts w:hint="eastAsia" w:ascii="仿宋_GB2312" w:hAnsi="仿宋_GB2312" w:eastAsia="仿宋_GB2312" w:cs="仿宋_GB2312"/>
          <w:sz w:val="32"/>
          <w:szCs w:val="32"/>
        </w:rPr>
        <w:t>等工程。</w:t>
      </w:r>
    </w:p>
    <w:p>
      <w:pPr>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60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四、投资规模</w:t>
      </w:r>
      <w:r>
        <w:rPr>
          <w:rFonts w:hint="eastAsia" w:ascii="仿宋_GB2312" w:hAnsi="仿宋_GB2312" w:eastAsia="仿宋_GB2312" w:cs="仿宋_GB2312"/>
          <w:sz w:val="32"/>
          <w:szCs w:val="32"/>
        </w:rPr>
        <w:t>及资金来源：</w:t>
      </w:r>
      <w:r>
        <w:rPr>
          <w:rFonts w:hint="eastAsia" w:ascii="仿宋_GB2312" w:hAnsi="仿宋_GB2312" w:eastAsia="仿宋_GB2312" w:cs="仿宋_GB2312"/>
          <w:sz w:val="32"/>
          <w:szCs w:val="32"/>
          <w:lang w:eastAsia="zh-CN"/>
        </w:rPr>
        <w:t>项目总投资约</w:t>
      </w:r>
      <w:r>
        <w:rPr>
          <w:rFonts w:hint="eastAsia" w:ascii="仿宋_GB2312" w:hAnsi="仿宋_GB2312" w:eastAsia="仿宋_GB2312" w:cs="仿宋_GB2312"/>
          <w:sz w:val="32"/>
          <w:szCs w:val="32"/>
          <w:lang w:val="en-US" w:eastAsia="zh-CN"/>
        </w:rPr>
        <w:t>2672.7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，所需资金全部由北京城市副中心投资建设集团有限公司自筹解决。</w:t>
      </w:r>
    </w:p>
    <w:p>
      <w:pPr>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60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五、本批复附《建设项目招标方案核准意见书》1份。请据此依法开展招标工作。在建设项目实施过程中，确有特殊情况需要变更已核准的招标方案的，应当报送我委重新核准。</w:t>
      </w:r>
    </w:p>
    <w:p>
      <w:pPr>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60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本批复有效期2年,请据此开展相关工作。如需延期开工建设的，应当在2年期限届满的30个工作日前，向我委提出延期申请。</w:t>
      </w:r>
    </w:p>
    <w:p>
      <w:pPr>
        <w:keepNext w:val="0"/>
        <w:keepLines w:val="0"/>
        <w:pageBreakBefore w:val="0"/>
        <w:widowControl w:val="0"/>
        <w:tabs>
          <w:tab w:val="left" w:pos="4680"/>
        </w:tabs>
        <w:kinsoku/>
        <w:wordWrap/>
        <w:overflowPunct/>
        <w:topLinePunct w:val="0"/>
        <w:autoSpaceDE/>
        <w:autoSpaceDN/>
        <w:bidi w:val="0"/>
        <w:adjustRightInd w:val="0"/>
        <w:snapToGrid w:val="0"/>
        <w:spacing w:line="600" w:lineRule="exact"/>
        <w:ind w:firstLine="640" w:firstLineChars="200"/>
        <w:textAlignment w:val="baseline"/>
        <w:outlineLvl w:val="9"/>
        <w:rPr>
          <w:rFonts w:hint="eastAsia" w:ascii="仿宋_GB2312" w:hAnsi="仿宋_GB2312" w:eastAsia="仿宋_GB2312" w:cs="仿宋_GB2312"/>
          <w:sz w:val="32"/>
          <w:szCs w:val="32"/>
        </w:rPr>
      </w:pPr>
    </w:p>
    <w:p>
      <w:pPr>
        <w:keepNext w:val="0"/>
        <w:keepLines w:val="0"/>
        <w:pageBreakBefore w:val="0"/>
        <w:widowControl w:val="0"/>
        <w:tabs>
          <w:tab w:val="left" w:pos="4680"/>
        </w:tabs>
        <w:kinsoku/>
        <w:wordWrap/>
        <w:overflowPunct/>
        <w:topLinePunct w:val="0"/>
        <w:autoSpaceDE/>
        <w:autoSpaceDN/>
        <w:bidi w:val="0"/>
        <w:adjustRightInd w:val="0"/>
        <w:snapToGrid w:val="0"/>
        <w:spacing w:line="60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附件：建设项目招标方案核准意见书</w:t>
      </w:r>
    </w:p>
    <w:p>
      <w:pPr>
        <w:pStyle w:val="8"/>
        <w:keepNext w:val="0"/>
        <w:keepLines w:val="0"/>
        <w:pageBreakBefore w:val="0"/>
        <w:widowControl w:val="0"/>
        <w:kinsoku/>
        <w:wordWrap/>
        <w:overflowPunct/>
        <w:topLinePunct w:val="0"/>
        <w:autoSpaceDE/>
        <w:autoSpaceDN/>
        <w:bidi w:val="0"/>
        <w:spacing w:after="0" w:line="600" w:lineRule="exact"/>
        <w:rPr>
          <w:rFonts w:hint="eastAsia"/>
        </w:rPr>
      </w:pPr>
    </w:p>
    <w:p>
      <w:pPr>
        <w:keepNext w:val="0"/>
        <w:keepLines w:val="0"/>
        <w:pageBreakBefore w:val="0"/>
        <w:widowControl w:val="0"/>
        <w:tabs>
          <w:tab w:val="left" w:pos="4680"/>
        </w:tabs>
        <w:kinsoku/>
        <w:wordWrap/>
        <w:overflowPunct/>
        <w:topLinePunct w:val="0"/>
        <w:autoSpaceDE/>
        <w:autoSpaceDN/>
        <w:bidi w:val="0"/>
        <w:adjustRightInd w:val="0"/>
        <w:snapToGrid w:val="0"/>
        <w:spacing w:line="600" w:lineRule="exact"/>
        <w:ind w:firstLine="3840" w:firstLineChars="1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w:t>
      </w:r>
      <w:r>
        <w:rPr>
          <w:rFonts w:hint="eastAsia" w:ascii="仿宋_GB2312" w:hAnsi="仿宋_GB2312" w:eastAsia="仿宋_GB2312" w:cs="仿宋_GB2312"/>
          <w:sz w:val="32"/>
          <w:szCs w:val="32"/>
          <w:lang w:eastAsia="zh-CN"/>
        </w:rPr>
        <w:t>通州区</w:t>
      </w:r>
      <w:r>
        <w:rPr>
          <w:rFonts w:hint="eastAsia" w:ascii="仿宋_GB2312" w:hAnsi="仿宋_GB2312" w:eastAsia="仿宋_GB2312" w:cs="仿宋_GB2312"/>
          <w:sz w:val="32"/>
          <w:szCs w:val="32"/>
        </w:rPr>
        <w:t>发展和改革委员会</w:t>
      </w:r>
    </w:p>
    <w:p>
      <w:pPr>
        <w:keepNext w:val="0"/>
        <w:keepLines w:val="0"/>
        <w:pageBreakBefore w:val="0"/>
        <w:widowControl w:val="0"/>
        <w:tabs>
          <w:tab w:val="left" w:pos="4680"/>
        </w:tabs>
        <w:kinsoku/>
        <w:wordWrap/>
        <w:overflowPunct/>
        <w:topLinePunct w:val="0"/>
        <w:autoSpaceDE/>
        <w:autoSpaceDN/>
        <w:bidi w:val="0"/>
        <w:adjustRightInd w:val="0"/>
        <w:snapToGrid w:val="0"/>
        <w:spacing w:line="600" w:lineRule="exact"/>
        <w:ind w:firstLine="4800" w:firstLineChars="15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rPr>
        <w:t>日</w:t>
      </w:r>
      <w:bookmarkStart w:id="2" w:name="_GoBack"/>
      <w:bookmarkEnd w:id="2"/>
    </w:p>
    <w:p>
      <w:pPr>
        <w:keepNext w:val="0"/>
        <w:keepLines w:val="0"/>
        <w:pageBreakBefore w:val="0"/>
        <w:widowControl w:val="0"/>
        <w:tabs>
          <w:tab w:val="left" w:pos="4680"/>
        </w:tabs>
        <w:kinsoku/>
        <w:wordWrap/>
        <w:overflowPunct/>
        <w:topLinePunct w:val="0"/>
        <w:autoSpaceDE/>
        <w:autoSpaceDN/>
        <w:bidi w:val="0"/>
        <w:adjustRightInd w:val="0"/>
        <w:snapToGrid w:val="0"/>
        <w:spacing w:line="560" w:lineRule="exact"/>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p>
    <w:p>
      <w:pPr>
        <w:jc w:val="center"/>
        <w:rPr>
          <w:rFonts w:ascii="仿宋_GB2312"/>
        </w:rPr>
      </w:pPr>
      <w:bookmarkStart w:id="0" w:name="table_title"/>
      <w:r>
        <w:rPr>
          <w:rFonts w:hint="eastAsia" w:ascii="方正小标宋简体" w:hAnsi="黑体" w:eastAsia="方正小标宋简体" w:cs="宋体"/>
          <w:bCs/>
          <w:kern w:val="0"/>
          <w:sz w:val="44"/>
          <w:szCs w:val="44"/>
        </w:rPr>
        <w:t>建设项目招标方案核准意见书</w:t>
      </w:r>
      <w:bookmarkEnd w:id="0"/>
      <w:r>
        <w:rPr>
          <w:rFonts w:hint="eastAsia" w:ascii="方正小标宋简体" w:hAnsi="黑体" w:eastAsia="方正小标宋简体"/>
          <w:vanish/>
          <w:sz w:val="44"/>
          <w:szCs w:val="44"/>
        </w:rPr>
        <w:t xml:space="preserve"> </w:t>
      </w:r>
    </w:p>
    <w:p>
      <w:pPr>
        <w:widowControl/>
        <w:spacing w:line="300" w:lineRule="exact"/>
        <w:jc w:val="left"/>
        <w:rPr>
          <w:rFonts w:hint="eastAsia" w:ascii="仿宋_GB2312" w:hAnsi="仿宋" w:eastAsia="仿宋_GB2312" w:cs="Times New Roman"/>
          <w:sz w:val="22"/>
          <w:szCs w:val="22"/>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项目名称：镜澄街（通济路-庙上路）道路工程</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4"/>
          <w:lang w:val="en-US" w:eastAsia="zh-CN"/>
        </w:rPr>
        <w:t>项目建设单位名称：</w:t>
      </w:r>
      <w:bookmarkStart w:id="1" w:name="book_bid_tab"/>
      <w:r>
        <w:rPr>
          <w:rFonts w:hint="eastAsia" w:ascii="仿宋_GB2312" w:hAnsi="仿宋_GB2312" w:eastAsia="仿宋_GB2312" w:cs="仿宋_GB2312"/>
          <w:sz w:val="24"/>
          <w:szCs w:val="22"/>
        </w:rPr>
        <w:t>北京城市副中心投资建设集团有限公司</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lang w:val="en-US" w:eastAsia="zh-CN"/>
        </w:rPr>
        <w:t>企业社会信用代码：</w:t>
      </w:r>
      <w:r>
        <w:rPr>
          <w:rFonts w:hint="eastAsia" w:ascii="仿宋_GB2312" w:hAnsi="仿宋_GB2312" w:eastAsia="仿宋_GB2312" w:cs="仿宋_GB2312"/>
          <w:sz w:val="24"/>
          <w:szCs w:val="22"/>
        </w:rPr>
        <w:t>911100007577013516</w:t>
      </w:r>
    </w:p>
    <w:tbl>
      <w:tblPr>
        <w:tblStyle w:val="10"/>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125"/>
        <w:gridCol w:w="1609"/>
        <w:gridCol w:w="1402"/>
        <w:gridCol w:w="1485"/>
        <w:gridCol w:w="111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6" w:type="dxa"/>
            <w:vAlign w:val="center"/>
          </w:tcPr>
          <w:p>
            <w:pPr>
              <w:spacing w:line="300" w:lineRule="exact"/>
              <w:jc w:val="center"/>
              <w:rPr>
                <w:rFonts w:hint="eastAsia" w:ascii="仿宋_GB2312" w:hAnsi="黑体" w:eastAsia="仿宋_GB2312" w:cs="黑体"/>
                <w:kern w:val="0"/>
                <w:sz w:val="21"/>
                <w:szCs w:val="21"/>
              </w:rPr>
            </w:pPr>
          </w:p>
        </w:tc>
        <w:tc>
          <w:tcPr>
            <w:tcW w:w="1125"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采购细项</w:t>
            </w:r>
          </w:p>
        </w:tc>
        <w:tc>
          <w:tcPr>
            <w:tcW w:w="1609"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单项合同</w:t>
            </w:r>
          </w:p>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估算金额</w:t>
            </w:r>
          </w:p>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（万元）</w:t>
            </w:r>
          </w:p>
        </w:tc>
        <w:tc>
          <w:tcPr>
            <w:tcW w:w="1402"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招标方式</w:t>
            </w:r>
          </w:p>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（公开招标或邀请招标）</w:t>
            </w:r>
          </w:p>
        </w:tc>
        <w:tc>
          <w:tcPr>
            <w:tcW w:w="1485"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招标组织形式</w:t>
            </w:r>
          </w:p>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（自行招标或委托招标）</w:t>
            </w:r>
          </w:p>
        </w:tc>
        <w:tc>
          <w:tcPr>
            <w:tcW w:w="1110"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不采用招标形式</w:t>
            </w:r>
          </w:p>
        </w:tc>
        <w:tc>
          <w:tcPr>
            <w:tcW w:w="1130"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186"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勘察</w:t>
            </w:r>
          </w:p>
        </w:tc>
        <w:tc>
          <w:tcPr>
            <w:tcW w:w="1125"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工程勘察</w:t>
            </w:r>
          </w:p>
        </w:tc>
        <w:tc>
          <w:tcPr>
            <w:tcW w:w="1609" w:type="dxa"/>
            <w:vAlign w:val="center"/>
          </w:tcPr>
          <w:p>
            <w:pPr>
              <w:spacing w:line="300" w:lineRule="exact"/>
              <w:jc w:val="center"/>
              <w:rPr>
                <w:rFonts w:hint="default" w:ascii="仿宋_GB2312" w:hAnsi="黑体" w:eastAsia="仿宋_GB2312" w:cs="黑体"/>
                <w:kern w:val="0"/>
                <w:sz w:val="21"/>
                <w:szCs w:val="21"/>
                <w:lang w:val="en-US" w:eastAsia="zh-CN"/>
              </w:rPr>
            </w:pPr>
            <w:r>
              <w:rPr>
                <w:rFonts w:hint="eastAsia" w:ascii="仿宋_GB2312" w:hAnsi="黑体" w:eastAsia="仿宋_GB2312" w:cs="黑体"/>
                <w:kern w:val="0"/>
                <w:sz w:val="21"/>
                <w:szCs w:val="21"/>
                <w:lang w:val="en-US" w:eastAsia="zh-CN"/>
              </w:rPr>
              <w:t>21.8</w:t>
            </w:r>
          </w:p>
        </w:tc>
        <w:tc>
          <w:tcPr>
            <w:tcW w:w="1402" w:type="dxa"/>
            <w:vAlign w:val="center"/>
          </w:tcPr>
          <w:p>
            <w:pPr>
              <w:spacing w:line="300" w:lineRule="exact"/>
              <w:jc w:val="center"/>
              <w:rPr>
                <w:rFonts w:hint="eastAsia" w:ascii="仿宋_GB2312" w:hAnsi="黑体" w:eastAsia="仿宋_GB2312" w:cs="黑体"/>
                <w:kern w:val="0"/>
                <w:sz w:val="21"/>
                <w:szCs w:val="21"/>
              </w:rPr>
            </w:pPr>
          </w:p>
        </w:tc>
        <w:tc>
          <w:tcPr>
            <w:tcW w:w="1485" w:type="dxa"/>
            <w:vAlign w:val="center"/>
          </w:tcPr>
          <w:p>
            <w:pPr>
              <w:spacing w:line="300" w:lineRule="exact"/>
              <w:jc w:val="center"/>
              <w:rPr>
                <w:rFonts w:hint="eastAsia" w:ascii="仿宋_GB2312" w:hAnsi="黑体" w:eastAsia="仿宋_GB2312" w:cs="黑体"/>
                <w:kern w:val="0"/>
                <w:sz w:val="21"/>
                <w:szCs w:val="21"/>
              </w:rPr>
            </w:pPr>
          </w:p>
        </w:tc>
        <w:tc>
          <w:tcPr>
            <w:tcW w:w="1110" w:type="dxa"/>
            <w:vAlign w:val="center"/>
          </w:tcPr>
          <w:p>
            <w:pPr>
              <w:spacing w:line="300" w:lineRule="exact"/>
              <w:jc w:val="center"/>
              <w:rPr>
                <w:rFonts w:hint="eastAsia" w:ascii="仿宋_GB2312" w:hAnsi="黑体" w:eastAsia="仿宋_GB2312" w:cs="黑体"/>
                <w:kern w:val="0"/>
                <w:sz w:val="21"/>
                <w:szCs w:val="21"/>
                <w:lang w:val="en-US" w:eastAsia="zh-CN"/>
              </w:rPr>
            </w:pPr>
            <w:r>
              <w:rPr>
                <w:rFonts w:hint="eastAsia" w:ascii="仿宋_GB2312" w:hAnsi="黑体" w:eastAsia="仿宋_GB2312" w:cs="黑体"/>
                <w:kern w:val="0"/>
                <w:sz w:val="21"/>
                <w:szCs w:val="21"/>
                <w:lang w:val="en-US" w:eastAsia="zh-CN"/>
              </w:rPr>
              <w:t>√</w:t>
            </w:r>
          </w:p>
        </w:tc>
        <w:tc>
          <w:tcPr>
            <w:tcW w:w="1130"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未达到招标金额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86"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设计</w:t>
            </w:r>
          </w:p>
        </w:tc>
        <w:tc>
          <w:tcPr>
            <w:tcW w:w="1125"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工程设计</w:t>
            </w:r>
          </w:p>
        </w:tc>
        <w:tc>
          <w:tcPr>
            <w:tcW w:w="1609" w:type="dxa"/>
            <w:vAlign w:val="center"/>
          </w:tcPr>
          <w:p>
            <w:pPr>
              <w:spacing w:line="300" w:lineRule="exact"/>
              <w:jc w:val="center"/>
              <w:rPr>
                <w:rFonts w:hint="default" w:ascii="仿宋_GB2312" w:hAnsi="黑体" w:eastAsia="仿宋_GB2312" w:cs="黑体"/>
                <w:kern w:val="0"/>
                <w:sz w:val="21"/>
                <w:szCs w:val="21"/>
                <w:lang w:val="en-US" w:eastAsia="zh-CN"/>
              </w:rPr>
            </w:pPr>
            <w:r>
              <w:rPr>
                <w:rFonts w:hint="eastAsia" w:ascii="仿宋_GB2312" w:hAnsi="黑体" w:eastAsia="仿宋_GB2312" w:cs="黑体"/>
                <w:kern w:val="0"/>
                <w:sz w:val="21"/>
                <w:szCs w:val="21"/>
                <w:lang w:val="en-US" w:eastAsia="zh-CN"/>
              </w:rPr>
              <w:t>72.7</w:t>
            </w:r>
          </w:p>
        </w:tc>
        <w:tc>
          <w:tcPr>
            <w:tcW w:w="1402" w:type="dxa"/>
            <w:vAlign w:val="center"/>
          </w:tcPr>
          <w:p>
            <w:pPr>
              <w:jc w:val="center"/>
              <w:rPr>
                <w:rFonts w:hint="eastAsia" w:ascii="仿宋_GB2312" w:hAnsi="仿宋_GB2312" w:eastAsia="仿宋_GB2312" w:cs="仿宋_GB2312"/>
                <w:kern w:val="2"/>
                <w:sz w:val="21"/>
                <w:szCs w:val="21"/>
                <w:lang w:val="en-US" w:eastAsia="zh-CN" w:bidi="ar-SA"/>
              </w:rPr>
            </w:pPr>
          </w:p>
        </w:tc>
        <w:tc>
          <w:tcPr>
            <w:tcW w:w="1485" w:type="dxa"/>
            <w:vAlign w:val="center"/>
          </w:tcPr>
          <w:p>
            <w:pPr>
              <w:jc w:val="center"/>
              <w:rPr>
                <w:rFonts w:hint="eastAsia" w:ascii="仿宋_GB2312" w:hAnsi="仿宋_GB2312" w:eastAsia="仿宋_GB2312" w:cs="仿宋_GB2312"/>
                <w:kern w:val="2"/>
                <w:sz w:val="21"/>
                <w:szCs w:val="21"/>
                <w:lang w:val="en-US" w:eastAsia="zh-CN" w:bidi="ar-SA"/>
              </w:rPr>
            </w:pPr>
          </w:p>
        </w:tc>
        <w:tc>
          <w:tcPr>
            <w:tcW w:w="1110" w:type="dxa"/>
            <w:vAlign w:val="center"/>
          </w:tcPr>
          <w:p>
            <w:pPr>
              <w:spacing w:line="300" w:lineRule="exact"/>
              <w:jc w:val="center"/>
              <w:rPr>
                <w:rFonts w:hint="eastAsia" w:ascii="仿宋_GB2312" w:hAnsi="黑体" w:eastAsia="仿宋_GB2312" w:cs="黑体"/>
                <w:kern w:val="0"/>
                <w:sz w:val="21"/>
                <w:szCs w:val="21"/>
                <w:lang w:val="en-US" w:eastAsia="zh-CN" w:bidi="ar-SA"/>
              </w:rPr>
            </w:pPr>
            <w:r>
              <w:rPr>
                <w:rFonts w:hint="eastAsia" w:ascii="仿宋_GB2312" w:hAnsi="黑体" w:eastAsia="仿宋_GB2312" w:cs="黑体"/>
                <w:kern w:val="0"/>
                <w:sz w:val="21"/>
                <w:szCs w:val="21"/>
                <w:lang w:val="en-US" w:eastAsia="zh-CN"/>
              </w:rPr>
              <w:t>√</w:t>
            </w:r>
          </w:p>
        </w:tc>
        <w:tc>
          <w:tcPr>
            <w:tcW w:w="1130" w:type="dxa"/>
            <w:vAlign w:val="center"/>
          </w:tcPr>
          <w:p>
            <w:pPr>
              <w:spacing w:line="300" w:lineRule="exact"/>
              <w:jc w:val="center"/>
              <w:rPr>
                <w:rFonts w:hint="default" w:ascii="仿宋_GB2312" w:hAnsi="黑体" w:eastAsia="仿宋_GB2312" w:cs="黑体"/>
                <w:kern w:val="0"/>
                <w:sz w:val="21"/>
                <w:szCs w:val="21"/>
                <w:lang w:val="en-US" w:eastAsia="zh-CN" w:bidi="ar-SA"/>
              </w:rPr>
            </w:pPr>
            <w:r>
              <w:rPr>
                <w:rFonts w:hint="eastAsia" w:ascii="仿宋_GB2312" w:hAnsi="黑体" w:eastAsia="仿宋_GB2312" w:cs="黑体"/>
                <w:kern w:val="0"/>
                <w:sz w:val="21"/>
                <w:szCs w:val="21"/>
                <w:lang w:eastAsia="zh-CN"/>
              </w:rPr>
              <w:t>未达到招标金额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86" w:type="dxa"/>
            <w:vAlign w:val="center"/>
          </w:tcPr>
          <w:p>
            <w:pPr>
              <w:spacing w:line="300" w:lineRule="exact"/>
              <w:jc w:val="center"/>
              <w:rPr>
                <w:rFonts w:hint="eastAsia" w:ascii="仿宋_GB2312" w:hAnsi="黑体" w:eastAsia="仿宋_GB2312" w:cs="黑体"/>
                <w:kern w:val="0"/>
                <w:sz w:val="21"/>
                <w:szCs w:val="21"/>
                <w:lang w:val="en-US" w:eastAsia="zh-CN"/>
              </w:rPr>
            </w:pPr>
            <w:r>
              <w:rPr>
                <w:rFonts w:hint="eastAsia" w:ascii="仿宋_GB2312" w:hAnsi="黑体" w:eastAsia="仿宋_GB2312" w:cs="黑体"/>
                <w:kern w:val="0"/>
                <w:sz w:val="21"/>
                <w:szCs w:val="21"/>
                <w:lang w:val="en-US" w:eastAsia="zh-CN"/>
              </w:rPr>
              <w:t>施工</w:t>
            </w:r>
          </w:p>
        </w:tc>
        <w:tc>
          <w:tcPr>
            <w:tcW w:w="1125"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工程</w:t>
            </w:r>
            <w:r>
              <w:rPr>
                <w:rFonts w:hint="eastAsia" w:ascii="仿宋_GB2312" w:hAnsi="黑体" w:eastAsia="仿宋_GB2312" w:cs="黑体"/>
                <w:kern w:val="0"/>
                <w:sz w:val="21"/>
                <w:szCs w:val="21"/>
                <w:lang w:val="en-US" w:eastAsia="zh-CN"/>
              </w:rPr>
              <w:t>施工</w:t>
            </w:r>
          </w:p>
        </w:tc>
        <w:tc>
          <w:tcPr>
            <w:tcW w:w="1609" w:type="dxa"/>
            <w:vAlign w:val="center"/>
          </w:tcPr>
          <w:p>
            <w:pPr>
              <w:spacing w:line="300" w:lineRule="exact"/>
              <w:jc w:val="center"/>
              <w:rPr>
                <w:rFonts w:hint="default" w:ascii="仿宋_GB2312" w:hAnsi="黑体" w:eastAsia="仿宋_GB2312" w:cs="黑体"/>
                <w:kern w:val="0"/>
                <w:sz w:val="21"/>
                <w:szCs w:val="21"/>
                <w:lang w:val="en-US" w:eastAsia="zh-CN"/>
              </w:rPr>
            </w:pPr>
            <w:r>
              <w:rPr>
                <w:rFonts w:hint="eastAsia" w:ascii="仿宋_GB2312" w:hAnsi="黑体" w:eastAsia="仿宋_GB2312" w:cs="黑体"/>
                <w:kern w:val="0"/>
                <w:sz w:val="21"/>
                <w:szCs w:val="21"/>
                <w:lang w:val="en-US" w:eastAsia="zh-CN"/>
              </w:rPr>
              <w:t>2293.1</w:t>
            </w:r>
          </w:p>
        </w:tc>
        <w:tc>
          <w:tcPr>
            <w:tcW w:w="1402" w:type="dxa"/>
            <w:vAlign w:val="center"/>
          </w:tcPr>
          <w:p>
            <w:pPr>
              <w:spacing w:line="30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公开招标</w:t>
            </w:r>
          </w:p>
        </w:tc>
        <w:tc>
          <w:tcPr>
            <w:tcW w:w="1485" w:type="dxa"/>
            <w:vAlign w:val="center"/>
          </w:tcPr>
          <w:p>
            <w:pPr>
              <w:spacing w:line="30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委托招标</w:t>
            </w:r>
          </w:p>
        </w:tc>
        <w:tc>
          <w:tcPr>
            <w:tcW w:w="1110" w:type="dxa"/>
            <w:vAlign w:val="center"/>
          </w:tcPr>
          <w:p>
            <w:pPr>
              <w:spacing w:line="300" w:lineRule="exact"/>
              <w:jc w:val="center"/>
              <w:rPr>
                <w:rFonts w:hint="eastAsia" w:ascii="仿宋_GB2312" w:hAnsi="黑体" w:eastAsia="仿宋_GB2312" w:cs="黑体"/>
                <w:kern w:val="0"/>
                <w:sz w:val="21"/>
                <w:szCs w:val="21"/>
                <w:lang w:eastAsia="zh-CN"/>
              </w:rPr>
            </w:pPr>
          </w:p>
        </w:tc>
        <w:tc>
          <w:tcPr>
            <w:tcW w:w="1130" w:type="dxa"/>
            <w:vAlign w:val="center"/>
          </w:tcPr>
          <w:p>
            <w:pPr>
              <w:spacing w:line="300" w:lineRule="exact"/>
              <w:jc w:val="center"/>
              <w:rPr>
                <w:rFonts w:hint="eastAsia" w:ascii="仿宋_GB2312" w:hAnsi="黑体" w:eastAsia="仿宋_GB2312" w:cs="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186"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监理</w:t>
            </w:r>
          </w:p>
        </w:tc>
        <w:tc>
          <w:tcPr>
            <w:tcW w:w="1125"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工程监理</w:t>
            </w:r>
          </w:p>
        </w:tc>
        <w:tc>
          <w:tcPr>
            <w:tcW w:w="1609" w:type="dxa"/>
            <w:vAlign w:val="center"/>
          </w:tcPr>
          <w:p>
            <w:pPr>
              <w:spacing w:line="300" w:lineRule="exact"/>
              <w:jc w:val="center"/>
              <w:rPr>
                <w:rFonts w:hint="default" w:ascii="仿宋_GB2312" w:hAnsi="黑体" w:eastAsia="仿宋_GB2312" w:cs="黑体"/>
                <w:kern w:val="0"/>
                <w:sz w:val="21"/>
                <w:szCs w:val="21"/>
                <w:lang w:val="en-US" w:eastAsia="zh-CN"/>
              </w:rPr>
            </w:pPr>
            <w:r>
              <w:rPr>
                <w:rFonts w:hint="eastAsia" w:ascii="仿宋_GB2312" w:hAnsi="黑体" w:eastAsia="仿宋_GB2312" w:cs="黑体"/>
                <w:kern w:val="0"/>
                <w:sz w:val="21"/>
                <w:szCs w:val="21"/>
                <w:lang w:val="en-US" w:eastAsia="zh-CN"/>
              </w:rPr>
              <w:t>61.1</w:t>
            </w:r>
          </w:p>
        </w:tc>
        <w:tc>
          <w:tcPr>
            <w:tcW w:w="1402" w:type="dxa"/>
            <w:vAlign w:val="center"/>
          </w:tcPr>
          <w:p>
            <w:pPr>
              <w:jc w:val="center"/>
              <w:rPr>
                <w:rFonts w:hint="eastAsia" w:ascii="仿宋_GB2312" w:hAnsi="仿宋_GB2312" w:eastAsia="仿宋_GB2312" w:cs="仿宋_GB2312"/>
                <w:kern w:val="2"/>
                <w:sz w:val="21"/>
                <w:szCs w:val="21"/>
                <w:lang w:val="en-US" w:eastAsia="zh-CN" w:bidi="ar-SA"/>
              </w:rPr>
            </w:pPr>
          </w:p>
        </w:tc>
        <w:tc>
          <w:tcPr>
            <w:tcW w:w="1485" w:type="dxa"/>
            <w:vAlign w:val="center"/>
          </w:tcPr>
          <w:p>
            <w:pPr>
              <w:jc w:val="center"/>
              <w:rPr>
                <w:rFonts w:hint="eastAsia" w:ascii="仿宋_GB2312" w:hAnsi="仿宋_GB2312" w:eastAsia="仿宋_GB2312" w:cs="仿宋_GB2312"/>
                <w:kern w:val="2"/>
                <w:sz w:val="21"/>
                <w:szCs w:val="21"/>
                <w:lang w:val="en-US" w:eastAsia="zh-CN" w:bidi="ar-SA"/>
              </w:rPr>
            </w:pPr>
          </w:p>
        </w:tc>
        <w:tc>
          <w:tcPr>
            <w:tcW w:w="1110"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val="en-US" w:eastAsia="zh-CN"/>
              </w:rPr>
              <w:t>√</w:t>
            </w:r>
          </w:p>
        </w:tc>
        <w:tc>
          <w:tcPr>
            <w:tcW w:w="1130" w:type="dxa"/>
            <w:vAlign w:val="center"/>
          </w:tcPr>
          <w:p>
            <w:pPr>
              <w:spacing w:line="300" w:lineRule="exact"/>
              <w:jc w:val="center"/>
              <w:rPr>
                <w:rFonts w:hint="eastAsia" w:ascii="仿宋_GB2312" w:hAnsi="黑体" w:eastAsia="仿宋_GB2312" w:cs="黑体"/>
                <w:kern w:val="0"/>
                <w:sz w:val="21"/>
                <w:szCs w:val="21"/>
                <w:lang w:val="en-US" w:eastAsia="zh-CN" w:bidi="ar-SA"/>
              </w:rPr>
            </w:pPr>
            <w:r>
              <w:rPr>
                <w:rFonts w:hint="eastAsia" w:ascii="仿宋_GB2312" w:hAnsi="黑体" w:eastAsia="仿宋_GB2312" w:cs="黑体"/>
                <w:kern w:val="0"/>
                <w:sz w:val="21"/>
                <w:szCs w:val="21"/>
                <w:lang w:eastAsia="zh-CN"/>
              </w:rPr>
              <w:t>未达到招标金额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186"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其他</w:t>
            </w:r>
          </w:p>
        </w:tc>
        <w:tc>
          <w:tcPr>
            <w:tcW w:w="1125" w:type="dxa"/>
            <w:vAlign w:val="center"/>
          </w:tcPr>
          <w:p>
            <w:pPr>
              <w:spacing w:line="300" w:lineRule="exact"/>
              <w:jc w:val="center"/>
              <w:rPr>
                <w:rFonts w:hint="eastAsia" w:ascii="仿宋_GB2312" w:hAnsi="黑体" w:eastAsia="仿宋_GB2312" w:cs="黑体"/>
                <w:kern w:val="0"/>
                <w:sz w:val="21"/>
                <w:szCs w:val="21"/>
                <w:lang w:eastAsia="zh-CN"/>
              </w:rPr>
            </w:pPr>
          </w:p>
        </w:tc>
        <w:tc>
          <w:tcPr>
            <w:tcW w:w="1609" w:type="dxa"/>
            <w:vAlign w:val="center"/>
          </w:tcPr>
          <w:p>
            <w:pPr>
              <w:spacing w:line="300" w:lineRule="exact"/>
              <w:jc w:val="center"/>
              <w:rPr>
                <w:rFonts w:hint="default" w:ascii="仿宋_GB2312" w:hAnsi="黑体" w:eastAsia="仿宋_GB2312" w:cs="黑体"/>
                <w:kern w:val="0"/>
                <w:sz w:val="21"/>
                <w:szCs w:val="21"/>
                <w:lang w:val="en-US" w:eastAsia="zh-CN"/>
              </w:rPr>
            </w:pPr>
            <w:r>
              <w:rPr>
                <w:rFonts w:hint="eastAsia" w:ascii="仿宋_GB2312" w:hAnsi="黑体" w:eastAsia="仿宋_GB2312" w:cs="黑体"/>
                <w:kern w:val="0"/>
                <w:sz w:val="21"/>
                <w:szCs w:val="21"/>
                <w:lang w:val="en-US" w:eastAsia="zh-CN"/>
              </w:rPr>
              <w:t>224</w:t>
            </w:r>
          </w:p>
        </w:tc>
        <w:tc>
          <w:tcPr>
            <w:tcW w:w="1402" w:type="dxa"/>
            <w:vAlign w:val="center"/>
          </w:tcPr>
          <w:p>
            <w:pPr>
              <w:spacing w:line="300" w:lineRule="exact"/>
              <w:jc w:val="center"/>
              <w:rPr>
                <w:rFonts w:hint="eastAsia" w:ascii="仿宋_GB2312" w:hAnsi="黑体" w:eastAsia="仿宋_GB2312" w:cs="黑体"/>
                <w:kern w:val="0"/>
                <w:sz w:val="21"/>
                <w:szCs w:val="21"/>
                <w:lang w:eastAsia="zh-CN"/>
              </w:rPr>
            </w:pPr>
          </w:p>
        </w:tc>
        <w:tc>
          <w:tcPr>
            <w:tcW w:w="1485" w:type="dxa"/>
            <w:vAlign w:val="center"/>
          </w:tcPr>
          <w:p>
            <w:pPr>
              <w:spacing w:line="300" w:lineRule="exact"/>
              <w:jc w:val="center"/>
              <w:rPr>
                <w:rFonts w:hint="eastAsia" w:ascii="仿宋_GB2312" w:hAnsi="黑体" w:eastAsia="仿宋_GB2312" w:cs="黑体"/>
                <w:kern w:val="0"/>
                <w:sz w:val="21"/>
                <w:szCs w:val="21"/>
                <w:lang w:eastAsia="zh-CN"/>
              </w:rPr>
            </w:pPr>
          </w:p>
        </w:tc>
        <w:tc>
          <w:tcPr>
            <w:tcW w:w="1110" w:type="dxa"/>
            <w:vAlign w:val="center"/>
          </w:tcPr>
          <w:p>
            <w:pPr>
              <w:spacing w:line="300" w:lineRule="exact"/>
              <w:jc w:val="center"/>
              <w:rPr>
                <w:rFonts w:hint="eastAsia" w:ascii="仿宋_GB2312" w:hAnsi="黑体" w:eastAsia="仿宋_GB2312" w:cs="黑体"/>
                <w:kern w:val="0"/>
                <w:sz w:val="21"/>
                <w:szCs w:val="21"/>
                <w:lang w:val="en-US" w:eastAsia="zh-CN" w:bidi="ar-SA"/>
              </w:rPr>
            </w:pPr>
          </w:p>
        </w:tc>
        <w:tc>
          <w:tcPr>
            <w:tcW w:w="1130" w:type="dxa"/>
            <w:vAlign w:val="center"/>
          </w:tcPr>
          <w:p>
            <w:pPr>
              <w:spacing w:line="300" w:lineRule="exact"/>
              <w:jc w:val="center"/>
              <w:rPr>
                <w:rFonts w:hint="eastAsia" w:ascii="仿宋_GB2312" w:hAnsi="黑体" w:eastAsia="仿宋_GB2312" w:cs="黑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047" w:type="dxa"/>
            <w:gridSpan w:val="7"/>
          </w:tcPr>
          <w:p>
            <w:pPr>
              <w:spacing w:line="300" w:lineRule="exact"/>
              <w:jc w:val="both"/>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rPr>
              <w:t>核准意见说明：</w:t>
            </w:r>
            <w:r>
              <w:rPr>
                <w:rFonts w:hint="eastAsia" w:ascii="仿宋_GB2312" w:hAnsi="黑体" w:eastAsia="仿宋_GB2312" w:cs="黑体"/>
                <w:kern w:val="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047" w:type="dxa"/>
            <w:gridSpan w:val="7"/>
            <w:tcBorders>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kern w:val="0"/>
                <w:sz w:val="22"/>
                <w:szCs w:val="22"/>
              </w:rPr>
            </w:pPr>
            <w:r>
              <w:rPr>
                <w:rFonts w:hint="eastAsia" w:ascii="仿宋_GB2312" w:hAnsi="仿宋_GB2312" w:eastAsia="仿宋_GB2312" w:cs="仿宋_GB2312"/>
                <w:b/>
                <w:kern w:val="0"/>
                <w:sz w:val="22"/>
                <w:szCs w:val="22"/>
              </w:rPr>
              <w:t>注意事项：</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仿宋_GB2312" w:hAnsi="仿宋_GB2312" w:eastAsia="仿宋_GB2312" w:cs="仿宋_GB2312"/>
                <w:kern w:val="0"/>
                <w:sz w:val="22"/>
                <w:szCs w:val="22"/>
                <w:lang w:eastAsia="zh-CN"/>
              </w:rPr>
            </w:pPr>
            <w:r>
              <w:rPr>
                <w:rFonts w:hint="eastAsia" w:ascii="仿宋_GB2312" w:hAnsi="仿宋_GB2312" w:cs="仿宋_GB2312"/>
                <w:kern w:val="0"/>
                <w:sz w:val="22"/>
                <w:szCs w:val="22"/>
              </w:rPr>
              <w:t>1</w:t>
            </w:r>
            <w:r>
              <w:rPr>
                <w:rFonts w:hint="eastAsia" w:ascii="仿宋_GB2312" w:hAnsi="仿宋_GB2312" w:eastAsia="仿宋_GB2312" w:cs="仿宋_GB2312"/>
                <w:kern w:val="0"/>
                <w:sz w:val="22"/>
                <w:szCs w:val="22"/>
              </w:rPr>
              <w:t>、根据《招标公告和公示信息发布管理办法》（国家发展改革委令第10号），依法必须招标项目的招标公告和公示信息应当在北京市公共资源交易服务平台、中国招标投标公共服务平台上发布。</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2、政府投资项目，项目单位应当将资格预审公告、招标公告、中标候选人公示、中标结果公示等信息在北京市公共资源交易服务平台（ggzyfw.beijing.gov.cn）上全过程公开。</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ascii="仿宋_GB2312" w:hAnsi="仿宋_GB2312" w:cs="仿宋_GB2312"/>
                <w:kern w:val="0"/>
                <w:sz w:val="22"/>
                <w:szCs w:val="22"/>
              </w:rPr>
            </w:pPr>
            <w:r>
              <w:rPr>
                <w:rFonts w:hint="eastAsia" w:ascii="仿宋_GB2312" w:hAnsi="仿宋_GB2312" w:eastAsia="仿宋_GB2312" w:cs="仿宋_GB2312"/>
                <w:kern w:val="0"/>
                <w:sz w:val="22"/>
                <w:szCs w:val="22"/>
              </w:rPr>
              <w:t>3、招标方案核准意见在本项目实施全过程有效。在项目实施过程中，如确有特殊情况需要变更已经核准的招标方案的，应当报我委重新核准。</w:t>
            </w:r>
          </w:p>
        </w:tc>
      </w:tr>
      <w:bookmarkEnd w:id="1"/>
    </w:tbl>
    <w:tbl>
      <w:tblPr>
        <w:tblStyle w:val="10"/>
        <w:tblpPr w:leftFromText="181" w:rightFromText="181" w:vertAnchor="page" w:horzAnchor="page" w:tblpX="1574" w:tblpY="14230"/>
        <w:tblW w:w="8860" w:type="dxa"/>
        <w:tblInd w:w="0" w:type="dxa"/>
        <w:tblLayout w:type="fixed"/>
        <w:tblCellMar>
          <w:top w:w="0" w:type="dxa"/>
          <w:left w:w="0" w:type="dxa"/>
          <w:bottom w:w="0" w:type="dxa"/>
          <w:right w:w="0" w:type="dxa"/>
        </w:tblCellMar>
      </w:tblPr>
      <w:tblGrid>
        <w:gridCol w:w="4665"/>
        <w:gridCol w:w="4195"/>
      </w:tblGrid>
      <w:tr>
        <w:tblPrEx>
          <w:tblCellMar>
            <w:top w:w="0" w:type="dxa"/>
            <w:left w:w="0" w:type="dxa"/>
            <w:bottom w:w="0" w:type="dxa"/>
            <w:right w:w="0" w:type="dxa"/>
          </w:tblCellMar>
        </w:tblPrEx>
        <w:trPr>
          <w:cantSplit/>
          <w:trHeight w:val="578" w:hRule="atLeast"/>
        </w:trPr>
        <w:tc>
          <w:tcPr>
            <w:tcW w:w="4665" w:type="dxa"/>
            <w:tcBorders>
              <w:top w:val="single" w:color="auto" w:sz="4" w:space="0"/>
              <w:bottom w:val="single" w:color="auto" w:sz="8" w:space="0"/>
            </w:tcBorders>
            <w:tcMar>
              <w:left w:w="0" w:type="dxa"/>
              <w:right w:w="0" w:type="dxa"/>
            </w:tcMar>
            <w:vAlign w:val="center"/>
          </w:tcPr>
          <w:p>
            <w:pPr>
              <w:spacing w:line="520" w:lineRule="exact"/>
              <w:ind w:firstLine="280" w:firstLineChars="100"/>
              <w:rPr>
                <w:rFonts w:hint="eastAsia" w:ascii="仿宋_GB2312" w:hAnsi="仿宋_GB2312" w:eastAsia="仿宋_GB2312"/>
                <w:sz w:val="28"/>
              </w:rPr>
            </w:pPr>
            <w:r>
              <w:rPr>
                <w:rFonts w:hint="eastAsia" w:ascii="仿宋_GB2312" w:hAnsi="仿宋_GB2312" w:eastAsia="仿宋_GB2312"/>
                <w:sz w:val="28"/>
              </w:rPr>
              <w:t>通州区发展和改革委员会办公室</w:t>
            </w:r>
          </w:p>
        </w:tc>
        <w:tc>
          <w:tcPr>
            <w:tcW w:w="4195" w:type="dxa"/>
            <w:tcBorders>
              <w:top w:val="single" w:color="auto" w:sz="4" w:space="0"/>
              <w:bottom w:val="single" w:color="auto" w:sz="8" w:space="0"/>
            </w:tcBorders>
            <w:tcMar>
              <w:left w:w="0" w:type="dxa"/>
              <w:right w:w="0" w:type="dxa"/>
            </w:tcMar>
            <w:vAlign w:val="center"/>
          </w:tcPr>
          <w:p>
            <w:pPr>
              <w:spacing w:line="520" w:lineRule="exact"/>
              <w:jc w:val="center"/>
              <w:rPr>
                <w:rFonts w:hint="eastAsia" w:ascii="仿宋_GB2312" w:hAnsi="仿宋_GB2312" w:eastAsia="仿宋_GB2312"/>
                <w:sz w:val="28"/>
              </w:rPr>
            </w:pPr>
            <w:r>
              <w:rPr>
                <w:rFonts w:hint="eastAsia" w:ascii="仿宋_GB2312" w:hAnsi="仿宋_GB2312" w:eastAsia="仿宋_GB2312"/>
                <w:sz w:val="28"/>
                <w:lang w:val="en-US" w:eastAsia="zh-CN"/>
              </w:rPr>
              <w:t xml:space="preserve">    </w:t>
            </w:r>
            <w:r>
              <w:rPr>
                <w:rFonts w:hint="eastAsia" w:ascii="仿宋_GB2312" w:hAnsi="仿宋_GB2312" w:eastAsia="仿宋_GB2312"/>
                <w:sz w:val="28"/>
              </w:rPr>
              <w:t>202</w:t>
            </w:r>
            <w:r>
              <w:rPr>
                <w:rFonts w:hint="eastAsia" w:ascii="仿宋_GB2312" w:hAnsi="仿宋_GB2312" w:eastAsia="仿宋_GB2312"/>
                <w:sz w:val="28"/>
                <w:lang w:val="en-US" w:eastAsia="zh-CN"/>
              </w:rPr>
              <w:t>4</w:t>
            </w:r>
            <w:r>
              <w:rPr>
                <w:rFonts w:hint="eastAsia" w:ascii="仿宋_GB2312" w:hAnsi="仿宋_GB2312" w:eastAsia="仿宋_GB2312"/>
                <w:sz w:val="28"/>
              </w:rPr>
              <w:t>年</w:t>
            </w:r>
            <w:r>
              <w:rPr>
                <w:rFonts w:hint="eastAsia" w:ascii="仿宋_GB2312" w:hAnsi="仿宋_GB2312" w:eastAsia="仿宋_GB2312"/>
                <w:sz w:val="28"/>
                <w:lang w:val="en-US" w:eastAsia="zh-CN"/>
              </w:rPr>
              <w:t>11</w:t>
            </w:r>
            <w:r>
              <w:rPr>
                <w:rFonts w:hint="eastAsia" w:ascii="仿宋_GB2312" w:hAnsi="仿宋_GB2312" w:eastAsia="仿宋_GB2312"/>
                <w:sz w:val="28"/>
              </w:rPr>
              <w:t>月</w:t>
            </w:r>
            <w:r>
              <w:rPr>
                <w:rFonts w:hint="eastAsia" w:ascii="仿宋_GB2312" w:hAnsi="仿宋_GB2312" w:eastAsia="仿宋_GB2312"/>
                <w:sz w:val="28"/>
                <w:lang w:val="en-US" w:eastAsia="zh-CN"/>
              </w:rPr>
              <w:t>1</w:t>
            </w:r>
            <w:r>
              <w:rPr>
                <w:rFonts w:hint="eastAsia" w:ascii="仿宋_GB2312" w:hAnsi="仿宋_GB2312" w:eastAsia="仿宋_GB2312"/>
                <w:sz w:val="28"/>
              </w:rPr>
              <w:t>日印发</w:t>
            </w:r>
          </w:p>
        </w:tc>
      </w:tr>
    </w:tbl>
    <w:p>
      <w:pPr>
        <w:keepNext w:val="0"/>
        <w:keepLines w:val="0"/>
        <w:pageBreakBefore w:val="0"/>
        <w:widowControl w:val="0"/>
        <w:tabs>
          <w:tab w:val="left" w:pos="7350"/>
        </w:tabs>
        <w:kinsoku/>
        <w:wordWrap/>
        <w:overflowPunct/>
        <w:topLinePunct w:val="0"/>
        <w:autoSpaceDE/>
        <w:autoSpaceDN/>
        <w:bidi w:val="0"/>
        <w:adjustRightInd/>
        <w:snapToGrid/>
        <w:textAlignment w:val="auto"/>
        <w:rPr>
          <w:lang w:val="en-US" w:eastAsia="zh-CN"/>
        </w:rPr>
      </w:pPr>
      <w:r>
        <w:rPr>
          <w:lang w:val="en-US" w:eastAsia="zh-CN"/>
        </w:rPr>
        <w:drawing>
          <wp:anchor distT="0" distB="0" distL="114300" distR="114300" simplePos="0" relativeHeight="251659264" behindDoc="0" locked="0" layoutInCell="1" allowOverlap="1">
            <wp:simplePos x="0" y="0"/>
            <wp:positionH relativeFrom="column">
              <wp:posOffset>3550920</wp:posOffset>
            </wp:positionH>
            <wp:positionV relativeFrom="paragraph">
              <wp:posOffset>908050</wp:posOffset>
            </wp:positionV>
            <wp:extent cx="1882140" cy="739140"/>
            <wp:effectExtent l="0" t="0" r="7620" b="7620"/>
            <wp:wrapNone/>
            <wp:docPr id="2" name="图片 2" descr="173044910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0449101979"/>
                    <pic:cNvPicPr>
                      <a:picLocks noChangeAspect="1"/>
                    </pic:cNvPicPr>
                  </pic:nvPicPr>
                  <pic:blipFill>
                    <a:blip r:embed="rId5"/>
                    <a:stretch>
                      <a:fillRect/>
                    </a:stretch>
                  </pic:blipFill>
                  <pic:spPr>
                    <a:xfrm>
                      <a:off x="0" y="0"/>
                      <a:ext cx="1882140" cy="739140"/>
                    </a:xfrm>
                    <a:prstGeom prst="rect">
                      <a:avLst/>
                    </a:prstGeom>
                  </pic:spPr>
                </pic:pic>
              </a:graphicData>
            </a:graphic>
          </wp:anchor>
        </w:drawing>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4"/>
      </w:rPr>
    </w:pPr>
  </w:p>
  <w:p>
    <w:pPr>
      <w:pStyle w:val="6"/>
      <w:rPr>
        <w:rFonts w:hint="eastAsia" w:eastAsia="宋体"/>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NmY1YzM1NmFmNDA2MDE3OWM4OTkxODQ4ZGRiZDgifQ=="/>
  </w:docVars>
  <w:rsids>
    <w:rsidRoot w:val="00172A27"/>
    <w:rsid w:val="00005209"/>
    <w:rsid w:val="000149DD"/>
    <w:rsid w:val="000218F7"/>
    <w:rsid w:val="0002716F"/>
    <w:rsid w:val="00035244"/>
    <w:rsid w:val="0004527E"/>
    <w:rsid w:val="0008765D"/>
    <w:rsid w:val="00094A26"/>
    <w:rsid w:val="000A020F"/>
    <w:rsid w:val="000A174B"/>
    <w:rsid w:val="000B16E6"/>
    <w:rsid w:val="000C5EEC"/>
    <w:rsid w:val="000C76C2"/>
    <w:rsid w:val="000D3CCA"/>
    <w:rsid w:val="000D7115"/>
    <w:rsid w:val="000E1798"/>
    <w:rsid w:val="000F2C71"/>
    <w:rsid w:val="00121579"/>
    <w:rsid w:val="0012274D"/>
    <w:rsid w:val="00125F26"/>
    <w:rsid w:val="00151935"/>
    <w:rsid w:val="00172A27"/>
    <w:rsid w:val="00176C2A"/>
    <w:rsid w:val="0018600F"/>
    <w:rsid w:val="0019031B"/>
    <w:rsid w:val="001D0E26"/>
    <w:rsid w:val="001E06D0"/>
    <w:rsid w:val="001E4F17"/>
    <w:rsid w:val="00205F40"/>
    <w:rsid w:val="00220AEE"/>
    <w:rsid w:val="00231479"/>
    <w:rsid w:val="002371E8"/>
    <w:rsid w:val="00242FF7"/>
    <w:rsid w:val="00246D6C"/>
    <w:rsid w:val="00261785"/>
    <w:rsid w:val="002630AC"/>
    <w:rsid w:val="002722DC"/>
    <w:rsid w:val="00273768"/>
    <w:rsid w:val="002776B2"/>
    <w:rsid w:val="00280B74"/>
    <w:rsid w:val="00297B54"/>
    <w:rsid w:val="002A1788"/>
    <w:rsid w:val="002A5FDC"/>
    <w:rsid w:val="002B5782"/>
    <w:rsid w:val="002E7C61"/>
    <w:rsid w:val="00301210"/>
    <w:rsid w:val="0031512C"/>
    <w:rsid w:val="00333A20"/>
    <w:rsid w:val="003341AF"/>
    <w:rsid w:val="00334496"/>
    <w:rsid w:val="00385E34"/>
    <w:rsid w:val="003A1285"/>
    <w:rsid w:val="003A4D3C"/>
    <w:rsid w:val="003B0BE9"/>
    <w:rsid w:val="003D0AA2"/>
    <w:rsid w:val="004060F2"/>
    <w:rsid w:val="00416129"/>
    <w:rsid w:val="00446A93"/>
    <w:rsid w:val="00447C0B"/>
    <w:rsid w:val="00453300"/>
    <w:rsid w:val="00453583"/>
    <w:rsid w:val="00453CE3"/>
    <w:rsid w:val="00481296"/>
    <w:rsid w:val="00486678"/>
    <w:rsid w:val="0048763F"/>
    <w:rsid w:val="00492EF8"/>
    <w:rsid w:val="004B2133"/>
    <w:rsid w:val="004B71F1"/>
    <w:rsid w:val="004B7B08"/>
    <w:rsid w:val="004C268A"/>
    <w:rsid w:val="004C4538"/>
    <w:rsid w:val="004C6672"/>
    <w:rsid w:val="004C6BA1"/>
    <w:rsid w:val="004C7145"/>
    <w:rsid w:val="004C7A38"/>
    <w:rsid w:val="004D259D"/>
    <w:rsid w:val="004E1BCD"/>
    <w:rsid w:val="004E4C50"/>
    <w:rsid w:val="004E6839"/>
    <w:rsid w:val="004F6533"/>
    <w:rsid w:val="00507DFD"/>
    <w:rsid w:val="00510FC6"/>
    <w:rsid w:val="0054131E"/>
    <w:rsid w:val="005667B7"/>
    <w:rsid w:val="00566FDC"/>
    <w:rsid w:val="005742BE"/>
    <w:rsid w:val="005840D1"/>
    <w:rsid w:val="00591980"/>
    <w:rsid w:val="00597E54"/>
    <w:rsid w:val="005C6DB6"/>
    <w:rsid w:val="005E565F"/>
    <w:rsid w:val="00604D0A"/>
    <w:rsid w:val="00606140"/>
    <w:rsid w:val="006075DA"/>
    <w:rsid w:val="00615B66"/>
    <w:rsid w:val="00617C3C"/>
    <w:rsid w:val="006212A9"/>
    <w:rsid w:val="00621BB5"/>
    <w:rsid w:val="00621DA9"/>
    <w:rsid w:val="0065391C"/>
    <w:rsid w:val="00655430"/>
    <w:rsid w:val="00684E27"/>
    <w:rsid w:val="00695A40"/>
    <w:rsid w:val="00697581"/>
    <w:rsid w:val="006A006C"/>
    <w:rsid w:val="006A44F2"/>
    <w:rsid w:val="006D44A7"/>
    <w:rsid w:val="006D7EBF"/>
    <w:rsid w:val="006E4C88"/>
    <w:rsid w:val="006F4F4D"/>
    <w:rsid w:val="006F7785"/>
    <w:rsid w:val="00707E97"/>
    <w:rsid w:val="00714F00"/>
    <w:rsid w:val="00750DB9"/>
    <w:rsid w:val="00764D98"/>
    <w:rsid w:val="0078482E"/>
    <w:rsid w:val="00786CB5"/>
    <w:rsid w:val="007925AD"/>
    <w:rsid w:val="007C1D85"/>
    <w:rsid w:val="007D1E51"/>
    <w:rsid w:val="007E5474"/>
    <w:rsid w:val="007F67F7"/>
    <w:rsid w:val="00802A4A"/>
    <w:rsid w:val="00815DC4"/>
    <w:rsid w:val="008501FA"/>
    <w:rsid w:val="00852CE6"/>
    <w:rsid w:val="00863033"/>
    <w:rsid w:val="0089012D"/>
    <w:rsid w:val="008918A1"/>
    <w:rsid w:val="008A0825"/>
    <w:rsid w:val="008B5D5B"/>
    <w:rsid w:val="008C2A06"/>
    <w:rsid w:val="008D2E5D"/>
    <w:rsid w:val="008E3AB7"/>
    <w:rsid w:val="008F523E"/>
    <w:rsid w:val="0090583C"/>
    <w:rsid w:val="00905FE4"/>
    <w:rsid w:val="00961D62"/>
    <w:rsid w:val="00971EC0"/>
    <w:rsid w:val="0097273F"/>
    <w:rsid w:val="009813F8"/>
    <w:rsid w:val="00983BB4"/>
    <w:rsid w:val="009A2C79"/>
    <w:rsid w:val="009A6420"/>
    <w:rsid w:val="009A77BA"/>
    <w:rsid w:val="009C1F09"/>
    <w:rsid w:val="009C1F7C"/>
    <w:rsid w:val="009C5EE4"/>
    <w:rsid w:val="009D3C54"/>
    <w:rsid w:val="009D67EF"/>
    <w:rsid w:val="009D7672"/>
    <w:rsid w:val="009F35B7"/>
    <w:rsid w:val="009F6B0C"/>
    <w:rsid w:val="00A001C2"/>
    <w:rsid w:val="00A04487"/>
    <w:rsid w:val="00A05EBC"/>
    <w:rsid w:val="00A06C13"/>
    <w:rsid w:val="00A11F11"/>
    <w:rsid w:val="00A16F77"/>
    <w:rsid w:val="00A318F6"/>
    <w:rsid w:val="00A35BC1"/>
    <w:rsid w:val="00A55BB5"/>
    <w:rsid w:val="00A60B71"/>
    <w:rsid w:val="00A6427D"/>
    <w:rsid w:val="00A8377D"/>
    <w:rsid w:val="00A90C2C"/>
    <w:rsid w:val="00AC49B8"/>
    <w:rsid w:val="00AC7685"/>
    <w:rsid w:val="00AD1CEE"/>
    <w:rsid w:val="00AF562A"/>
    <w:rsid w:val="00B02372"/>
    <w:rsid w:val="00B031FA"/>
    <w:rsid w:val="00B10C12"/>
    <w:rsid w:val="00B211E6"/>
    <w:rsid w:val="00B2471E"/>
    <w:rsid w:val="00B42737"/>
    <w:rsid w:val="00B67488"/>
    <w:rsid w:val="00B80702"/>
    <w:rsid w:val="00BB099E"/>
    <w:rsid w:val="00BB6DAA"/>
    <w:rsid w:val="00BD6D3A"/>
    <w:rsid w:val="00BE382C"/>
    <w:rsid w:val="00BE6D90"/>
    <w:rsid w:val="00C002D8"/>
    <w:rsid w:val="00C0496E"/>
    <w:rsid w:val="00C05534"/>
    <w:rsid w:val="00C057C7"/>
    <w:rsid w:val="00C1010B"/>
    <w:rsid w:val="00C2466C"/>
    <w:rsid w:val="00C33CAC"/>
    <w:rsid w:val="00C431CC"/>
    <w:rsid w:val="00C44763"/>
    <w:rsid w:val="00C55100"/>
    <w:rsid w:val="00C5754C"/>
    <w:rsid w:val="00C75585"/>
    <w:rsid w:val="00C76ADD"/>
    <w:rsid w:val="00C819D7"/>
    <w:rsid w:val="00C82F69"/>
    <w:rsid w:val="00C95C2C"/>
    <w:rsid w:val="00C96F1F"/>
    <w:rsid w:val="00CB775E"/>
    <w:rsid w:val="00CC50DB"/>
    <w:rsid w:val="00CE3190"/>
    <w:rsid w:val="00D00B5F"/>
    <w:rsid w:val="00D14C31"/>
    <w:rsid w:val="00D14CF5"/>
    <w:rsid w:val="00D2184E"/>
    <w:rsid w:val="00D37468"/>
    <w:rsid w:val="00D42F06"/>
    <w:rsid w:val="00D42F40"/>
    <w:rsid w:val="00D827C5"/>
    <w:rsid w:val="00DB2410"/>
    <w:rsid w:val="00DB47B9"/>
    <w:rsid w:val="00DB5EFD"/>
    <w:rsid w:val="00DB6094"/>
    <w:rsid w:val="00DC2077"/>
    <w:rsid w:val="00DD414E"/>
    <w:rsid w:val="00DF4DE9"/>
    <w:rsid w:val="00E06820"/>
    <w:rsid w:val="00E30B7D"/>
    <w:rsid w:val="00E34BCB"/>
    <w:rsid w:val="00E513A6"/>
    <w:rsid w:val="00E600F8"/>
    <w:rsid w:val="00E60DE5"/>
    <w:rsid w:val="00E63F99"/>
    <w:rsid w:val="00E6628B"/>
    <w:rsid w:val="00E70381"/>
    <w:rsid w:val="00EA5E5C"/>
    <w:rsid w:val="00EA742E"/>
    <w:rsid w:val="00EC128C"/>
    <w:rsid w:val="00EC1789"/>
    <w:rsid w:val="00EC5DF6"/>
    <w:rsid w:val="00ED374D"/>
    <w:rsid w:val="00ED5E04"/>
    <w:rsid w:val="00EE0685"/>
    <w:rsid w:val="00EE4BA7"/>
    <w:rsid w:val="00EE7765"/>
    <w:rsid w:val="00F03ED0"/>
    <w:rsid w:val="00F17F02"/>
    <w:rsid w:val="00F216DF"/>
    <w:rsid w:val="00F23739"/>
    <w:rsid w:val="00F5159E"/>
    <w:rsid w:val="00F540E6"/>
    <w:rsid w:val="00F541E0"/>
    <w:rsid w:val="00F62CC0"/>
    <w:rsid w:val="00F8109C"/>
    <w:rsid w:val="00F81468"/>
    <w:rsid w:val="00FD60A5"/>
    <w:rsid w:val="00FD62C9"/>
    <w:rsid w:val="00FE1CA1"/>
    <w:rsid w:val="00FE3841"/>
    <w:rsid w:val="01B11575"/>
    <w:rsid w:val="01F10F2F"/>
    <w:rsid w:val="0227097B"/>
    <w:rsid w:val="02A0184A"/>
    <w:rsid w:val="02B10FE0"/>
    <w:rsid w:val="042D191E"/>
    <w:rsid w:val="04D50EFA"/>
    <w:rsid w:val="05132376"/>
    <w:rsid w:val="053F3C16"/>
    <w:rsid w:val="05ED4186"/>
    <w:rsid w:val="061B6D66"/>
    <w:rsid w:val="06227D5C"/>
    <w:rsid w:val="064636AC"/>
    <w:rsid w:val="06530E2F"/>
    <w:rsid w:val="065B7D5E"/>
    <w:rsid w:val="07411113"/>
    <w:rsid w:val="07737C11"/>
    <w:rsid w:val="08A42BA5"/>
    <w:rsid w:val="09570682"/>
    <w:rsid w:val="09F52429"/>
    <w:rsid w:val="0A0E20F1"/>
    <w:rsid w:val="0A394710"/>
    <w:rsid w:val="0B142C26"/>
    <w:rsid w:val="0B3F6586"/>
    <w:rsid w:val="0C081FD9"/>
    <w:rsid w:val="0C0832F6"/>
    <w:rsid w:val="0D2801AA"/>
    <w:rsid w:val="0E2277CB"/>
    <w:rsid w:val="0E2F0364"/>
    <w:rsid w:val="0E54779A"/>
    <w:rsid w:val="0F1A4DA5"/>
    <w:rsid w:val="0FCE1E42"/>
    <w:rsid w:val="0FD14A20"/>
    <w:rsid w:val="10326620"/>
    <w:rsid w:val="10395A91"/>
    <w:rsid w:val="1049359A"/>
    <w:rsid w:val="114636C6"/>
    <w:rsid w:val="11D43A3F"/>
    <w:rsid w:val="11DD1FA6"/>
    <w:rsid w:val="13271313"/>
    <w:rsid w:val="13E26A72"/>
    <w:rsid w:val="142C3204"/>
    <w:rsid w:val="144417E3"/>
    <w:rsid w:val="146779EB"/>
    <w:rsid w:val="14CB74F9"/>
    <w:rsid w:val="157A3808"/>
    <w:rsid w:val="157A3A5C"/>
    <w:rsid w:val="15C63520"/>
    <w:rsid w:val="16A23F21"/>
    <w:rsid w:val="1775192E"/>
    <w:rsid w:val="17AA2167"/>
    <w:rsid w:val="18691509"/>
    <w:rsid w:val="18FE6EBA"/>
    <w:rsid w:val="191A7E5B"/>
    <w:rsid w:val="1A4D7C6D"/>
    <w:rsid w:val="1B090D19"/>
    <w:rsid w:val="1BEF7250"/>
    <w:rsid w:val="1CCF1D5B"/>
    <w:rsid w:val="1D5A5D40"/>
    <w:rsid w:val="1E5D4AA3"/>
    <w:rsid w:val="1F110B89"/>
    <w:rsid w:val="1FC505A0"/>
    <w:rsid w:val="209C3893"/>
    <w:rsid w:val="22BE5F44"/>
    <w:rsid w:val="22EC4B30"/>
    <w:rsid w:val="236C7C76"/>
    <w:rsid w:val="24CB26E2"/>
    <w:rsid w:val="256C329A"/>
    <w:rsid w:val="25CF5750"/>
    <w:rsid w:val="269237CC"/>
    <w:rsid w:val="26E347A2"/>
    <w:rsid w:val="26EF744B"/>
    <w:rsid w:val="289C2E72"/>
    <w:rsid w:val="29777338"/>
    <w:rsid w:val="29E40A0D"/>
    <w:rsid w:val="2AE826DF"/>
    <w:rsid w:val="2B197D64"/>
    <w:rsid w:val="2B2F4D25"/>
    <w:rsid w:val="2D067762"/>
    <w:rsid w:val="2D7354A9"/>
    <w:rsid w:val="2DA66CA0"/>
    <w:rsid w:val="2E1A0968"/>
    <w:rsid w:val="2E297D6F"/>
    <w:rsid w:val="2F8E785D"/>
    <w:rsid w:val="2FFE2977"/>
    <w:rsid w:val="300371EA"/>
    <w:rsid w:val="30171D35"/>
    <w:rsid w:val="30190B1C"/>
    <w:rsid w:val="30236D92"/>
    <w:rsid w:val="3118459C"/>
    <w:rsid w:val="32321932"/>
    <w:rsid w:val="334A0D48"/>
    <w:rsid w:val="336D5B07"/>
    <w:rsid w:val="34356B70"/>
    <w:rsid w:val="350A5538"/>
    <w:rsid w:val="355B2B76"/>
    <w:rsid w:val="358A78E3"/>
    <w:rsid w:val="35E27D80"/>
    <w:rsid w:val="360D23D1"/>
    <w:rsid w:val="379A30C2"/>
    <w:rsid w:val="38102F59"/>
    <w:rsid w:val="38AD40AD"/>
    <w:rsid w:val="3A3303D1"/>
    <w:rsid w:val="3A8F37B6"/>
    <w:rsid w:val="3A9D1366"/>
    <w:rsid w:val="3AE575D8"/>
    <w:rsid w:val="3C162D59"/>
    <w:rsid w:val="3CE97584"/>
    <w:rsid w:val="3D723818"/>
    <w:rsid w:val="3DF2368E"/>
    <w:rsid w:val="3EED45D7"/>
    <w:rsid w:val="3F606432"/>
    <w:rsid w:val="40362EE0"/>
    <w:rsid w:val="40984E1F"/>
    <w:rsid w:val="416D3CFC"/>
    <w:rsid w:val="420403F7"/>
    <w:rsid w:val="420743FC"/>
    <w:rsid w:val="42D069E5"/>
    <w:rsid w:val="44247717"/>
    <w:rsid w:val="44616634"/>
    <w:rsid w:val="45423313"/>
    <w:rsid w:val="45983CF3"/>
    <w:rsid w:val="46B1640B"/>
    <w:rsid w:val="46CE1FA1"/>
    <w:rsid w:val="46D27ACF"/>
    <w:rsid w:val="472A4760"/>
    <w:rsid w:val="47C67D18"/>
    <w:rsid w:val="49324D4E"/>
    <w:rsid w:val="49DB351E"/>
    <w:rsid w:val="49EA3CF6"/>
    <w:rsid w:val="4A965018"/>
    <w:rsid w:val="4B530CDF"/>
    <w:rsid w:val="4BDE19C2"/>
    <w:rsid w:val="4F514FED"/>
    <w:rsid w:val="528F09B8"/>
    <w:rsid w:val="543C0F3D"/>
    <w:rsid w:val="54C27B5B"/>
    <w:rsid w:val="552C1C13"/>
    <w:rsid w:val="58EA4062"/>
    <w:rsid w:val="594A639D"/>
    <w:rsid w:val="596252F6"/>
    <w:rsid w:val="5AA70668"/>
    <w:rsid w:val="5C542763"/>
    <w:rsid w:val="5E4C2329"/>
    <w:rsid w:val="5E5E3F1C"/>
    <w:rsid w:val="5E7365EB"/>
    <w:rsid w:val="5F174CF1"/>
    <w:rsid w:val="5F2243BB"/>
    <w:rsid w:val="5FC707AE"/>
    <w:rsid w:val="5FF64265"/>
    <w:rsid w:val="60815702"/>
    <w:rsid w:val="60E3232E"/>
    <w:rsid w:val="60F3336C"/>
    <w:rsid w:val="610B7446"/>
    <w:rsid w:val="61B75EBB"/>
    <w:rsid w:val="622954E3"/>
    <w:rsid w:val="63792132"/>
    <w:rsid w:val="638B18AC"/>
    <w:rsid w:val="64A84B6A"/>
    <w:rsid w:val="6536727F"/>
    <w:rsid w:val="6573056E"/>
    <w:rsid w:val="665121E0"/>
    <w:rsid w:val="66A95DE7"/>
    <w:rsid w:val="66FD61E4"/>
    <w:rsid w:val="67506317"/>
    <w:rsid w:val="67E43AB7"/>
    <w:rsid w:val="69155A6E"/>
    <w:rsid w:val="69272485"/>
    <w:rsid w:val="69B0655D"/>
    <w:rsid w:val="6AB06C2A"/>
    <w:rsid w:val="6C195994"/>
    <w:rsid w:val="6D4F4286"/>
    <w:rsid w:val="6D801142"/>
    <w:rsid w:val="6DD62405"/>
    <w:rsid w:val="6F066DAC"/>
    <w:rsid w:val="6FCE545F"/>
    <w:rsid w:val="6FEC09C8"/>
    <w:rsid w:val="706A4BAF"/>
    <w:rsid w:val="72A7310A"/>
    <w:rsid w:val="72E92C14"/>
    <w:rsid w:val="73091AF0"/>
    <w:rsid w:val="731C2A2E"/>
    <w:rsid w:val="74783646"/>
    <w:rsid w:val="7486115D"/>
    <w:rsid w:val="755D671E"/>
    <w:rsid w:val="77231470"/>
    <w:rsid w:val="787358C9"/>
    <w:rsid w:val="78830AE4"/>
    <w:rsid w:val="78841962"/>
    <w:rsid w:val="78997DB6"/>
    <w:rsid w:val="793F5EA6"/>
    <w:rsid w:val="7AA928DC"/>
    <w:rsid w:val="7AC461AA"/>
    <w:rsid w:val="7B3509F0"/>
    <w:rsid w:val="7B8F79DF"/>
    <w:rsid w:val="7B98702C"/>
    <w:rsid w:val="7D270BF6"/>
    <w:rsid w:val="7D5B5686"/>
    <w:rsid w:val="7D972B64"/>
    <w:rsid w:val="7E093F8D"/>
    <w:rsid w:val="7E984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360"/>
      <w:jc w:val="center"/>
    </w:pPr>
    <w:rPr>
      <w:rFonts w:eastAsia="黑体"/>
      <w:b/>
      <w:sz w:val="44"/>
    </w:rPr>
  </w:style>
  <w:style w:type="paragraph" w:styleId="3">
    <w:name w:val="Body Text Indent"/>
    <w:basedOn w:val="1"/>
    <w:qFormat/>
    <w:uiPriority w:val="0"/>
    <w:pPr>
      <w:spacing w:after="120"/>
      <w:ind w:left="420"/>
    </w:p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tabs>
        <w:tab w:val="center" w:pos="4153"/>
        <w:tab w:val="right" w:pos="8306"/>
      </w:tabs>
      <w:snapToGrid w:val="0"/>
    </w:pPr>
    <w:rPr>
      <w:sz w:val="18"/>
    </w:rPr>
  </w:style>
  <w:style w:type="paragraph" w:styleId="8">
    <w:name w:val="Body Text 2"/>
    <w:basedOn w:val="1"/>
    <w:qFormat/>
    <w:uiPriority w:val="0"/>
    <w:pPr>
      <w:spacing w:after="120" w:line="480" w:lineRule="auto"/>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0"/>
    <w:rPr>
      <w:color w:val="0000FF"/>
      <w:u w:val="single"/>
    </w:rPr>
  </w:style>
  <w:style w:type="paragraph" w:customStyle="1" w:styleId="15">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52D106-DAFA-4EFA-B850-F12E5EA4776C}">
  <ds:schemaRefs/>
</ds:datastoreItem>
</file>

<file path=docProps/app.xml><?xml version="1.0" encoding="utf-8"?>
<Properties xmlns="http://schemas.openxmlformats.org/officeDocument/2006/extended-properties" xmlns:vt="http://schemas.openxmlformats.org/officeDocument/2006/docPropsVTypes">
  <Template>Normal</Template>
  <Pages>4</Pages>
  <Words>1288</Words>
  <Characters>1420</Characters>
  <Lines>2</Lines>
  <Paragraphs>1</Paragraphs>
  <TotalTime>10</TotalTime>
  <ScaleCrop>false</ScaleCrop>
  <LinksUpToDate>false</LinksUpToDate>
  <CharactersWithSpaces>1428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2018-06-05T05:55:00Z</dcterms:created>
  <dc:creator>谚语</dc:creator>
  <cp:lastModifiedBy>Administrator</cp:lastModifiedBy>
  <cp:lastPrinted>2024-10-30T06:55:00Z</cp:lastPrinted>
  <dcterms:modified xsi:type="dcterms:W3CDTF">2024-11-01T08:52:15Z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A4E68E0B65FD44139D23A6E5AFA96C38</vt:lpwstr>
  </property>
</Properties>
</file>