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baseline"/>
        <w:rPr>
          <w:rFonts w:hint="eastAsia" w:ascii="方正小标宋简体" w:hAnsi="方正小标宋简体" w:eastAsia="方正小标宋简体" w:cs="方正小标宋简体"/>
          <w:b w:val="0"/>
          <w:bCs/>
          <w:sz w:val="44"/>
          <w:szCs w:val="44"/>
          <w:lang w:bidi="ar-SA"/>
        </w:rPr>
      </w:pPr>
      <w:r>
        <w:rPr>
          <w:rFonts w:hint="eastAsia" w:ascii="方正小标宋简体" w:hAnsi="方正小标宋简体" w:eastAsia="方正小标宋简体" w:cs="方正小标宋简体"/>
          <w:b w:val="0"/>
          <w:bCs/>
          <w:sz w:val="44"/>
          <w:szCs w:val="44"/>
          <w:lang w:bidi="ar-SA"/>
        </w:rPr>
        <w:t>北京市通州区发展和改革委员会</w:t>
      </w:r>
    </w:p>
    <w:p>
      <w:pPr>
        <w:keepNext w:val="0"/>
        <w:keepLines w:val="0"/>
        <w:pageBreakBefore w:val="0"/>
        <w:widowControl w:val="0"/>
        <w:kinsoku/>
        <w:wordWrap/>
        <w:overflowPunct/>
        <w:topLinePunct w:val="0"/>
        <w:autoSpaceDE/>
        <w:autoSpaceDN/>
        <w:bidi w:val="0"/>
        <w:adjustRightInd w:val="0"/>
        <w:snapToGrid w:val="0"/>
        <w:spacing w:line="560" w:lineRule="exact"/>
        <w:ind w:left="-283" w:leftChars="-135" w:firstLine="0" w:firstLineChars="0"/>
        <w:jc w:val="center"/>
        <w:textAlignment w:val="auto"/>
        <w:rPr>
          <w:rFonts w:hint="eastAsia" w:ascii="方正小标宋简体" w:hAnsi="方正小标宋简体" w:eastAsia="方正小标宋简体" w:cs="方正小标宋简体"/>
          <w:b w:val="0"/>
          <w:bCs/>
          <w:sz w:val="44"/>
          <w:szCs w:val="44"/>
          <w:lang w:val="en-US" w:eastAsia="zh-CN" w:bidi="ar-SA"/>
        </w:rPr>
      </w:pPr>
      <w:r>
        <w:rPr>
          <w:rFonts w:hint="eastAsia" w:ascii="方正小标宋简体" w:hAnsi="方正小标宋简体" w:eastAsia="方正小标宋简体" w:cs="方正小标宋简体"/>
          <w:b w:val="0"/>
          <w:bCs/>
          <w:sz w:val="44"/>
          <w:szCs w:val="44"/>
          <w:lang w:val="en-US" w:eastAsia="zh-CN" w:bidi="ar-SA"/>
        </w:rPr>
        <w:t>关于</w:t>
      </w:r>
      <w:r>
        <w:rPr>
          <w:rFonts w:hint="default" w:ascii="方正小标宋简体" w:hAnsi="方正小标宋简体" w:eastAsia="方正小标宋简体" w:cs="方正小标宋简体"/>
          <w:b w:val="0"/>
          <w:bCs/>
          <w:sz w:val="44"/>
          <w:szCs w:val="44"/>
          <w:lang w:val="en-US" w:eastAsia="zh-CN" w:bidi="ar-SA"/>
        </w:rPr>
        <w:t>通州区土桥中路西侧棚户区改造FZX-0202-6025地块R2二类居住用地</w:t>
      </w:r>
      <w:r>
        <w:rPr>
          <w:rFonts w:hint="eastAsia" w:ascii="方正小标宋简体" w:hAnsi="方正小标宋简体" w:eastAsia="方正小标宋简体" w:cs="方正小标宋简体"/>
          <w:b w:val="0"/>
          <w:bCs/>
          <w:sz w:val="44"/>
          <w:szCs w:val="44"/>
          <w:lang w:val="en-US" w:eastAsia="zh-CN" w:bidi="ar-SA"/>
        </w:rPr>
        <w:t>项目立项核准的批复</w:t>
      </w:r>
    </w:p>
    <w:p>
      <w:pPr>
        <w:keepNext w:val="0"/>
        <w:keepLines w:val="0"/>
        <w:pageBreakBefore w:val="0"/>
        <w:widowControl/>
        <w:kinsoku/>
        <w:wordWrap/>
        <w:overflowPunct/>
        <w:topLinePunct w:val="0"/>
        <w:autoSpaceDE/>
        <w:autoSpaceDN/>
        <w:bidi w:val="0"/>
        <w:adjustRightInd/>
        <w:snapToGrid/>
        <w:spacing w:afterAutospacing="0" w:line="560" w:lineRule="exact"/>
        <w:ind w:right="0"/>
        <w:jc w:val="center"/>
        <w:textAlignment w:val="auto"/>
        <w:rPr>
          <w:rFonts w:hint="eastAsia" w:ascii="仿宋_GB2312" w:eastAsia="仿宋_GB2312"/>
          <w:b w:val="0"/>
          <w:bCs/>
          <w:color w:val="000000"/>
          <w:sz w:val="32"/>
          <w:szCs w:val="22"/>
        </w:rPr>
      </w:pPr>
      <w:bookmarkStart w:id="1" w:name="_GoBack"/>
      <w:bookmarkEnd w:id="1"/>
      <w:r>
        <w:rPr>
          <w:rFonts w:hint="eastAsia" w:ascii="仿宋_GB2312" w:eastAsia="仿宋_GB2312"/>
          <w:b w:val="0"/>
          <w:bCs/>
          <w:color w:val="000000"/>
          <w:sz w:val="32"/>
          <w:szCs w:val="22"/>
        </w:rPr>
        <w:t>京</w:t>
      </w:r>
      <w:r>
        <w:rPr>
          <w:rFonts w:hint="eastAsia" w:ascii="仿宋_GB2312" w:eastAsia="仿宋_GB2312"/>
          <w:b w:val="0"/>
          <w:bCs/>
          <w:color w:val="000000"/>
          <w:sz w:val="32"/>
          <w:szCs w:val="22"/>
          <w:lang w:eastAsia="zh-CN"/>
        </w:rPr>
        <w:t>通州</w:t>
      </w:r>
      <w:r>
        <w:rPr>
          <w:rFonts w:hint="eastAsia" w:ascii="仿宋_GB2312" w:eastAsia="仿宋_GB2312"/>
          <w:b w:val="0"/>
          <w:bCs/>
          <w:color w:val="000000"/>
          <w:sz w:val="32"/>
          <w:szCs w:val="22"/>
        </w:rPr>
        <w:t>发改</w:t>
      </w:r>
      <w:r>
        <w:rPr>
          <w:rFonts w:hint="eastAsia" w:ascii="仿宋_GB2312" w:eastAsia="仿宋_GB2312"/>
          <w:b w:val="0"/>
          <w:bCs/>
          <w:color w:val="000000"/>
          <w:sz w:val="32"/>
          <w:szCs w:val="22"/>
          <w:lang w:eastAsia="zh-CN"/>
        </w:rPr>
        <w:t>（核）</w:t>
      </w:r>
      <w:r>
        <w:rPr>
          <w:rFonts w:hint="eastAsia" w:ascii="仿宋_GB2312" w:eastAsia="仿宋_GB2312"/>
          <w:b w:val="0"/>
          <w:bCs/>
          <w:color w:val="000000"/>
          <w:sz w:val="32"/>
          <w:szCs w:val="22"/>
        </w:rPr>
        <w:t>〔20</w:t>
      </w:r>
      <w:r>
        <w:rPr>
          <w:rFonts w:hint="eastAsia" w:ascii="仿宋_GB2312" w:eastAsia="仿宋_GB2312"/>
          <w:b w:val="0"/>
          <w:bCs/>
          <w:color w:val="000000"/>
          <w:sz w:val="32"/>
          <w:szCs w:val="22"/>
          <w:lang w:val="en-US" w:eastAsia="zh-CN"/>
        </w:rPr>
        <w:t>24</w:t>
      </w:r>
      <w:r>
        <w:rPr>
          <w:rFonts w:hint="eastAsia" w:ascii="仿宋_GB2312" w:eastAsia="仿宋_GB2312"/>
          <w:b w:val="0"/>
          <w:bCs/>
          <w:color w:val="000000"/>
          <w:sz w:val="32"/>
          <w:szCs w:val="22"/>
        </w:rPr>
        <w:t>〕</w:t>
      </w:r>
      <w:r>
        <w:rPr>
          <w:rFonts w:hint="eastAsia" w:ascii="仿宋_GB2312" w:eastAsia="仿宋_GB2312"/>
          <w:b w:val="0"/>
          <w:bCs/>
          <w:color w:val="000000"/>
          <w:sz w:val="32"/>
          <w:szCs w:val="22"/>
          <w:highlight w:val="none"/>
          <w:lang w:val="en-US" w:eastAsia="zh-CN"/>
        </w:rPr>
        <w:t>113</w:t>
      </w:r>
      <w:r>
        <w:rPr>
          <w:rFonts w:hint="eastAsia" w:ascii="仿宋_GB2312" w:eastAsia="仿宋_GB2312"/>
          <w:b w:val="0"/>
          <w:bCs/>
          <w:color w:val="000000"/>
          <w:sz w:val="32"/>
          <w:szCs w:val="22"/>
        </w:rPr>
        <w:t>号</w:t>
      </w:r>
    </w:p>
    <w:p>
      <w:pPr>
        <w:pStyle w:val="2"/>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北京隅通置业有限公司</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0"/>
        <w:rPr>
          <w:rFonts w:hint="eastAsia" w:ascii="仿宋_GB2312" w:eastAsia="仿宋_GB2312"/>
          <w:sz w:val="32"/>
          <w:szCs w:val="32"/>
          <w:highlight w:val="none"/>
          <w:lang w:val="en-US" w:eastAsia="zh-CN"/>
        </w:rPr>
      </w:pPr>
      <w:r>
        <w:rPr>
          <w:rFonts w:hint="eastAsia" w:ascii="仿宋_GB2312" w:eastAsia="仿宋_GB2312"/>
          <w:sz w:val="32"/>
          <w:szCs w:val="32"/>
        </w:rPr>
        <w:t>你单位</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关于通州区土桥中路西侧棚户区改造项目FZX-0202-6025地块R2二类居住用地项目核准的请示》（</w:t>
      </w:r>
      <w:r>
        <w:rPr>
          <w:rFonts w:hint="eastAsia" w:ascii="仿宋_GB2312" w:hAnsi="仿宋_GB2312" w:eastAsia="仿宋_GB2312" w:cs="仿宋_GB2312"/>
          <w:sz w:val="32"/>
          <w:szCs w:val="32"/>
          <w:lang w:val="en-US" w:eastAsia="zh-CN"/>
        </w:rPr>
        <w:t>隅通置业</w:t>
      </w:r>
      <w:r>
        <w:rPr>
          <w:rFonts w:hint="eastAsia" w:ascii="仿宋_GB2312" w:hAnsi="Times New Roman" w:eastAsia="仿宋_GB2312" w:cs="Times New Roman"/>
          <w:sz w:val="32"/>
          <w:szCs w:val="32"/>
          <w:highlight w:val="none"/>
          <w:lang w:val="en-US" w:eastAsia="zh-CN"/>
        </w:rPr>
        <w:t>文〔2024〕1号）</w:t>
      </w:r>
      <w:r>
        <w:rPr>
          <w:rFonts w:hint="eastAsia" w:ascii="仿宋_GB2312" w:eastAsia="仿宋_GB2312"/>
          <w:sz w:val="32"/>
          <w:szCs w:val="32"/>
          <w:highlight w:val="none"/>
          <w:lang w:val="en-US" w:eastAsia="zh-CN"/>
        </w:rPr>
        <w:t>、《关于通州区土桥中路西侧棚户区改造项目FZX-0202-6025地块R2二类居住用地项目招标核准的请示》（</w:t>
      </w:r>
      <w:r>
        <w:rPr>
          <w:rFonts w:hint="eastAsia" w:ascii="仿宋_GB2312" w:hAnsi="仿宋_GB2312" w:eastAsia="仿宋_GB2312" w:cs="仿宋_GB2312"/>
          <w:sz w:val="32"/>
          <w:szCs w:val="32"/>
          <w:lang w:val="en-US" w:eastAsia="zh-CN"/>
        </w:rPr>
        <w:t>隅通置业</w:t>
      </w:r>
      <w:r>
        <w:rPr>
          <w:rFonts w:hint="eastAsia" w:ascii="仿宋_GB2312" w:hAnsi="Times New Roman" w:eastAsia="仿宋_GB2312" w:cs="Times New Roman"/>
          <w:sz w:val="32"/>
          <w:szCs w:val="32"/>
          <w:highlight w:val="none"/>
          <w:lang w:val="en-US" w:eastAsia="zh-CN"/>
        </w:rPr>
        <w:t>文</w:t>
      </w:r>
      <w:r>
        <w:rPr>
          <w:rFonts w:hint="eastAsia" w:ascii="仿宋_GB2312" w:hAnsi="仿宋_GB2312" w:eastAsia="仿宋_GB2312" w:cs="仿宋_GB2312"/>
          <w:color w:val="auto"/>
          <w:kern w:val="0"/>
          <w:sz w:val="32"/>
          <w:szCs w:val="32"/>
          <w:highlight w:val="none"/>
          <w:lang w:eastAsia="zh-CN"/>
        </w:rPr>
        <w:t>〔20</w:t>
      </w:r>
      <w:r>
        <w:rPr>
          <w:rFonts w:hint="eastAsia" w:ascii="仿宋_GB2312" w:hAnsi="仿宋_GB2312" w:eastAsia="仿宋_GB2312" w:cs="仿宋_GB2312"/>
          <w:color w:val="auto"/>
          <w:kern w:val="0"/>
          <w:sz w:val="32"/>
          <w:szCs w:val="32"/>
          <w:highlight w:val="none"/>
          <w:lang w:val="en-US" w:eastAsia="zh-CN"/>
        </w:rPr>
        <w:t>24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2号</w:t>
      </w:r>
      <w:r>
        <w:rPr>
          <w:rFonts w:hint="eastAsia" w:ascii="仿宋_GB2312" w:eastAsia="仿宋_GB2312"/>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收悉。根据</w:t>
      </w:r>
      <w:r>
        <w:rPr>
          <w:rFonts w:hint="eastAsia" w:ascii="仿宋_GB2312" w:hAnsi="Times New Roman" w:eastAsia="仿宋_GB2312" w:cs="Times New Roman"/>
          <w:sz w:val="32"/>
          <w:szCs w:val="32"/>
          <w:highlight w:val="none"/>
        </w:rPr>
        <w:t>北京市规划和自然资源委员会</w:t>
      </w:r>
      <w:r>
        <w:rPr>
          <w:rFonts w:hint="eastAsia" w:ascii="仿宋_GB2312" w:hAnsi="Times New Roman" w:eastAsia="仿宋_GB2312" w:cs="Times New Roman"/>
          <w:sz w:val="32"/>
          <w:szCs w:val="32"/>
          <w:highlight w:val="none"/>
          <w:lang w:eastAsia="zh-CN"/>
        </w:rPr>
        <w:t>通州</w:t>
      </w:r>
      <w:r>
        <w:rPr>
          <w:rFonts w:hint="eastAsia" w:ascii="仿宋_GB2312" w:hAnsi="Times New Roman" w:eastAsia="仿宋_GB2312" w:cs="Times New Roman"/>
          <w:sz w:val="32"/>
          <w:szCs w:val="32"/>
          <w:highlight w:val="none"/>
        </w:rPr>
        <w:t>分局</w:t>
      </w:r>
      <w:r>
        <w:rPr>
          <w:rFonts w:hint="eastAsia" w:ascii="仿宋_GB2312" w:eastAsia="仿宋_GB2312" w:cs="Times New Roman"/>
          <w:sz w:val="32"/>
          <w:szCs w:val="32"/>
          <w:highlight w:val="none"/>
          <w:lang w:eastAsia="zh-CN"/>
        </w:rPr>
        <w:t>《关于北京城市副中心</w:t>
      </w:r>
      <w:r>
        <w:rPr>
          <w:rFonts w:hint="eastAsia" w:ascii="仿宋_GB2312" w:eastAsia="仿宋_GB2312" w:cs="Times New Roman"/>
          <w:sz w:val="32"/>
          <w:szCs w:val="32"/>
          <w:highlight w:val="none"/>
          <w:lang w:val="en-US" w:eastAsia="zh-CN"/>
        </w:rPr>
        <w:t>0202街区FZX-0202-0208</w:t>
      </w:r>
      <w:r>
        <w:rPr>
          <w:rFonts w:hint="eastAsia" w:ascii="仿宋_GB2312" w:eastAsia="仿宋_GB2312" w:cs="Times New Roman"/>
          <w:sz w:val="32"/>
          <w:szCs w:val="32"/>
          <w:highlight w:val="none"/>
          <w:lang w:eastAsia="zh-CN"/>
        </w:rPr>
        <w:t>等地块供地项目“多规合一”协同平台审核意见的函》（京规自</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lang w:eastAsia="zh-CN"/>
        </w:rPr>
        <w:t>通</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lang w:eastAsia="zh-CN"/>
        </w:rPr>
        <w:t>供审函</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rPr>
        <w:t>202</w:t>
      </w:r>
      <w:r>
        <w:rPr>
          <w:rFonts w:hint="eastAsia" w:ascii="仿宋_GB2312" w:eastAsia="仿宋_GB2312" w:cs="Times New Roman"/>
          <w:sz w:val="32"/>
          <w:szCs w:val="32"/>
          <w:highlight w:val="none"/>
          <w:lang w:val="en-US" w:eastAsia="zh-CN"/>
        </w:rPr>
        <w:t>4]0006</w:t>
      </w:r>
      <w:r>
        <w:rPr>
          <w:rFonts w:hint="eastAsia" w:ascii="仿宋_GB2312" w:hAnsi="Times New Roman" w:eastAsia="仿宋_GB2312" w:cs="Times New Roman"/>
          <w:sz w:val="32"/>
          <w:szCs w:val="32"/>
          <w:highlight w:val="none"/>
        </w:rPr>
        <w:t>号）</w:t>
      </w:r>
      <w:r>
        <w:rPr>
          <w:rFonts w:hint="eastAsia" w:ascii="仿宋_GB2312" w:hAnsi="Times New Roman" w:eastAsia="仿宋_GB2312" w:cs="Times New Roman"/>
          <w:sz w:val="32"/>
          <w:szCs w:val="32"/>
          <w:highlight w:val="none"/>
          <w:lang w:eastAsia="zh-CN"/>
        </w:rPr>
        <w:t>等相关文件，经研究，同意</w:t>
      </w:r>
      <w:r>
        <w:rPr>
          <w:rFonts w:hint="eastAsia" w:ascii="仿宋_GB2312" w:eastAsia="仿宋_GB2312" w:cs="Times New Roman"/>
          <w:sz w:val="32"/>
          <w:szCs w:val="32"/>
          <w:highlight w:val="none"/>
          <w:lang w:eastAsia="zh-CN"/>
        </w:rPr>
        <w:t>你单位</w:t>
      </w:r>
      <w:r>
        <w:rPr>
          <w:rFonts w:hint="eastAsia" w:ascii="仿宋_GB2312" w:hAnsi="宋体" w:eastAsia="仿宋_GB2312" w:cs="仿宋_GB2312"/>
          <w:color w:val="000000"/>
          <w:kern w:val="0"/>
          <w:sz w:val="32"/>
          <w:szCs w:val="32"/>
          <w:highlight w:val="none"/>
          <w:lang w:val="en-US" w:eastAsia="zh-CN" w:bidi="ar"/>
        </w:rPr>
        <w:t>实施</w:t>
      </w:r>
      <w:r>
        <w:rPr>
          <w:rFonts w:hint="default" w:ascii="仿宋_GB2312" w:hAnsi="宋体" w:eastAsia="仿宋_GB2312" w:cs="仿宋_GB2312"/>
          <w:color w:val="000000"/>
          <w:kern w:val="0"/>
          <w:sz w:val="32"/>
          <w:szCs w:val="32"/>
          <w:highlight w:val="none"/>
          <w:lang w:val="en-US" w:eastAsia="zh-CN" w:bidi="ar"/>
        </w:rPr>
        <w:t>通州区土桥中路西侧棚户区改造FZX-0202-6025地块R2二类居住用地</w:t>
      </w:r>
      <w:r>
        <w:rPr>
          <w:rFonts w:hint="eastAsia" w:ascii="仿宋_GB2312" w:hAnsi="宋体" w:eastAsia="仿宋_GB2312" w:cs="仿宋_GB2312"/>
          <w:color w:val="000000"/>
          <w:kern w:val="0"/>
          <w:sz w:val="32"/>
          <w:szCs w:val="32"/>
          <w:highlight w:val="none"/>
          <w:lang w:val="en-US" w:eastAsia="zh-CN" w:bidi="ar"/>
        </w:rPr>
        <w:t>项目</w:t>
      </w:r>
      <w:r>
        <w:rPr>
          <w:rFonts w:hint="eastAsia" w:ascii="仿宋_GB2312" w:eastAsia="仿宋_GB2312"/>
          <w:sz w:val="32"/>
          <w:szCs w:val="32"/>
          <w:highlight w:val="none"/>
          <w:lang w:val="en-US" w:eastAsia="zh-CN"/>
        </w:rPr>
        <w:t>。现就有关核准事项批复如下：</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一、建设地点：</w:t>
      </w:r>
      <w:r>
        <w:rPr>
          <w:rFonts w:hint="eastAsia" w:ascii="仿宋_GB2312" w:eastAsia="仿宋_GB2312" w:cs="Times New Roman"/>
          <w:sz w:val="32"/>
          <w:szCs w:val="32"/>
          <w:highlight w:val="none"/>
          <w:lang w:val="en-US" w:eastAsia="zh-CN"/>
        </w:rPr>
        <w:t>项目用地位于</w:t>
      </w:r>
      <w:r>
        <w:rPr>
          <w:rFonts w:hint="eastAsia" w:ascii="仿宋_GB2312" w:hAnsi="Times New Roman" w:eastAsia="仿宋_GB2312" w:cs="Times New Roman"/>
          <w:sz w:val="32"/>
          <w:szCs w:val="32"/>
          <w:highlight w:val="none"/>
          <w:lang w:val="en-US" w:eastAsia="zh-CN"/>
        </w:rPr>
        <w:t>北京城市副中心0202街区，北至土桥砖厂中街，东至土桥中路，南至FZX-0202-6026地块，西至玉桥东路。</w:t>
      </w:r>
      <w:r>
        <w:rPr>
          <w:rFonts w:hint="eastAsia" w:ascii="仿宋_GB2312" w:hAnsi="Times New Roman" w:eastAsia="仿宋_GB2312" w:cs="Times New Roman"/>
          <w:sz w:val="32"/>
          <w:szCs w:val="32"/>
          <w:highlight w:val="none"/>
          <w:lang w:val="en-US" w:eastAsia="zh-CN"/>
        </w:rPr>
        <w:t>具体用地范围由规划自然资源管理部门确定。</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Times New Roman" w:eastAsia="仿宋_GB2312" w:cs="Times New Roman"/>
          <w:sz w:val="32"/>
          <w:szCs w:val="32"/>
          <w:highlight w:val="none"/>
          <w:shd w:val="clear" w:color="auto" w:fill="auto"/>
          <w:lang w:val="en-US" w:eastAsia="zh-CN"/>
        </w:rPr>
      </w:pPr>
      <w:r>
        <w:rPr>
          <w:rFonts w:hint="eastAsia" w:ascii="仿宋_GB2312" w:hAnsi="Times New Roman" w:eastAsia="仿宋_GB2312" w:cs="Times New Roman"/>
          <w:sz w:val="32"/>
          <w:szCs w:val="32"/>
          <w:highlight w:val="none"/>
          <w:lang w:val="en-US" w:eastAsia="zh-CN"/>
        </w:rPr>
        <w:t>二、规划用地：项目总用地规模为</w:t>
      </w:r>
      <w:r>
        <w:rPr>
          <w:rFonts w:hint="eastAsia" w:ascii="仿宋_GB2312" w:hAnsi="Times New Roman" w:eastAsia="仿宋_GB2312" w:cs="Times New Roman"/>
          <w:sz w:val="32"/>
          <w:szCs w:val="32"/>
          <w:highlight w:val="none"/>
          <w:lang w:val="en-US" w:eastAsia="zh-CN"/>
        </w:rPr>
        <w:t>21536.095</w:t>
      </w:r>
      <w:r>
        <w:rPr>
          <w:rFonts w:hint="eastAsia" w:ascii="仿宋_GB2312" w:hAnsi="Times New Roman" w:eastAsia="仿宋_GB2312" w:cs="Times New Roman"/>
          <w:sz w:val="32"/>
          <w:szCs w:val="32"/>
          <w:highlight w:val="none"/>
          <w:lang w:val="en-US" w:eastAsia="zh-CN"/>
        </w:rPr>
        <w:t>平方米</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shd w:val="clear" w:color="auto" w:fill="auto"/>
          <w:lang w:val="en-US" w:eastAsia="zh-CN"/>
        </w:rPr>
        <w:t>具体规划用地指标由规划自然资源管理部门核定。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Times New Roman" w:eastAsia="仿宋_GB2312" w:cs="Times New Roman"/>
          <w:sz w:val="32"/>
          <w:szCs w:val="32"/>
          <w:highlight w:val="none"/>
          <w:shd w:val="clear" w:color="auto" w:fill="auto"/>
          <w:lang w:val="en-US" w:eastAsia="zh-CN"/>
        </w:rPr>
      </w:pPr>
      <w:r>
        <w:rPr>
          <w:rFonts w:hint="eastAsia" w:ascii="仿宋_GB2312" w:hAnsi="Times New Roman" w:eastAsia="仿宋_GB2312" w:cs="Times New Roman"/>
          <w:sz w:val="32"/>
          <w:szCs w:val="32"/>
          <w:highlight w:val="none"/>
          <w:shd w:val="clear" w:color="auto" w:fill="auto"/>
          <w:lang w:val="en-US" w:eastAsia="zh-CN"/>
        </w:rPr>
        <w:t>三、规划建设规模及内容：</w:t>
      </w:r>
      <w:r>
        <w:rPr>
          <w:rFonts w:hint="eastAsia" w:ascii="仿宋_GB2312" w:eastAsia="仿宋_GB2312" w:cs="Times New Roman"/>
          <w:sz w:val="32"/>
          <w:szCs w:val="32"/>
          <w:highlight w:val="none"/>
          <w:shd w:val="clear" w:color="auto" w:fill="auto"/>
          <w:lang w:val="en-US" w:eastAsia="zh-CN"/>
        </w:rPr>
        <w:t>项目</w:t>
      </w:r>
      <w:r>
        <w:rPr>
          <w:rFonts w:hint="eastAsia" w:ascii="仿宋_GB2312" w:hAnsi="仿宋_GB2312" w:eastAsia="仿宋_GB2312" w:cs="仿宋_GB2312"/>
          <w:sz w:val="32"/>
          <w:szCs w:val="32"/>
          <w:highlight w:val="none"/>
        </w:rPr>
        <w:t>建筑</w:t>
      </w:r>
      <w:r>
        <w:rPr>
          <w:rFonts w:hint="eastAsia" w:ascii="仿宋_GB2312" w:hAnsi="仿宋_GB2312" w:eastAsia="仿宋_GB2312" w:cs="仿宋_GB2312"/>
          <w:sz w:val="32"/>
          <w:szCs w:val="32"/>
          <w:highlight w:val="none"/>
          <w:lang w:eastAsia="zh-CN"/>
        </w:rPr>
        <w:t>总</w:t>
      </w:r>
      <w:r>
        <w:rPr>
          <w:rFonts w:hint="eastAsia" w:ascii="仿宋_GB2312" w:hAnsi="仿宋_GB2312" w:eastAsia="仿宋_GB2312" w:cs="仿宋_GB2312"/>
          <w:sz w:val="32"/>
          <w:szCs w:val="32"/>
          <w:highlight w:val="none"/>
        </w:rPr>
        <w:t>规模</w:t>
      </w:r>
      <w:r>
        <w:rPr>
          <w:rFonts w:hint="eastAsia" w:ascii="仿宋_GB2312" w:hAnsi="Times New Roman" w:eastAsia="仿宋_GB2312" w:cs="Times New Roman"/>
          <w:sz w:val="32"/>
          <w:szCs w:val="32"/>
          <w:highlight w:val="none"/>
          <w:lang w:val="en-US" w:eastAsia="zh-CN"/>
        </w:rPr>
        <w:t>为47379.409</w:t>
      </w:r>
      <w:r>
        <w:rPr>
          <w:rFonts w:hint="eastAsia" w:ascii="仿宋_GB2312" w:hAnsi="仿宋_GB2312" w:eastAsia="仿宋_GB2312" w:cs="仿宋_GB2312"/>
          <w:sz w:val="32"/>
          <w:szCs w:val="32"/>
          <w:highlight w:val="none"/>
        </w:rPr>
        <w:t>平方米</w:t>
      </w:r>
      <w:r>
        <w:rPr>
          <w:rFonts w:hint="eastAsia" w:ascii="仿宋_GB2312" w:hAnsi="仿宋_GB2312" w:eastAsia="仿宋_GB2312" w:cs="仿宋_GB2312"/>
          <w:sz w:val="32"/>
          <w:szCs w:val="32"/>
          <w:highlight w:val="none"/>
          <w:lang w:val="en-US" w:eastAsia="zh-CN"/>
        </w:rPr>
        <w:t>(不含地下），</w:t>
      </w:r>
      <w:r>
        <w:rPr>
          <w:rFonts w:hint="eastAsia" w:ascii="仿宋_GB2312" w:hAnsi="仿宋_GB2312" w:eastAsia="仿宋_GB2312" w:cs="仿宋_GB2312"/>
          <w:sz w:val="32"/>
          <w:szCs w:val="32"/>
          <w:highlight w:val="none"/>
        </w:rPr>
        <w:t>项目建设内容为住宅</w:t>
      </w:r>
      <w:r>
        <w:rPr>
          <w:rFonts w:hint="eastAsia" w:ascii="仿宋_GB2312" w:hAnsi="仿宋_GB2312" w:eastAsia="仿宋_GB2312" w:cs="仿宋_GB2312"/>
          <w:sz w:val="32"/>
          <w:szCs w:val="32"/>
          <w:highlight w:val="none"/>
          <w:lang w:eastAsia="zh-CN"/>
        </w:rPr>
        <w:t>及配套。</w:t>
      </w:r>
      <w:r>
        <w:rPr>
          <w:rFonts w:hint="eastAsia" w:ascii="仿宋_GB2312" w:hAnsi="Times New Roman" w:eastAsia="仿宋_GB2312" w:cs="Times New Roman"/>
          <w:sz w:val="32"/>
          <w:szCs w:val="32"/>
          <w:highlight w:val="none"/>
          <w:shd w:val="clear" w:color="auto" w:fill="auto"/>
          <w:lang w:val="en-US" w:eastAsia="zh-CN"/>
        </w:rPr>
        <w:t>具体建设规模指标由规划自然资源管理部门核定。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shd w:val="clear" w:color="auto" w:fill="auto"/>
          <w:lang w:val="en-US" w:eastAsia="zh-CN"/>
        </w:rPr>
        <w:t>四、投资估算及资金来源：总投资估算为</w:t>
      </w:r>
      <w:r>
        <w:rPr>
          <w:rFonts w:hint="eastAsia" w:ascii="仿宋_GB2312" w:hAnsi="Times New Roman" w:eastAsia="仿宋_GB2312" w:cs="Times New Roman"/>
          <w:sz w:val="32"/>
          <w:szCs w:val="32"/>
          <w:highlight w:val="none"/>
          <w:shd w:val="clear" w:color="auto" w:fill="auto"/>
          <w:lang w:val="en-US" w:eastAsia="zh-CN"/>
        </w:rPr>
        <w:t>192180</w:t>
      </w:r>
      <w:r>
        <w:rPr>
          <w:rFonts w:hint="eastAsia" w:ascii="仿宋_GB2312" w:hAnsi="Times New Roman" w:eastAsia="仿宋_GB2312" w:cs="Times New Roman"/>
          <w:sz w:val="32"/>
          <w:szCs w:val="32"/>
          <w:highlight w:val="none"/>
          <w:lang w:val="en-US" w:eastAsia="zh-CN"/>
        </w:rPr>
        <w:t>万元，所需资金全部由</w:t>
      </w:r>
      <w:r>
        <w:rPr>
          <w:rFonts w:hint="eastAsia" w:ascii="仿宋_GB2312" w:eastAsia="仿宋_GB2312" w:cs="Times New Roman"/>
          <w:sz w:val="32"/>
          <w:szCs w:val="32"/>
          <w:highlight w:val="none"/>
          <w:lang w:val="en-US" w:eastAsia="zh-CN"/>
        </w:rPr>
        <w:t>你单位</w:t>
      </w:r>
      <w:r>
        <w:rPr>
          <w:rFonts w:hint="eastAsia" w:ascii="仿宋_GB2312" w:hAnsi="Times New Roman" w:eastAsia="仿宋_GB2312" w:cs="Times New Roman"/>
          <w:sz w:val="32"/>
          <w:szCs w:val="32"/>
          <w:highlight w:val="none"/>
          <w:lang w:val="en-US" w:eastAsia="zh-CN"/>
        </w:rPr>
        <w:t>筹措解决。</w:t>
      </w:r>
    </w:p>
    <w:p>
      <w:pPr>
        <w:keepNext w:val="0"/>
        <w:keepLines w:val="0"/>
        <w:pageBreakBefore w:val="0"/>
        <w:widowControl/>
        <w:kinsoku/>
        <w:wordWrap/>
        <w:overflowPunct/>
        <w:topLinePunct w:val="0"/>
        <w:autoSpaceDE/>
        <w:autoSpaceDN/>
        <w:bidi w:val="0"/>
        <w:adjustRightInd w:val="0"/>
        <w:snapToGrid w:val="0"/>
        <w:spacing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lang w:eastAsia="zh-CN"/>
        </w:rPr>
        <w:t>、本批复附《建设项目招标方案核准意见书》1份，请项目单位据此依法开展招标工作。在建设项目实施过程中，确有特殊情况需要变更招标方案的，应当报我委重新核准。</w:t>
      </w:r>
    </w:p>
    <w:p>
      <w:pPr>
        <w:keepNext w:val="0"/>
        <w:keepLines w:val="0"/>
        <w:pageBreakBefore w:val="0"/>
        <w:widowControl/>
        <w:kinsoku/>
        <w:wordWrap/>
        <w:overflowPunct/>
        <w:topLinePunct w:val="0"/>
        <w:autoSpaceDE/>
        <w:autoSpaceDN/>
        <w:bidi w:val="0"/>
        <w:adjustRightInd w:val="0"/>
        <w:snapToGrid w:val="0"/>
        <w:spacing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本批复有效期2年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在有效期内未办理年度投资计划或未取得延期批复的，逾期自动失效。</w:t>
      </w:r>
    </w:p>
    <w:p>
      <w:pPr>
        <w:pStyle w:val="3"/>
        <w:keepNext w:val="0"/>
        <w:keepLines w:val="0"/>
        <w:pageBreakBefore w:val="0"/>
        <w:widowControl w:val="0"/>
        <w:kinsoku/>
        <w:wordWrap/>
        <w:overflowPunct/>
        <w:topLinePunct w:val="0"/>
        <w:autoSpaceDE/>
        <w:autoSpaceDN/>
        <w:bidi w:val="0"/>
        <w:adjustRightInd/>
        <w:snapToGrid/>
        <w:spacing w:after="0" w:line="520" w:lineRule="exact"/>
        <w:ind w:firstLine="620" w:firstLineChars="200"/>
        <w:jc w:val="both"/>
        <w:textAlignment w:val="auto"/>
        <w:rPr>
          <w:rFonts w:hint="eastAsia" w:ascii="仿宋_GB2312" w:hAnsi="宋体" w:eastAsia="仿宋_GB2312" w:cs="仿宋_GB2312"/>
          <w:b w:val="0"/>
          <w:bCs/>
          <w:color w:val="000000"/>
          <w:kern w:val="0"/>
          <w:sz w:val="31"/>
          <w:szCs w:val="31"/>
          <w:lang w:val="en-US" w:eastAsia="zh-CN" w:bidi="ar"/>
        </w:rPr>
      </w:pPr>
      <w:r>
        <w:rPr>
          <w:rFonts w:hint="eastAsia" w:ascii="仿宋_GB2312" w:hAnsi="宋体" w:eastAsia="仿宋_GB2312" w:cs="仿宋_GB2312"/>
          <w:b w:val="0"/>
          <w:bCs/>
          <w:color w:val="000000"/>
          <w:kern w:val="0"/>
          <w:sz w:val="31"/>
          <w:szCs w:val="31"/>
          <w:lang w:val="en-US" w:eastAsia="zh-CN" w:bidi="ar"/>
        </w:rPr>
        <w:t>请据此办理相关手续。</w:t>
      </w:r>
    </w:p>
    <w:p>
      <w:pPr>
        <w:rPr>
          <w:rFonts w:hint="eastAsia"/>
          <w:lang w:val="en-US" w:eastAsia="zh-CN"/>
        </w:rPr>
      </w:pPr>
    </w:p>
    <w:p>
      <w:pPr>
        <w:pStyle w:val="4"/>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sz w:val="32"/>
          <w:szCs w:val="22"/>
          <w:lang w:val="en-US" w:eastAsia="zh-CN"/>
        </w:rPr>
      </w:pPr>
      <w:r>
        <w:rPr>
          <w:rFonts w:hint="eastAsia" w:ascii="仿宋_GB2312" w:eastAsia="仿宋_GB2312"/>
          <w:sz w:val="32"/>
          <w:lang w:val="en-US" w:eastAsia="zh-CN"/>
        </w:rPr>
        <w:t>附件:</w:t>
      </w:r>
      <w:r>
        <w:rPr>
          <w:rFonts w:hint="eastAsia" w:ascii="仿宋_GB2312" w:eastAsia="仿宋_GB2312"/>
          <w:sz w:val="32"/>
          <w:szCs w:val="22"/>
          <w:lang w:val="en-US" w:eastAsia="zh-CN"/>
        </w:rPr>
        <w:t>建设项目招标方案核准意见书</w:t>
      </w:r>
    </w:p>
    <w:p>
      <w:pPr>
        <w:pStyle w:val="4"/>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sz w:val="32"/>
          <w:szCs w:val="22"/>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tabs>
          <w:tab w:val="left" w:pos="720"/>
          <w:tab w:val="left" w:pos="1260"/>
          <w:tab w:val="right" w:pos="8844"/>
        </w:tabs>
        <w:kinsoku/>
        <w:wordWrap/>
        <w:overflowPunct/>
        <w:topLinePunct w:val="0"/>
        <w:autoSpaceDE/>
        <w:autoSpaceDN/>
        <w:bidi w:val="0"/>
        <w:adjustRightInd/>
        <w:snapToGrid/>
        <w:spacing w:line="520" w:lineRule="exact"/>
        <w:ind w:firstLine="3200" w:firstLineChars="1000"/>
        <w:textAlignment w:val="baseline"/>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eastAsia="zh-CN"/>
        </w:rPr>
        <w:t>北京市</w:t>
      </w:r>
      <w:r>
        <w:rPr>
          <w:rFonts w:hint="eastAsia" w:ascii="仿宋_GB2312" w:hAnsi="仿宋_GB2312" w:eastAsia="仿宋_GB2312"/>
          <w:sz w:val="32"/>
        </w:rPr>
        <w:t>通州区发展和改革委员会</w:t>
      </w:r>
    </w:p>
    <w:p>
      <w:pPr>
        <w:keepNext w:val="0"/>
        <w:keepLines w:val="0"/>
        <w:pageBreakBefore w:val="0"/>
        <w:widowControl w:val="0"/>
        <w:tabs>
          <w:tab w:val="left" w:pos="720"/>
          <w:tab w:val="left" w:pos="1260"/>
        </w:tabs>
        <w:kinsoku/>
        <w:wordWrap/>
        <w:overflowPunct/>
        <w:topLinePunct w:val="0"/>
        <w:autoSpaceDE/>
        <w:autoSpaceDN/>
        <w:bidi w:val="0"/>
        <w:adjustRightInd/>
        <w:snapToGrid/>
        <w:spacing w:line="520" w:lineRule="exact"/>
        <w:ind w:firstLine="640" w:firstLineChars="200"/>
        <w:jc w:val="center"/>
        <w:textAlignment w:val="baseline"/>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202</w:t>
      </w:r>
      <w:r>
        <w:rPr>
          <w:rFonts w:hint="eastAsia" w:ascii="仿宋_GB2312" w:hAnsi="仿宋_GB2312" w:eastAsia="仿宋_GB2312"/>
          <w:sz w:val="32"/>
          <w:lang w:val="en-US" w:eastAsia="zh-CN"/>
        </w:rPr>
        <w:t>4</w:t>
      </w:r>
      <w:r>
        <w:rPr>
          <w:rFonts w:hint="eastAsia" w:ascii="仿宋_GB2312" w:hAnsi="仿宋_GB2312" w:eastAsia="仿宋_GB2312"/>
          <w:sz w:val="32"/>
        </w:rPr>
        <w:t>年</w:t>
      </w:r>
      <w:r>
        <w:rPr>
          <w:rFonts w:hint="eastAsia" w:ascii="仿宋_GB2312" w:hAnsi="仿宋_GB2312" w:eastAsia="仿宋_GB2312"/>
          <w:sz w:val="32"/>
          <w:lang w:val="en-US" w:eastAsia="zh-CN"/>
        </w:rPr>
        <w:t>12</w:t>
      </w:r>
      <w:r>
        <w:rPr>
          <w:rFonts w:hint="eastAsia" w:ascii="仿宋_GB2312" w:hAnsi="仿宋_GB2312" w:eastAsia="仿宋_GB2312"/>
          <w:sz w:val="32"/>
          <w:highlight w:val="none"/>
        </w:rPr>
        <w:t>月</w:t>
      </w:r>
      <w:r>
        <w:rPr>
          <w:rFonts w:hint="eastAsia" w:ascii="仿宋_GB2312" w:hAnsi="仿宋_GB2312" w:eastAsia="仿宋_GB2312"/>
          <w:sz w:val="32"/>
          <w:highlight w:val="none"/>
          <w:lang w:val="en-US" w:eastAsia="zh-CN"/>
        </w:rPr>
        <w:t>16</w:t>
      </w:r>
      <w:r>
        <w:rPr>
          <w:rFonts w:hint="eastAsia" w:ascii="仿宋_GB2312" w:hAnsi="仿宋_GB2312" w:eastAsia="仿宋_GB2312"/>
          <w:sz w:val="32"/>
          <w:highlight w:val="none"/>
        </w:rPr>
        <w:t>日</w:t>
      </w:r>
    </w:p>
    <w:p>
      <w:pPr>
        <w:pStyle w:val="6"/>
        <w:ind w:left="0" w:leftChars="0" w:firstLine="0" w:firstLineChars="0"/>
        <w:jc w:val="both"/>
        <w:rPr>
          <w:rFonts w:hint="eastAsia"/>
        </w:rPr>
      </w:pPr>
    </w:p>
    <w:p>
      <w:pPr>
        <w:pStyle w:val="3"/>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宋体" w:eastAsia="仿宋_GB2312" w:cs="仿宋_GB2312"/>
          <w:b w:val="0"/>
          <w:bCs/>
          <w:color w:val="000000"/>
          <w:kern w:val="0"/>
          <w:sz w:val="31"/>
          <w:szCs w:val="31"/>
          <w:lang w:val="en-US" w:eastAsia="zh-CN" w:bidi="ar"/>
        </w:rPr>
      </w:pPr>
    </w:p>
    <w:p>
      <w:pPr>
        <w:rPr>
          <w:rFonts w:hint="eastAsia" w:ascii="仿宋_GB2312" w:hAnsi="宋体" w:eastAsia="仿宋_GB2312" w:cs="仿宋_GB2312"/>
          <w:b w:val="0"/>
          <w:bCs/>
          <w:color w:val="000000"/>
          <w:kern w:val="0"/>
          <w:sz w:val="31"/>
          <w:szCs w:val="31"/>
          <w:lang w:val="en-US" w:eastAsia="zh-CN" w:bidi="ar"/>
        </w:rPr>
      </w:pPr>
      <w:r>
        <w:rPr>
          <w:rFonts w:hint="eastAsia" w:ascii="仿宋_GB2312" w:hAnsi="宋体" w:eastAsia="仿宋_GB2312" w:cs="仿宋_GB2312"/>
          <w:b w:val="0"/>
          <w:bCs/>
          <w:color w:val="000000"/>
          <w:kern w:val="0"/>
          <w:sz w:val="31"/>
          <w:szCs w:val="31"/>
          <w:lang w:val="en-US" w:eastAsia="zh-CN" w:bidi="ar"/>
        </w:rPr>
        <w:br w:type="page"/>
      </w:r>
    </w:p>
    <w:p>
      <w:pPr>
        <w:pStyle w:val="3"/>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宋体" w:eastAsia="仿宋_GB2312" w:cs="仿宋_GB2312"/>
          <w:b w:val="0"/>
          <w:bCs/>
          <w:color w:val="000000"/>
          <w:kern w:val="0"/>
          <w:sz w:val="31"/>
          <w:szCs w:val="31"/>
          <w:lang w:val="en-US" w:eastAsia="zh-CN" w:bidi="ar"/>
        </w:rPr>
      </w:pPr>
      <w:r>
        <w:rPr>
          <w:rFonts w:hint="eastAsia" w:ascii="仿宋_GB2312" w:hAnsi="宋体" w:eastAsia="仿宋_GB2312" w:cs="仿宋_GB2312"/>
          <w:b w:val="0"/>
          <w:bCs/>
          <w:color w:val="000000"/>
          <w:kern w:val="0"/>
          <w:sz w:val="31"/>
          <w:szCs w:val="31"/>
          <w:lang w:val="en-US" w:eastAsia="zh-CN" w:bidi="ar"/>
        </w:rPr>
        <w:t>附件：</w:t>
      </w:r>
    </w:p>
    <w:p>
      <w:pPr>
        <w:jc w:val="center"/>
        <w:rPr>
          <w:rFonts w:hint="eastAsia"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建设项目招标方案核准意见书</w:t>
      </w:r>
    </w:p>
    <w:p>
      <w:pPr>
        <w:keepNext w:val="0"/>
        <w:keepLines w:val="0"/>
        <w:pageBreakBefore w:val="0"/>
        <w:widowControl/>
        <w:suppressLineNumbers w:val="0"/>
        <w:kinsoku/>
        <w:wordWrap/>
        <w:overflowPunct/>
        <w:topLinePunct w:val="0"/>
        <w:autoSpaceDE/>
        <w:autoSpaceDN/>
        <w:bidi w:val="0"/>
        <w:adjustRightInd/>
        <w:snapToGrid/>
        <w:spacing w:line="240" w:lineRule="auto"/>
        <w:ind w:left="1050" w:hanging="1050" w:hangingChars="500"/>
        <w:jc w:val="left"/>
        <w:textAlignment w:val="auto"/>
        <w:outlineLvl w:val="9"/>
        <w:rPr>
          <w:rFonts w:hint="eastAsia" w:ascii="仿宋_GB2312" w:hAnsi="宋体" w:eastAsia="仿宋_GB2312" w:cs="仿宋_GB2312"/>
          <w:b w:val="0"/>
          <w:bCs w:val="0"/>
          <w:color w:val="000000"/>
          <w:w w:val="100"/>
          <w:kern w:val="0"/>
          <w:sz w:val="21"/>
          <w:szCs w:val="21"/>
          <w:lang w:val="en-US" w:eastAsia="zh-CN" w:bidi="ar"/>
        </w:rPr>
      </w:pPr>
      <w:r>
        <w:rPr>
          <w:rFonts w:ascii="仿宋_GB2312" w:hAnsi="宋体" w:eastAsia="仿宋_GB2312" w:cs="仿宋_GB2312"/>
          <w:color w:val="000000"/>
          <w:kern w:val="0"/>
          <w:sz w:val="21"/>
          <w:szCs w:val="21"/>
          <w:lang w:val="en-US" w:eastAsia="zh-CN" w:bidi="ar"/>
        </w:rPr>
        <w:t>项目名称：</w:t>
      </w:r>
      <w:r>
        <w:rPr>
          <w:rFonts w:hint="default" w:ascii="仿宋_GB2312" w:hAnsi="宋体" w:eastAsia="仿宋_GB2312" w:cs="仿宋_GB2312"/>
          <w:b w:val="0"/>
          <w:bCs w:val="0"/>
          <w:color w:val="000000"/>
          <w:w w:val="100"/>
          <w:kern w:val="0"/>
          <w:sz w:val="21"/>
          <w:szCs w:val="21"/>
          <w:lang w:val="en-US" w:eastAsia="zh-CN" w:bidi="ar"/>
        </w:rPr>
        <w:t>通州区土桥中路西侧棚户区改造FZX-0202-6025地块R2二类居住用地</w:t>
      </w:r>
      <w:r>
        <w:rPr>
          <w:rFonts w:hint="eastAsia" w:ascii="仿宋_GB2312" w:hAnsi="宋体" w:eastAsia="仿宋_GB2312" w:cs="仿宋_GB2312"/>
          <w:b w:val="0"/>
          <w:bCs w:val="0"/>
          <w:color w:val="000000"/>
          <w:w w:val="100"/>
          <w:kern w:val="0"/>
          <w:sz w:val="21"/>
          <w:szCs w:val="21"/>
          <w:lang w:val="en-US" w:eastAsia="zh-CN" w:bidi="ar"/>
        </w:rPr>
        <w:t>项目</w:t>
      </w:r>
    </w:p>
    <w:p>
      <w:pPr>
        <w:keepNext w:val="0"/>
        <w:keepLines w:val="0"/>
        <w:widowControl/>
        <w:suppressLineNumbers w:val="0"/>
        <w:ind w:left="1326" w:hanging="1260" w:hangingChars="600"/>
        <w:jc w:val="left"/>
        <w:rPr>
          <w:rFonts w:hint="eastAsia" w:ascii="仿宋_GB2312" w:hAnsi="宋体" w:eastAsia="仿宋_GB2312" w:cs="仿宋_GB2312"/>
          <w:color w:val="000000"/>
          <w:w w:val="100"/>
          <w:kern w:val="0"/>
          <w:sz w:val="21"/>
          <w:szCs w:val="21"/>
          <w:lang w:val="en-US" w:eastAsia="zh-CN" w:bidi="ar"/>
        </w:rPr>
      </w:pPr>
      <w:r>
        <w:rPr>
          <w:rFonts w:ascii="仿宋_GB2312" w:hAnsi="宋体" w:eastAsia="仿宋_GB2312" w:cs="仿宋_GB2312"/>
          <w:color w:val="000000"/>
          <w:kern w:val="0"/>
          <w:sz w:val="21"/>
          <w:szCs w:val="21"/>
          <w:lang w:val="en-US" w:eastAsia="zh-CN" w:bidi="ar"/>
        </w:rPr>
        <w:t>单位名称：</w:t>
      </w:r>
      <w:r>
        <w:rPr>
          <w:rFonts w:hint="eastAsia" w:ascii="仿宋_GB2312" w:hAnsi="宋体" w:eastAsia="仿宋_GB2312" w:cs="仿宋_GB2312"/>
          <w:b w:val="0"/>
          <w:bCs w:val="0"/>
          <w:color w:val="000000"/>
          <w:w w:val="100"/>
          <w:kern w:val="0"/>
          <w:sz w:val="21"/>
          <w:szCs w:val="21"/>
          <w:lang w:val="en-US" w:eastAsia="zh-CN" w:bidi="ar"/>
        </w:rPr>
        <w:t>北京隅通置业有限公司</w:t>
      </w:r>
    </w:p>
    <w:p>
      <w:pPr>
        <w:keepNext w:val="0"/>
        <w:keepLines w:val="0"/>
        <w:pageBreakBefore w:val="0"/>
        <w:widowControl/>
        <w:suppressLineNumbers w:val="0"/>
        <w:kinsoku/>
        <w:wordWrap/>
        <w:overflowPunct/>
        <w:topLinePunct w:val="0"/>
        <w:autoSpaceDE/>
        <w:autoSpaceDN/>
        <w:bidi w:val="0"/>
        <w:adjustRightInd/>
        <w:snapToGrid/>
        <w:spacing w:line="240" w:lineRule="auto"/>
        <w:ind w:left="1326" w:hanging="1260" w:hangingChars="600"/>
        <w:jc w:val="left"/>
        <w:textAlignment w:val="auto"/>
        <w:rPr>
          <w:rFonts w:hint="default"/>
          <w:highlight w:val="none"/>
          <w:lang w:val="en-US" w:eastAsia="zh-CN"/>
        </w:rPr>
      </w:pPr>
      <w:r>
        <w:rPr>
          <w:rFonts w:hint="eastAsia" w:ascii="仿宋_GB2312" w:hAnsi="宋体" w:eastAsia="仿宋_GB2312" w:cs="仿宋_GB2312"/>
          <w:color w:val="000000"/>
          <w:kern w:val="0"/>
          <w:sz w:val="21"/>
          <w:szCs w:val="21"/>
          <w:lang w:val="en-US" w:eastAsia="zh-CN" w:bidi="ar"/>
        </w:rPr>
        <w:t>企业</w:t>
      </w:r>
      <w:r>
        <w:rPr>
          <w:rFonts w:ascii="仿宋_GB2312" w:hAnsi="宋体" w:eastAsia="仿宋_GB2312" w:cs="仿宋_GB2312"/>
          <w:color w:val="000000"/>
          <w:kern w:val="0"/>
          <w:sz w:val="21"/>
          <w:szCs w:val="21"/>
          <w:lang w:val="en-US" w:eastAsia="zh-CN" w:bidi="ar"/>
        </w:rPr>
        <w:t>社会信用代码：</w:t>
      </w:r>
      <w:r>
        <w:rPr>
          <w:rFonts w:hint="eastAsia" w:ascii="仿宋_GB2312" w:hAnsi="宋体" w:eastAsia="仿宋_GB2312" w:cs="仿宋_GB2312"/>
          <w:color w:val="000000"/>
          <w:kern w:val="0"/>
          <w:sz w:val="21"/>
          <w:szCs w:val="21"/>
          <w:highlight w:val="none"/>
          <w:lang w:val="en-US" w:eastAsia="zh-CN" w:bidi="ar"/>
        </w:rPr>
        <w:t>91110112MAE2NJG2X2</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691"/>
        <w:gridCol w:w="1059"/>
        <w:gridCol w:w="1345"/>
        <w:gridCol w:w="1553"/>
        <w:gridCol w:w="1013"/>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　</w:t>
            </w:r>
          </w:p>
        </w:tc>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采购细项</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单项合同</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估算金额（万元）</w:t>
            </w:r>
          </w:p>
        </w:tc>
        <w:tc>
          <w:tcPr>
            <w:tcW w:w="13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招标方式</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(公开招标或邀请招标)</w:t>
            </w:r>
          </w:p>
        </w:tc>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招标组织形式</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(自行招标或委托招标)</w:t>
            </w:r>
          </w:p>
        </w:tc>
        <w:tc>
          <w:tcPr>
            <w:tcW w:w="10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不采用</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招标形式</w:t>
            </w:r>
          </w:p>
        </w:tc>
        <w:tc>
          <w:tcPr>
            <w:tcW w:w="173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default" w:ascii="Times New Roman" w:hAnsi="Times New Roman" w:eastAsia="宋体" w:cs="Times New Roman"/>
                <w:i w:val="0"/>
                <w:iCs w:val="0"/>
                <w:color w:val="auto"/>
                <w:kern w:val="0"/>
                <w:sz w:val="21"/>
                <w:szCs w:val="21"/>
                <w:u w:val="none"/>
                <w:lang w:val="en-US" w:eastAsia="zh-CN" w:bidi="ar"/>
              </w:rPr>
              <w:t>勘察</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工程勘察</w:t>
            </w:r>
          </w:p>
        </w:tc>
        <w:tc>
          <w:tcPr>
            <w:tcW w:w="105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21"/>
                <w:szCs w:val="21"/>
                <w:lang w:val="en-US" w:eastAsia="zh-CN"/>
              </w:rPr>
            </w:pPr>
            <w:r>
              <w:rPr>
                <w:rFonts w:hint="eastAsia" w:ascii="Times New Roman" w:hAnsi="Times New Roman" w:eastAsia="宋体" w:cs="Times New Roman"/>
                <w:i w:val="0"/>
                <w:color w:val="000000"/>
                <w:kern w:val="0"/>
                <w:sz w:val="21"/>
                <w:szCs w:val="21"/>
                <w:u w:val="none"/>
                <w:lang w:val="en-US" w:eastAsia="zh-CN" w:bidi="ar"/>
              </w:rPr>
              <w:t>74</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73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单项合同估算金额未达到法定招标金额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设计</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工程设计</w:t>
            </w:r>
          </w:p>
        </w:tc>
        <w:tc>
          <w:tcPr>
            <w:tcW w:w="105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21"/>
                <w:szCs w:val="21"/>
                <w:lang w:val="en-US" w:eastAsia="zh-CN"/>
              </w:rPr>
            </w:pPr>
            <w:r>
              <w:rPr>
                <w:rFonts w:hint="eastAsia" w:ascii="Times New Roman" w:hAnsi="Times New Roman" w:eastAsia="宋体" w:cs="Times New Roman"/>
                <w:i w:val="0"/>
                <w:color w:val="000000"/>
                <w:kern w:val="0"/>
                <w:sz w:val="21"/>
                <w:szCs w:val="21"/>
                <w:u w:val="none"/>
                <w:lang w:val="en-US" w:eastAsia="zh-CN" w:bidi="ar"/>
              </w:rPr>
              <w:t>1752</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73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施工</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工程施工</w:t>
            </w:r>
          </w:p>
        </w:tc>
        <w:tc>
          <w:tcPr>
            <w:tcW w:w="105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60375 </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73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监理</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工程监理</w:t>
            </w:r>
          </w:p>
        </w:tc>
        <w:tc>
          <w:tcPr>
            <w:tcW w:w="10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996 </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73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eastAsia" w:ascii="Times New Roman" w:hAnsi="Times New Roman" w:eastAsia="宋体" w:cs="Times New Roman"/>
                <w:i w:val="0"/>
                <w:iCs w:val="0"/>
                <w:color w:val="auto"/>
                <w:kern w:val="0"/>
                <w:sz w:val="21"/>
                <w:szCs w:val="21"/>
                <w:u w:val="none"/>
                <w:lang w:val="en-US" w:eastAsia="zh-CN" w:bidi="ar"/>
              </w:rPr>
              <w:t>设备</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电梯</w:t>
            </w:r>
          </w:p>
        </w:tc>
        <w:tc>
          <w:tcPr>
            <w:tcW w:w="10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930 </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73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default" w:ascii="Times New Roman" w:hAnsi="Times New Roman" w:eastAsia="宋体" w:cs="Times New Roman"/>
                <w:i w:val="0"/>
                <w:iCs w:val="0"/>
                <w:color w:val="auto"/>
                <w:kern w:val="0"/>
                <w:sz w:val="21"/>
                <w:szCs w:val="21"/>
                <w:u w:val="none"/>
                <w:lang w:val="en-US" w:eastAsia="zh-CN" w:bidi="ar"/>
              </w:rPr>
              <w:t>含在施工招标中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重要材料</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1、钢材</w:t>
            </w:r>
          </w:p>
        </w:tc>
        <w:tc>
          <w:tcPr>
            <w:tcW w:w="10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1979 </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733"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default" w:ascii="Times New Roman" w:hAnsi="Times New Roman" w:eastAsia="宋体" w:cs="Times New Roman"/>
                <w:i w:val="0"/>
                <w:iCs w:val="0"/>
                <w:color w:val="auto"/>
                <w:kern w:val="0"/>
                <w:sz w:val="21"/>
                <w:szCs w:val="21"/>
                <w:u w:val="none"/>
                <w:lang w:val="en-US" w:eastAsia="zh-CN" w:bidi="ar"/>
              </w:rPr>
              <w:t>含在施工招标中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2、混凝土</w:t>
            </w:r>
          </w:p>
        </w:tc>
        <w:tc>
          <w:tcPr>
            <w:tcW w:w="105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1509 </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p>
        </w:tc>
        <w:tc>
          <w:tcPr>
            <w:tcW w:w="1733"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其他</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1、土地费</w:t>
            </w:r>
          </w:p>
        </w:tc>
        <w:tc>
          <w:tcPr>
            <w:tcW w:w="105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 xml:space="preserve">123248 </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73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3"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2、其他费用</w:t>
            </w:r>
          </w:p>
        </w:tc>
        <w:tc>
          <w:tcPr>
            <w:tcW w:w="105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w:t>
            </w:r>
            <w:r>
              <w:rPr>
                <w:rFonts w:hint="eastAsia" w:ascii="Times New Roman" w:hAnsi="Times New Roman" w:eastAsia="宋体" w:cs="Times New Roman"/>
                <w:i w:val="0"/>
                <w:color w:val="000000"/>
                <w:kern w:val="0"/>
                <w:sz w:val="21"/>
                <w:szCs w:val="21"/>
                <w:u w:val="none"/>
                <w:lang w:val="en-US" w:eastAsia="zh-CN" w:bidi="ar"/>
              </w:rPr>
              <w:t>735</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73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67" w:type="dxa"/>
            <w:gridSpan w:val="7"/>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r>
              <w:rPr>
                <w:rFonts w:hint="eastAsia" w:ascii="仿宋_GB2312" w:hAnsi="黑体" w:eastAsia="仿宋_GB2312" w:cs="黑体"/>
                <w:kern w:val="0"/>
                <w:sz w:val="21"/>
                <w:szCs w:val="21"/>
              </w:rPr>
              <w:t>核准意见说明：</w:t>
            </w:r>
            <w:r>
              <w:rPr>
                <w:rFonts w:hint="eastAsia" w:ascii="仿宋_GB2312" w:hAnsi="黑体" w:eastAsia="仿宋_GB2312" w:cs="黑体"/>
                <w:kern w:val="0"/>
                <w:sz w:val="21"/>
                <w:szCs w:val="21"/>
                <w:lang w:eastAsia="zh-CN"/>
              </w:rPr>
              <w:t>无</w:t>
            </w:r>
          </w:p>
        </w:tc>
      </w:tr>
    </w:tbl>
    <w:p>
      <w:pPr>
        <w:spacing w:line="300" w:lineRule="exact"/>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注意事项：</w:t>
      </w:r>
    </w:p>
    <w:p>
      <w:pPr>
        <w:spacing w:line="30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bookmarkStart w:id="0" w:name="page11"/>
      <w:bookmarkEnd w:id="0"/>
      <w:r>
        <w:rPr>
          <w:rFonts w:hint="eastAsia" w:ascii="仿宋_GB2312" w:hAnsi="仿宋_GB2312" w:eastAsia="仿宋_GB2312" w:cs="仿宋_GB2312"/>
          <w:kern w:val="0"/>
          <w:sz w:val="21"/>
          <w:szCs w:val="21"/>
          <w:lang w:val="en-US" w:eastAsia="zh-CN"/>
        </w:rPr>
        <w:t xml:space="preserve">根据《招标公告和公示信息发布管理办法》（国家发展改革委第10号令），依法必须招标项目的招标公告和公示信息应当在北京市公共资源交易服务平台、中国招标投标公共服务平台上发布。 </w:t>
      </w:r>
    </w:p>
    <w:p>
      <w:pPr>
        <w:spacing w:line="300" w:lineRule="exac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2.政府投资项目，项目单位应当将资格预审公告、招标公告、中标候选人公示、中标结果公示等信息在北京市公共资源交易服务平台（www.bjggzyfw.gov.cn）上全过程公开。</w:t>
      </w:r>
    </w:p>
    <w:p>
      <w:pPr>
        <w:spacing w:line="300" w:lineRule="exact"/>
      </w:pPr>
      <w:r>
        <w:rPr>
          <w:rFonts w:hint="eastAsia" w:ascii="仿宋_GB2312" w:hAnsi="仿宋_GB2312" w:eastAsia="仿宋_GB2312" w:cs="仿宋_GB2312"/>
          <w:kern w:val="0"/>
          <w:sz w:val="21"/>
          <w:szCs w:val="21"/>
          <w:lang w:val="en-US" w:eastAsia="zh-CN"/>
        </w:rPr>
        <w:t>3.招标方案核准意见在本项目实施全过程有效。在项目实施过程中，如确有特殊情况需要变更已经核准的招标方案的，应当报我委重新核准。</w:t>
      </w:r>
    </w:p>
    <w:p>
      <w:pPr>
        <w:rPr>
          <w:rFonts w:hint="eastAsia" w:ascii="仿宋_GB2312" w:hAnsi="仿宋_GB2312" w:eastAsia="仿宋_GB2312" w:cs="仿宋_GB2312"/>
          <w:color w:val="auto"/>
          <w:sz w:val="21"/>
          <w:szCs w:val="21"/>
        </w:rPr>
      </w:pPr>
    </w:p>
    <w:tbl>
      <w:tblPr>
        <w:tblStyle w:val="7"/>
        <w:tblpPr w:leftFromText="180" w:rightFromText="180" w:vertAnchor="page" w:horzAnchor="page" w:tblpX="1576" w:tblpY="14663"/>
        <w:tblW w:w="9351" w:type="dxa"/>
        <w:jc w:val="center"/>
        <w:tblLayout w:type="fixed"/>
        <w:tblCellMar>
          <w:top w:w="0" w:type="dxa"/>
          <w:left w:w="0" w:type="dxa"/>
          <w:bottom w:w="0" w:type="dxa"/>
          <w:right w:w="0" w:type="dxa"/>
        </w:tblCellMar>
      </w:tblPr>
      <w:tblGrid>
        <w:gridCol w:w="5308"/>
        <w:gridCol w:w="4043"/>
      </w:tblGrid>
      <w:tr>
        <w:tblPrEx>
          <w:tblCellMar>
            <w:top w:w="0" w:type="dxa"/>
            <w:left w:w="0" w:type="dxa"/>
            <w:bottom w:w="0" w:type="dxa"/>
            <w:right w:w="0" w:type="dxa"/>
          </w:tblCellMar>
        </w:tblPrEx>
        <w:trPr>
          <w:cantSplit/>
          <w:trHeight w:val="354" w:hRule="atLeast"/>
          <w:jc w:val="center"/>
        </w:trPr>
        <w:tc>
          <w:tcPr>
            <w:tcW w:w="5308" w:type="dxa"/>
            <w:tcBorders>
              <w:top w:val="single" w:color="auto" w:sz="4" w:space="0"/>
              <w:bottom w:val="single" w:color="auto" w:sz="8" w:space="0"/>
            </w:tcBorders>
            <w:vAlign w:val="center"/>
          </w:tcPr>
          <w:p>
            <w:pPr>
              <w:spacing w:line="400" w:lineRule="exact"/>
              <w:ind w:left="0" w:leftChars="0" w:right="0" w:rightChars="0" w:firstLine="0" w:firstLineChars="0"/>
              <w:rPr>
                <w:rFonts w:hint="eastAsia" w:ascii="仿宋_GB2312" w:hAnsi="方正仿宋_GBK"/>
                <w:sz w:val="28"/>
                <w:szCs w:val="28"/>
              </w:rPr>
            </w:pPr>
            <w:r>
              <w:rPr>
                <w:rFonts w:hint="eastAsia" w:ascii="仿宋_GB2312" w:eastAsia="仿宋_GB2312"/>
                <w:sz w:val="28"/>
                <w:szCs w:val="28"/>
              </w:rPr>
              <w:t>通州区发展和改革委员会</w:t>
            </w:r>
            <w:r>
              <w:rPr>
                <w:rFonts w:hint="eastAsia" w:ascii="仿宋_GB2312" w:eastAsia="仿宋_GB2312"/>
                <w:sz w:val="28"/>
                <w:szCs w:val="28"/>
                <w:lang w:eastAsia="zh-CN"/>
              </w:rPr>
              <w:t>办公室</w:t>
            </w:r>
          </w:p>
        </w:tc>
        <w:tc>
          <w:tcPr>
            <w:tcW w:w="4043" w:type="dxa"/>
            <w:tcBorders>
              <w:top w:val="single" w:color="auto" w:sz="4" w:space="0"/>
              <w:bottom w:val="single" w:color="auto" w:sz="8" w:space="0"/>
            </w:tcBorders>
            <w:vAlign w:val="center"/>
          </w:tcPr>
          <w:p>
            <w:pPr>
              <w:spacing w:line="400" w:lineRule="exact"/>
              <w:ind w:left="0" w:leftChars="0" w:right="0" w:rightChars="0" w:firstLine="0" w:firstLineChars="0"/>
              <w:jc w:val="center"/>
              <w:rPr>
                <w:rFonts w:hint="eastAsia" w:ascii="仿宋_GB2312" w:hAnsi="方正仿宋_GBK"/>
                <w:sz w:val="28"/>
                <w:szCs w:val="28"/>
              </w:rPr>
            </w:pP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rPr>
              <w:t>月</w:t>
            </w:r>
            <w:r>
              <w:rPr>
                <w:rFonts w:hint="eastAsia" w:ascii="仿宋_GB2312" w:hAnsi="仿宋_GB2312" w:eastAsia="仿宋_GB2312"/>
                <w:sz w:val="28"/>
                <w:szCs w:val="28"/>
                <w:highlight w:val="none"/>
                <w:lang w:val="en-US" w:eastAsia="zh-CN"/>
              </w:rPr>
              <w:t>16</w:t>
            </w:r>
            <w:r>
              <w:rPr>
                <w:rFonts w:hint="eastAsia" w:ascii="仿宋_GB2312" w:hAnsi="仿宋_GB2312" w:eastAsia="仿宋_GB2312"/>
                <w:sz w:val="28"/>
                <w:szCs w:val="28"/>
                <w:highlight w:val="none"/>
              </w:rPr>
              <w:t>日</w:t>
            </w:r>
            <w:r>
              <w:rPr>
                <w:rFonts w:hint="eastAsia" w:ascii="仿宋_GB2312" w:hAnsi="仿宋_GB2312" w:eastAsia="仿宋_GB2312"/>
                <w:sz w:val="28"/>
                <w:szCs w:val="28"/>
              </w:rPr>
              <w:t>印发</w:t>
            </w:r>
            <w:r>
              <w:rPr>
                <w:rFonts w:hint="eastAsia" w:ascii="仿宋_GB2312" w:hAnsi="方正仿宋_GBK"/>
                <w:sz w:val="28"/>
                <w:szCs w:val="2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31E13"/>
    <w:rsid w:val="017716D3"/>
    <w:rsid w:val="04754771"/>
    <w:rsid w:val="08673139"/>
    <w:rsid w:val="1E9D0A43"/>
    <w:rsid w:val="221F0F9C"/>
    <w:rsid w:val="27D27557"/>
    <w:rsid w:val="2F9E1BBF"/>
    <w:rsid w:val="2FB13386"/>
    <w:rsid w:val="31407BB1"/>
    <w:rsid w:val="36803894"/>
    <w:rsid w:val="3A717A42"/>
    <w:rsid w:val="3AE0282F"/>
    <w:rsid w:val="40BA7C44"/>
    <w:rsid w:val="432C026F"/>
    <w:rsid w:val="47D11AD9"/>
    <w:rsid w:val="482C29DF"/>
    <w:rsid w:val="4CEE35AB"/>
    <w:rsid w:val="51624524"/>
    <w:rsid w:val="59285C45"/>
    <w:rsid w:val="5CC8048D"/>
    <w:rsid w:val="61431E13"/>
    <w:rsid w:val="639D0E16"/>
    <w:rsid w:val="660B4DF8"/>
    <w:rsid w:val="6BDD25E0"/>
    <w:rsid w:val="73B9408A"/>
    <w:rsid w:val="7ADA4D98"/>
    <w:rsid w:val="7B616584"/>
    <w:rsid w:val="7E8C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pPr>
    <w:rPr>
      <w:rFonts w:ascii="宋体" w:hAnsi="宋体"/>
      <w:kern w:val="0"/>
      <w:sz w:val="24"/>
      <w:szCs w:val="24"/>
    </w:rPr>
  </w:style>
  <w:style w:type="paragraph" w:styleId="3">
    <w:name w:val="Body Text"/>
    <w:basedOn w:val="1"/>
    <w:next w:val="1"/>
    <w:qFormat/>
    <w:uiPriority w:val="0"/>
    <w:pPr>
      <w:spacing w:after="360"/>
      <w:jc w:val="center"/>
    </w:pPr>
    <w:rPr>
      <w:rFonts w:eastAsia="黑体"/>
      <w:b/>
      <w:sz w:val="44"/>
    </w:rPr>
  </w:style>
  <w:style w:type="paragraph" w:styleId="4">
    <w:name w:val="Plain Text"/>
    <w:basedOn w:val="1"/>
    <w:next w:val="1"/>
    <w:qFormat/>
    <w:uiPriority w:val="99"/>
    <w:rPr>
      <w:rFonts w:ascii="宋体" w:hAnsi="Courier New"/>
      <w:szCs w:val="21"/>
    </w:rPr>
  </w:style>
  <w:style w:type="paragraph" w:styleId="5">
    <w:name w:val="Body Text 2"/>
    <w:basedOn w:val="1"/>
    <w:qFormat/>
    <w:uiPriority w:val="0"/>
    <w:pPr>
      <w:spacing w:after="120" w:line="480" w:lineRule="auto"/>
    </w:pPr>
  </w:style>
  <w:style w:type="paragraph" w:styleId="6">
    <w:name w:val="Body Text First Indent"/>
    <w:basedOn w:val="3"/>
    <w:qFormat/>
    <w:uiPriority w:val="99"/>
    <w:pPr>
      <w:spacing w:after="120" w:line="240" w:lineRule="auto"/>
      <w:ind w:firstLine="420" w:firstLineChars="100"/>
    </w:pPr>
    <w:rPr>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1233</Words>
  <Characters>1451</Characters>
  <Lines>0</Lines>
  <Paragraphs>0</Paragraphs>
  <TotalTime>2</TotalTime>
  <ScaleCrop>false</ScaleCrop>
  <LinksUpToDate>false</LinksUpToDate>
  <CharactersWithSpaces>1485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2023-10-30T01:04:00Z</dcterms:created>
  <dc:creator>user</dc:creator>
  <cp:lastModifiedBy>Administrator</cp:lastModifiedBy>
  <cp:lastPrinted>2024-12-13T09:06:05Z</cp:lastPrinted>
  <dcterms:modified xsi:type="dcterms:W3CDTF">2024-12-16T11:28:33Z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