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bookmarkStart w:id="2" w:name="_GoBack"/>
      <w:bookmarkEnd w:id="2"/>
    </w:p>
    <w:p>
      <w:pPr>
        <w:pStyle w:val="24"/>
        <w:spacing w:before="561" w:beforeLines="180" w:line="1000" w:lineRule="exact"/>
        <w:ind w:left="0" w:leftChars="0" w:firstLine="0" w:firstLineChars="0"/>
        <w:jc w:val="center"/>
        <w:rPr>
          <w:rFonts w:ascii="方正小标宋简体" w:hAnsi="小标宋" w:eastAsia="方正小标宋简体" w:cs="Times New Roman"/>
          <w:color w:val="FF0000"/>
          <w:spacing w:val="-12"/>
          <w:w w:val="79"/>
          <w:sz w:val="96"/>
          <w:szCs w:val="96"/>
        </w:rPr>
      </w:pPr>
      <w:r>
        <w:rPr>
          <w:rFonts w:hint="eastAsia" w:ascii="方正小标宋简体" w:hAnsi="小标宋" w:eastAsia="方正小标宋简体" w:cs="方正小标宋简体"/>
          <w:color w:val="FF0000"/>
          <w:spacing w:val="-12"/>
          <w:w w:val="77"/>
          <w:sz w:val="96"/>
          <w:szCs w:val="96"/>
        </w:rPr>
        <w:t>北京市通州区人民政府文件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通政发〔202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仿宋_GB2312"/>
          <w:sz w:val="32"/>
          <w:szCs w:val="32"/>
        </w:rPr>
        <w:t>〕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仿宋_GB2312"/>
          <w:sz w:val="32"/>
          <w:szCs w:val="32"/>
        </w:rPr>
        <w:t>号</w:t>
      </w:r>
    </w:p>
    <w:p>
      <w:pPr>
        <w:pStyle w:val="24"/>
        <w:jc w:val="both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599430" cy="38100"/>
                <wp:effectExtent l="0" t="17145" r="889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30" cy="3810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5pt;height:3pt;width:440.9pt;z-index:251678720;mso-width-relative:page;mso-height-relative:page;" filled="f" stroked="t" coordsize="21600,21600" o:gfxdata="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jbYqa1gAAAAYBAAAPAAAAAAAAAAEAIAAAADgAAABkcnMvZG93bnJl&#10;di54bWxQSwECFAAUAAAACACHTuJAKqJFvukBAACsAwAADgAAAAAAAAABACAAAAA7AQAAZHJzL2Uy&#10;b0RvYy54bWxQSwUGAAAAAAYABgBZAQAAl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outlineLvl w:val="0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outlineLvl w:val="0"/>
        <w:rPr>
          <w:rFonts w:hint="eastAsia" w:eastAsia="方正小标宋简体"/>
          <w:spacing w:val="0"/>
          <w:sz w:val="44"/>
          <w:szCs w:val="44"/>
          <w:lang w:eastAsia="zh-CN"/>
        </w:rPr>
      </w:pPr>
      <w:r>
        <w:rPr>
          <w:rFonts w:hint="eastAsia" w:eastAsia="方正小标宋简体"/>
          <w:spacing w:val="0"/>
          <w:sz w:val="44"/>
          <w:szCs w:val="44"/>
          <w:lang w:eastAsia="zh-CN"/>
        </w:rPr>
        <w:t>北京市通州区人民政府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outlineLvl w:val="0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  <w:lang w:eastAsia="zh-CN"/>
        </w:rPr>
        <w:t>关于印发《</w:t>
      </w:r>
      <w:r>
        <w:rPr>
          <w:rFonts w:eastAsia="方正小标宋简体"/>
          <w:spacing w:val="0"/>
          <w:sz w:val="44"/>
          <w:szCs w:val="44"/>
        </w:rPr>
        <w:t>北京城市副中心打造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outlineLvl w:val="0"/>
        <w:rPr>
          <w:rFonts w:hint="eastAsia" w:eastAsia="方正小标宋简体"/>
          <w:spacing w:val="0"/>
          <w:sz w:val="44"/>
          <w:szCs w:val="44"/>
          <w:lang w:eastAsia="zh-CN"/>
        </w:rPr>
      </w:pPr>
      <w:r>
        <w:rPr>
          <w:rFonts w:eastAsia="方正小标宋简体"/>
          <w:spacing w:val="0"/>
          <w:sz w:val="44"/>
          <w:szCs w:val="44"/>
        </w:rPr>
        <w:t>全域场景创新之城实施方案</w:t>
      </w:r>
      <w:r>
        <w:rPr>
          <w:rFonts w:hint="eastAsia" w:eastAsia="方正小标宋简体"/>
          <w:spacing w:val="0"/>
          <w:sz w:val="44"/>
          <w:szCs w:val="44"/>
          <w:lang w:eastAsia="zh-CN"/>
        </w:rPr>
        <w:t>》的通知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各街道办事处，各乡、镇人民政府，区政府各委、办、局，各区属机构：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现将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《北京城市副中心打造全域场景创新之城实施方案》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印发给你们，请认真遵照执行。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37" w:firstLineChars="1543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北京市通州区人民政府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2024年12月17日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40" w:lineRule="exact"/>
        <w:ind w:firstLine="0" w:firstLineChars="0"/>
        <w:jc w:val="center"/>
        <w:textAlignment w:val="auto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北京城市副中心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40" w:lineRule="exact"/>
        <w:ind w:firstLine="0" w:firstLineChars="0"/>
        <w:jc w:val="center"/>
        <w:textAlignment w:val="auto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打造全域场景创新之城实施方案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rPr>
          <w:rFonts w:hint="eastAsia"/>
        </w:rPr>
      </w:pPr>
      <w:bookmarkStart w:id="0" w:name="_Hlk1757667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rPr>
          <w:szCs w:val="32"/>
        </w:rPr>
      </w:pPr>
      <w:r>
        <w:rPr>
          <w:szCs w:val="32"/>
        </w:rPr>
        <w:t>为充分发挥场景创新在赋能高质量经济发展、高效能社会治理</w:t>
      </w:r>
      <w:r>
        <w:rPr>
          <w:rFonts w:hint="eastAsia"/>
          <w:szCs w:val="32"/>
        </w:rPr>
        <w:t>、</w:t>
      </w:r>
      <w:r>
        <w:rPr>
          <w:szCs w:val="32"/>
        </w:rPr>
        <w:t>高水平城市建设方面重要价值，释放场景资源、强化产业组织、延伸服务链条，做好科创</w:t>
      </w:r>
      <w:r>
        <w:rPr>
          <w:rFonts w:hint="eastAsia" w:ascii="仿宋_GB2312" w:hAnsi="仿宋_GB2312" w:eastAsia="仿宋_GB2312" w:cs="仿宋_GB2312"/>
          <w:szCs w:val="32"/>
        </w:rPr>
        <w:t>+</w:t>
      </w:r>
      <w:r>
        <w:rPr>
          <w:szCs w:val="32"/>
        </w:rPr>
        <w:t>产业的</w:t>
      </w:r>
      <w:r>
        <w:rPr>
          <w:rFonts w:hint="eastAsia"/>
          <w:szCs w:val="32"/>
        </w:rPr>
        <w:t>“</w:t>
      </w:r>
      <w:r>
        <w:rPr>
          <w:szCs w:val="32"/>
        </w:rPr>
        <w:t>粘合剂</w:t>
      </w:r>
      <w:r>
        <w:rPr>
          <w:rFonts w:hint="eastAsia"/>
          <w:szCs w:val="32"/>
        </w:rPr>
        <w:t>”</w:t>
      </w:r>
      <w:r>
        <w:rPr>
          <w:szCs w:val="32"/>
        </w:rPr>
        <w:t>、企业创新发展的</w:t>
      </w:r>
      <w:r>
        <w:rPr>
          <w:rFonts w:hint="eastAsia"/>
          <w:szCs w:val="32"/>
        </w:rPr>
        <w:t>“</w:t>
      </w:r>
      <w:r>
        <w:rPr>
          <w:szCs w:val="32"/>
        </w:rPr>
        <w:t>助推器</w:t>
      </w:r>
      <w:r>
        <w:rPr>
          <w:rFonts w:hint="eastAsia"/>
          <w:szCs w:val="32"/>
        </w:rPr>
        <w:t>”</w:t>
      </w:r>
      <w:r>
        <w:rPr>
          <w:szCs w:val="32"/>
        </w:rPr>
        <w:t>，构建与新质生产力高度匹配的营商环境，探索招商育商新模式，将北京城市副中心打造成为</w:t>
      </w:r>
      <w:r>
        <w:rPr>
          <w:rFonts w:hint="eastAsia"/>
          <w:szCs w:val="32"/>
        </w:rPr>
        <w:t>“</w:t>
      </w:r>
      <w:r>
        <w:rPr>
          <w:szCs w:val="32"/>
        </w:rPr>
        <w:t>全域场景创新之城</w:t>
      </w:r>
      <w:r>
        <w:rPr>
          <w:rFonts w:hint="eastAsia"/>
          <w:szCs w:val="32"/>
        </w:rPr>
        <w:t>”</w:t>
      </w:r>
      <w:r>
        <w:rPr>
          <w:szCs w:val="32"/>
        </w:rPr>
        <w:t>，特制定本实施方案。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eastAsia="黑体"/>
          <w:szCs w:val="32"/>
        </w:rPr>
        <w:t>一、</w:t>
      </w:r>
      <w:r>
        <w:rPr>
          <w:rFonts w:hint="eastAsia" w:ascii="黑体" w:hAnsi="黑体" w:eastAsia="黑体" w:cs="黑体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rPr>
          <w:szCs w:val="32"/>
        </w:rPr>
      </w:pPr>
      <w:r>
        <w:rPr>
          <w:szCs w:val="32"/>
        </w:rPr>
        <w:t>以习近平新时代中国特色社会主义思想为指导，深</w:t>
      </w:r>
      <w:r>
        <w:rPr>
          <w:rFonts w:hint="eastAsia" w:ascii="仿宋_GB2312" w:hAnsi="仿宋_GB2312" w:cs="仿宋_GB2312"/>
          <w:szCs w:val="32"/>
        </w:rPr>
        <w:t>入贯彻落实党的二十大、二十届二中、三中全会精神，以场景创新赋能副中心高质量发展为主线，深入答好市委“二十年之问”，认真落实区委“11311”工作体系，构建“434”全域场景创新工作总体架构，聚焦科技创新、重大项目、政策机制、消费创新四类场景，部署经济发展、社会治理、城市建设三类重点任</w:t>
      </w:r>
      <w:r>
        <w:rPr>
          <w:rFonts w:hint="eastAsia"/>
          <w:szCs w:val="32"/>
        </w:rPr>
        <w:t>务，完善全区域、全领域、全社会、全流程场景创新“四全”工作体系，</w:t>
      </w:r>
      <w:r>
        <w:rPr>
          <w:szCs w:val="32"/>
        </w:rPr>
        <w:t>延伸企业服务链条、优化产业组织结构、升级招商育商模式，逐步构建新城市、新科技、新产业、新生活高度融合发展的未来城市场景创新</w:t>
      </w:r>
      <w:r>
        <w:rPr>
          <w:rFonts w:hint="eastAsia"/>
          <w:szCs w:val="32"/>
        </w:rPr>
        <w:t>蓝图</w:t>
      </w:r>
      <w:r>
        <w:rPr>
          <w:szCs w:val="32"/>
        </w:rPr>
        <w:t>，打造中国式现代化进程中的城市发展样板。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textAlignment w:val="auto"/>
        <w:rPr>
          <w:rFonts w:hint="eastAsia"/>
          <w:szCs w:val="32"/>
        </w:rPr>
      </w:pPr>
      <w:r>
        <w:rPr>
          <w:szCs w:val="32"/>
        </w:rPr>
        <w:t>坚持创新引领。以场景创新串联科创资源与产业集群，在</w:t>
      </w:r>
      <w:r>
        <w:rPr>
          <w:rFonts w:hint="eastAsia"/>
          <w:szCs w:val="32"/>
          <w:lang w:eastAsia="zh-CN"/>
        </w:rPr>
        <w:t>“</w:t>
      </w:r>
      <w:r>
        <w:rPr>
          <w:szCs w:val="32"/>
        </w:rPr>
        <w:t>三大工程</w:t>
      </w:r>
      <w:r>
        <w:rPr>
          <w:rFonts w:hint="eastAsia"/>
          <w:szCs w:val="32"/>
          <w:lang w:eastAsia="zh-CN"/>
        </w:rPr>
        <w:t>”</w:t>
      </w:r>
      <w:r>
        <w:rPr>
          <w:szCs w:val="32"/>
        </w:rPr>
        <w:t>中发挥场景创新</w:t>
      </w:r>
      <w:r>
        <w:rPr>
          <w:rFonts w:hint="eastAsia"/>
          <w:szCs w:val="32"/>
        </w:rPr>
        <w:t>“</w:t>
      </w:r>
      <w:r>
        <w:rPr>
          <w:szCs w:val="32"/>
        </w:rPr>
        <w:t>粘合剂</w:t>
      </w:r>
      <w:r>
        <w:rPr>
          <w:rFonts w:hint="eastAsia"/>
          <w:szCs w:val="32"/>
        </w:rPr>
        <w:t>”</w:t>
      </w:r>
      <w:r>
        <w:rPr>
          <w:szCs w:val="32"/>
        </w:rPr>
        <w:t>的作用，建设新城市、导入新科技、培育新产业、打造新生活，构建具有副中心特色的全域场景创</w:t>
      </w:r>
      <w:r>
        <w:rPr>
          <w:rFonts w:hint="eastAsia"/>
          <w:szCs w:val="32"/>
        </w:rPr>
        <w:t>新之城。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坚持特色突出。突出场景特色，丰富场景内涵，打造四类创新场景；突出资源特色，围绕千亿固投、文旅消费两大资源优势，谋划标杆场景，导入创新资源，变城市建设红利为招商育商资源。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坚持供需联动。从场景机会与能力双向出发，组织场景供需对接，通过“双找双引”，为场景机会找企业、引项目，为优质企业找场景、引资源，动员全社会主体参与，加速企业发展和产业集聚。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szCs w:val="32"/>
        </w:rPr>
      </w:pPr>
      <w:r>
        <w:rPr>
          <w:rFonts w:hint="eastAsia"/>
          <w:szCs w:val="32"/>
        </w:rPr>
        <w:t>坚持全域协同。释放全区域场景机会，赋能全领域企业发展，动员全社会主体参</w:t>
      </w:r>
      <w:r>
        <w:rPr>
          <w:szCs w:val="32"/>
        </w:rPr>
        <w:t>与，</w:t>
      </w:r>
      <w:r>
        <w:rPr>
          <w:rFonts w:hint="eastAsia"/>
          <w:szCs w:val="32"/>
        </w:rPr>
        <w:t>完善</w:t>
      </w:r>
      <w:r>
        <w:rPr>
          <w:szCs w:val="32"/>
        </w:rPr>
        <w:t>全流程工作机制保障</w:t>
      </w:r>
      <w:r>
        <w:rPr>
          <w:rFonts w:hint="eastAsia"/>
          <w:szCs w:val="32"/>
        </w:rPr>
        <w:t>，通过“四全”工作体系，实现高效率、高水平、高质量</w:t>
      </w:r>
      <w:r>
        <w:rPr>
          <w:szCs w:val="32"/>
        </w:rPr>
        <w:t>协同</w:t>
      </w:r>
      <w:r>
        <w:rPr>
          <w:rFonts w:hint="eastAsia"/>
          <w:szCs w:val="32"/>
        </w:rPr>
        <w:t>创新</w:t>
      </w:r>
      <w:r>
        <w:rPr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（三）</w:t>
      </w:r>
      <w:r>
        <w:rPr>
          <w:rFonts w:hint="eastAsia" w:eastAsia="楷体_GB2312"/>
          <w:szCs w:val="32"/>
        </w:rPr>
        <w:t>发展</w:t>
      </w:r>
      <w:r>
        <w:rPr>
          <w:rFonts w:eastAsia="楷体_GB231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按照“一年见成效、两年竖标杆、三年全提升”工作思路，分步骤、分阶段推进场景创新工作。实施“场景双百”行动，每年挖掘场景机会不少于100项，推介场景能力不少于100项。2025年，服务链接不少于300家企业，完善工作机制，打通工作流程，打响副中心场景品牌；2026年，服务链接不少于400家企业，累计打造不少于10个具有副中心特色的标杆场景，显著提升社会参与度；2027年，服务链接不少于500家企业，实现场景招商育商，提升治理效能，形成全区域开放、全领域赋能、全社会参与、全流程协同的场景创新生态，赋能副中心产业高质量发展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（一）场景创新赋能经济高质量发展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1.数字经济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信息安全场景。依托网安园网络安全先进技术创新应用示范基地、京津冀信创小镇等产业载体建设，加快集聚一批网络安全企业，释放网络安全防护、信息数据安全防护、信创替代等场景机会，助力企业对接场景资源。数据要素场景。持续推进文化旅游数据专区建设，不断汇集影视、音乐等领域数据，拓展文旅应用场景，逐步推进金融数据专区建设。积极探索企业数据资产首登记、首挂牌、首交易、首入表、首开放等创新场景。未来信息场景。依托中国信通院ICT创新基地，围绕6G、卫星通信、空间信息等，主动谋划前沿技术应用场景。元宇宙场景。通过多部门联动，推动元宇宙技术在文化、旅游、商业、城市服务等领域应用，积极搭建元宇宙景区、元宇宙图书馆、元宇宙博物馆、VR实验室、数字藏品等创新场景。自动驾驶场景。积极推进高级别自动驾驶4.0示范区建设，为新能源智能汽</w:t>
      </w:r>
      <w:r>
        <w:rPr>
          <w:szCs w:val="32"/>
          <w:lang w:bidi="ar"/>
        </w:rPr>
        <w:t>车、车联网智能装备的应用示范提供载体</w:t>
      </w:r>
      <w:r>
        <w:rPr>
          <w:rFonts w:hint="eastAsia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2.现代金融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绿色金融场景。依托绿色金融发展优势，开展气候投融资试点，建设气候投融资项目库，推动金融资源向低碳、环保领域倾斜；加快绿色产业发展，支持绿交所开展各类绿色资产和环境权益交易及服务，为企业提供碳资产管理和碳金融服务，吸引更多ESG、绿色资产管理等机构在副中心集聚。金融科技场景。积极推动金融机构围绕金融产品设计、金融风险防控等需求开放应用场景，为金融科技企业新技术新产品提供应用机会；持续拓展数字人民币应用场景，在园区、场馆、街区、商圈等载体中继续探索数字人民币应用场景。提升“大运金融行”“金融+政务直播”等活动影响力，搭建场景业主方与金融机构沟通桥梁，匹配投融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3.先进制造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未来健康场景。围绕医疗机器人、健康医药器械、智能医疗设备等研发应用，积极谋划智慧诊疗、健康监测、康复护理等场景，帮助企业对接优质医疗机构。未来能源场景。聚焦新型储能、CCUS等未来能源方向，积极谋划新型储能场景项目，依托张家湾国家绿色发展示范区新型电力系统实验基地，为新型储能设备提供试验验证场景；加快谋划建设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“CCUS·碳未来产业园”，在张家湾设计小镇优先开展CCUS碳捕捉技术验证应用。智能制造场景。加强存量企业能级提升，支持企业开展绿色工厂、智能工厂、数字化车间建设，为智能机器人、智能产线、智能装备、工业互联网等提供应用场景。建设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产学研创新共同体、中试平台、共享制造中心等服务平台，为先进制造企业开展原型产品开发、小规模验证提供公共服务。京津冀产业协作场景。加快通北示范区建设，推动“通武廊”深度合作，搭建跨区域产业合作平台，优化区域创新资源配置，支持三地企业围绕研发、制造共建产业协同场景，实现跨区域产业链延链补链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4.商务服务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围绕国际消费中心城市建设，打造副中心消费新场景。商圈消费综合体场景。推动重点商圈不断拓展消费业态，引入品牌首店、高端体验店，打造个性化场景，构建全天可玩、全家可购的消费综合体。特色消费示范街区场景。依托特色街区，引进脱口秀、话剧等小剧场，建设音乐酒吧、咖啡馆、文创商店等场所，着力构建白天看景玩项目、晚上看戏品生活的全天候消费新模式。品牌消费活动场景。持续推进</w:t>
      </w:r>
      <w:r>
        <w:rPr>
          <w:rFonts w:hint="eastAsia" w:ascii="仿宋_GB2312" w:hAnsi="仿宋_GB2312" w:eastAsia="仿宋_GB2312" w:cs="仿宋_GB2312"/>
          <w:b w:val="0"/>
          <w:bCs w:val="0"/>
          <w:kern w:val="18"/>
          <w:szCs w:val="32"/>
          <w:lang w:val="zh-TW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kern w:val="18"/>
          <w:szCs w:val="32"/>
        </w:rPr>
        <w:t>欢乐通州·欢乐购”“运河商务区消费季”“深夜食堂”等品牌消费活动，不断丰富日间消费、夜间消费等场景体验。文化消费场景。围绕大运河文化、三大文化设施等新IP，丰富文创产品，组织文化活动，拓展体验式、沉浸式消费场景。亲水经济新消费场景。深化运河水岸桥船联动，建设运河两岸水上互动游线，创新水上、岸边、室内互通形式，联动运河游船、运河广场周边场馆，联合推出品牌性节庆活动和体育赛事，以水为媒，不断拓展亲水消费体验。高端商务服务场景。依托北京城市副中心企业高质量发展联合会，搭建商务服务企业交流平台，组织企业家交流会、行业沙龙等活动，助企业拓市场、寻新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5.文化旅游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文旅+科技场景。围绕大运河、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三庙一塔、绿心公园、三大文化设施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等地标性载体，引入AR、VR、全息显示、光电显示等技术，推进大运河数字游线、燃灯塔灯光秀、三教庙数字剧游等项目加速实施，并不断拓展新的沉浸式体验场景、灯光夜游场景、河岸互动场景，提升副中心科技文旅体验感。文旅+演出场景。依托台湖演艺小镇、北京艺术中心、文化旅游区等演艺区，开拓演艺空间，持续深化“运河有戏”演艺品牌建设，推进大运河音乐节、台湖爵士音乐节、开心麻花喜剧生活节等大型演出活动，形成独特的旅游场景和文化氛围。文旅+艺术场景。充分利用宋庄艺术小镇文创资源，打造副中心艺术会客厅场景，通过艺术产业落项目、引企业、促消费，推动文化创意、陶瓷、雕塑等产业发展。文旅+非遗场景。依托“运河传遗——中华优秀传统文化传承活动”等，围绕传拓、剪纸、泥塑等非遗技艺，打造文化旅游场景，加强非遗文化传播。文旅+轨道场景。深化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城市副中心站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“地下枢纽地上城”建设理念，构建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“站城融合”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超级城市综合体，形成打卡新地标，同时串联市内重要交通场站、津冀重点城市，构建副中心文旅“新干线”，打造以轨道枢纽为核心的文旅商融合新体验。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6.现代种业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科技+种业场景。加快推进农作物育种加速器、数字农业云平台、种质资源库等载体建设，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通过精准的光温控制、高通量基因型和表现型检测，打造育种材料早代选择、成熟品种个别形状快速改良等育种场景，不断强化副中心“农业芯片”品牌。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智慧农业场景。引入人工智能、物联网传感器等技术，建设农业全产业链数字管理平台，不断探索智能化温室、科技种植、农作物全生长周期监测等场景。种业品牌打造。借助种业大会、京农·运河人家等活动品牌，整合区内现有农业资源，挖掘农业场景发展机会，强化供需对接，吸引符合区内功能定位和产业发展方向的种业研发企业落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7.建筑业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智能建造场景。发挥建筑工程项目资源丰富优势，推动施工方积极开放建筑机器人、智能建筑装备等产品应用场景，加快装配式建筑等新型建筑工业化技术体系推广应用。探索数字化集成交付模式，以张家湾设计小镇城市更新项目为试点，在项目设计、施工等阶段引入BIM相关技术，形成全流程数字化集成交付解决方案，逐步在全区应用推广。绿色建筑场景。依托国家绿色发展示范区建设，通过优化建筑设计、使用绿色建材、引入节能设备、开展能耗管理等手段，降低建筑能耗和碳排放，推动建筑业向绿色低碳方向发展。零碳示范区场景。依托城市副中心站综合交通枢纽，开展浅层地温能和中深层水热型地热能等绿色能源示范应用，加快创建全国首个“近零碳排放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（二）场景创新赋能社会高效能治理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8.智慧政府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政府智慧决策场景。加强各部门信息化建设，依托副中心经济大脑、城市治理大脑、社会治理大脑，整合多源数据，引入人工智能、多模态数据融合分析等技术，打造基于数据的科学决策场景。高效率审批与服务场景。综合应用电子证照、云平台、智能终端等技术产品，简化政务服务办理流程，优化审批方式，让数据多跑路、让群众少跑路，积极探索“一件事”集成办、服务事项在线办、24小时自助办、自助终端就近办等场景。智慧政务大厅场景。依托政务服务中心，加强办事引导，推出更多“智能无感”政务服务场景，用好大厅物理空间，为智慧政务新技术新产品提供展示体验平台。跨省通办场景。发挥副中心政策优势，在教育、医疗、养老等公共服务领域强化京津冀协同，围绕就业、社保、税务探索更多“跨省通办”服务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9.数字化社区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人工智能+养老场景。应用大模型、人机交互、多模态感知等技术，开展可穿戴健康监测设备、家庭健康监测感知终端、照护机器人等产品研发与推广应用，提升居家养老智能化、信息化水平。“网格+智慧+”养老社区。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lang w:bidi="ar"/>
        </w:rPr>
        <w:t>依托社区数字化平台，链接多方社会服务资源，构建“网格+智慧+”老年友好型社区，提供便捷化慢病健康管理、智慧问诊、急救转运、健康大数据监测等养老服务。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平安社区场景。应用人脸识别、一键报警、高清摄像视频采集、大数据管理等技术，推动基层警务与社区工作、网格治理深度融合，做细做实矛盾排查、底数摸排、源头管控等工作，创建平安社区。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10.智慧医疗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医疗服务场景。充分运用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Cs w:val="32"/>
        </w:rPr>
        <w:t>大数据、互联网、人工智能等技术，建设副中心医疗服务线上线下一体化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场景。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通过物联网设备汇集基层健康大数据，打通医疗健康服务与医疗健康大数据“最后一公里”，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日常监测及基层服务场景，提高防病治病和健康管理能力。智慧诊疗场景。推动潞河医院、友谊医院通州院区等医疗机构释放场景机会，在智能读片、辅助诊断、个性化治疗等场景中与人工智能企业合作，提升智慧诊疗水平。智慧医院管理场景。利用自然语言处理、机器学习、多维数据采集等技术，融合电子病历、卫生信息、运营管理等多模态数据，构建医院管理数据中台，实现以数据技术驱动业务流程自动化、医院精细化管理和智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11.智慧教育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数字化课堂场景。利用人工智能、VR、AR等技术，配备终端设备，配套基础资源及XR数据可视化系统，提供沉浸式学习资源，打造虚拟与现实相融合的学习情景，形成教育特色课堂。教育资源共享场景。推广双师课堂，建立优质教育资源共享平台，丰富教学内容，开拓学生视野，实现信息技术与教育发展的深度融合。智慧教学管理场景。聚焦教务、教学管理需求，积极探索智能化教学平台、在线考试、学生学习情况个性化评估与管理等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12.智慧交通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智慧交通枢纽场景。以城市副中心站综合交通枢纽建设为依托，建立以大数据、云计算、物联网、边缘计算等技术为基础的枢纽智慧运营协同大脑，提供站内便捷换乘、机场快速接驳等服务，提升公共交通服务能力和效率。智慧路网场景。推动交通基础设施智能化，应用智能传感器等设备，开展信息采集处理，结合路况检测、数字扫描和快速建模等先进技术，构建副中心智慧城市新型基础设施感知体系，支撑自动驾驶测试，提供安全、有序的城市运营服务。智慧交通治理场景。加快推进城市副中心智慧交通一体化综合平台建设，融合交通领域多源数据，打造城市副中心智慧交通平台，通过对试点区域交通问题的诊断分析和数字空间解决方案推演，实现区内整体交通态势的感知、诊断、推演和治理。静态交通场景。支持重点片区停车场利用机器视觉、三维建模等技术，建设数字孪生停车场，推动车位信息与主流导航软件实时共享，提供停车引导、停车预约、反向寻车等功能，提升市民智慧停车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13.智慧应急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城市安全监测预警场景。升级完善城市安全风险综合监测预警平台，适时推进区应急指挥调度救援平台建设，结合气象、消防、视频会议、单兵作战等多方资源，实现对应急全过程记录和复盘评估。地下管线数字化管理场景。采用三维GIS、大数据分析、增强现实（AR）等技术，将地下管线三维模型与城市空间地理信息有机结合，打造地上地下一体化管理新模式，构建地下管线快速查询、准确定位、现场管线分析、数据综合服务等场景，保障城市地下管线施工安全。智慧气象场景。加强气象数据汇集应用，推动气象“百米级、分钟级”“京津冀雷达组网”“风云四号卫星云图”等系列最新核心监测预报技术在副中心落地，在城市管理、安全运行与文旅活动中探索气象数据应用场景。智慧水务场景。构建防洪一张图，实现水务要素全面感知、数据资源深度治理、业务应用智慧协同、基础底座共建共用、公众服务主动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（三）场景创新赋能城市高水平建设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cs="仿宋_GB2312"/>
          <w:b w:val="0"/>
          <w:bCs w:val="0"/>
          <w:szCs w:val="32"/>
        </w:rPr>
      </w:pPr>
      <w:r>
        <w:rPr>
          <w:rFonts w:hint="eastAsia" w:ascii="仿宋_GB2312" w:hAnsi="仿宋_GB2312" w:cs="仿宋_GB2312"/>
          <w:b w:val="0"/>
          <w:bCs w:val="0"/>
          <w:szCs w:val="32"/>
        </w:rPr>
        <w:t>14.千亿固投重大项目场景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释放千亿固投项目清单。加强千亿固投项目梳理，根据进展成熟度，分阶段释放千亿固投项目需求清单，</w:t>
      </w:r>
      <w:r>
        <w:rPr>
          <w:rFonts w:hint="eastAsia"/>
          <w:b w:val="0"/>
          <w:bCs w:val="0"/>
          <w:szCs w:val="32"/>
        </w:rPr>
        <w:t>聚焦</w:t>
      </w:r>
      <w:r>
        <w:rPr>
          <w:b w:val="0"/>
          <w:bCs w:val="0"/>
          <w:szCs w:val="32"/>
        </w:rPr>
        <w:t>较强商业运营价值的项目</w:t>
      </w:r>
      <w:r>
        <w:rPr>
          <w:rFonts w:hint="eastAsia"/>
          <w:b w:val="0"/>
          <w:bCs w:val="0"/>
          <w:szCs w:val="32"/>
        </w:rPr>
        <w:t>，充分发挥项目示范带动作用</w:t>
      </w:r>
      <w:r>
        <w:rPr>
          <w:b w:val="0"/>
          <w:bCs w:val="0"/>
          <w:szCs w:val="32"/>
        </w:rPr>
        <w:t>。固投项目</w:t>
      </w:r>
      <w:r>
        <w:rPr>
          <w:rFonts w:hint="eastAsia"/>
          <w:b w:val="0"/>
          <w:bCs w:val="0"/>
          <w:szCs w:val="32"/>
        </w:rPr>
        <w:t>供需</w:t>
      </w:r>
      <w:r>
        <w:rPr>
          <w:b w:val="0"/>
          <w:bCs w:val="0"/>
          <w:szCs w:val="32"/>
        </w:rPr>
        <w:t>对接。</w:t>
      </w:r>
      <w:r>
        <w:rPr>
          <w:rFonts w:hint="eastAsia" w:ascii="仿宋_GB2312"/>
          <w:b w:val="0"/>
          <w:bCs w:val="0"/>
          <w:color w:val="000000"/>
          <w:szCs w:val="32"/>
        </w:rPr>
        <w:t>探索将场景思维嵌入项目设计、招投标等环节，</w:t>
      </w:r>
      <w:r>
        <w:rPr>
          <w:b w:val="0"/>
          <w:bCs w:val="0"/>
          <w:szCs w:val="32"/>
        </w:rPr>
        <w:t>强化场景供需对接，吸引更多优质企业参与千亿固投项目。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cs="仿宋_GB2312"/>
          <w:b w:val="0"/>
          <w:bCs w:val="0"/>
          <w:szCs w:val="32"/>
        </w:rPr>
      </w:pPr>
      <w:r>
        <w:rPr>
          <w:rFonts w:hint="eastAsia" w:ascii="仿宋_GB2312" w:hAnsi="仿宋_GB2312" w:cs="仿宋_GB2312"/>
          <w:b w:val="0"/>
          <w:bCs w:val="0"/>
          <w:szCs w:val="32"/>
        </w:rPr>
        <w:t>15.土地要素供给场景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产业空间精准匹配。不断优化副中心产业空间地图，结合</w:t>
      </w:r>
      <w:r>
        <w:rPr>
          <w:rFonts w:ascii="仿宋_GB2312" w:hAnsi="仿宋_GB2312" w:cs="仿宋_GB2312"/>
          <w:b w:val="0"/>
          <w:bCs w:val="0"/>
          <w:szCs w:val="32"/>
        </w:rPr>
        <w:t>GIS</w:t>
      </w:r>
      <w:r>
        <w:rPr>
          <w:b w:val="0"/>
          <w:bCs w:val="0"/>
          <w:szCs w:val="32"/>
        </w:rPr>
        <w:t>、数字孪生等技术，进一步梳理副中心空间资源，为产业项目引进、企业入驻等提供用地保障</w:t>
      </w:r>
      <w:r>
        <w:rPr>
          <w:rFonts w:hint="eastAsia"/>
          <w:b w:val="0"/>
          <w:bCs w:val="0"/>
          <w:szCs w:val="32"/>
        </w:rPr>
        <w:t>。</w:t>
      </w:r>
      <w:r>
        <w:rPr>
          <w:b w:val="0"/>
          <w:bCs w:val="0"/>
          <w:szCs w:val="32"/>
        </w:rPr>
        <w:t>灵活便利土地供给。</w:t>
      </w:r>
      <w:r>
        <w:rPr>
          <w:rFonts w:hint="eastAsia"/>
          <w:b w:val="0"/>
          <w:bCs w:val="0"/>
          <w:szCs w:val="32"/>
        </w:rPr>
        <w:t>升级</w:t>
      </w:r>
      <w:r>
        <w:rPr>
          <w:b w:val="0"/>
          <w:bCs w:val="0"/>
          <w:szCs w:val="32"/>
        </w:rPr>
        <w:t>供地计划项目库和储备库，定期发布供地清单，对重点地块主动设计科创资源导入、新技术产品应用、科技企业参与等相关指标，探索新型土地要素供给创新场景</w:t>
      </w:r>
      <w:r>
        <w:rPr>
          <w:rFonts w:hint="eastAsia"/>
          <w:b w:val="0"/>
          <w:bCs w:val="0"/>
          <w:szCs w:val="32"/>
        </w:rPr>
        <w:t>。</w:t>
      </w:r>
      <w:r>
        <w:rPr>
          <w:b w:val="0"/>
          <w:bCs w:val="0"/>
          <w:szCs w:val="32"/>
        </w:rPr>
        <w:t>创新土地供给政策场景。</w:t>
      </w:r>
      <w:r>
        <w:rPr>
          <w:b w:val="0"/>
          <w:bCs w:val="0"/>
          <w:kern w:val="0"/>
          <w:szCs w:val="32"/>
          <w:lang w:bidi="ar"/>
        </w:rPr>
        <w:t>加强政企交流和土地推介，以市场需求为导向探索因地施策，</w:t>
      </w:r>
      <w:r>
        <w:rPr>
          <w:b w:val="0"/>
          <w:bCs w:val="0"/>
          <w:szCs w:val="32"/>
        </w:rPr>
        <w:t>在成本控制、灵活用地、配套保障等方面提供个性化用地匹配场景，提高土地要素配置的精准性。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仿宋_GB2312" w:hAnsi="仿宋_GB2312" w:cs="仿宋_GB2312"/>
          <w:b w:val="0"/>
          <w:bCs w:val="0"/>
          <w:szCs w:val="32"/>
        </w:rPr>
      </w:pPr>
      <w:r>
        <w:rPr>
          <w:rFonts w:hint="eastAsia" w:ascii="仿宋_GB2312" w:hAnsi="仿宋_GB2312" w:cs="仿宋_GB2312"/>
          <w:b w:val="0"/>
          <w:bCs w:val="0"/>
          <w:szCs w:val="32"/>
        </w:rPr>
        <w:t>16.场景创新示范区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>围绕文化示范、消费示范、产业示范、科技示范，依托大运河文化带、文化旅游区、张家湾设计小镇、高线公园等载体打造一批</w:t>
      </w:r>
      <w:r>
        <w:rPr>
          <w:rFonts w:hint="eastAsia"/>
          <w:b w:val="0"/>
          <w:bCs w:val="0"/>
          <w:szCs w:val="32"/>
        </w:rPr>
        <w:t>场景创新示范区</w:t>
      </w:r>
      <w:r>
        <w:rPr>
          <w:b w:val="0"/>
          <w:bCs w:val="0"/>
          <w:szCs w:val="32"/>
        </w:rPr>
        <w:t>。大运河文化新</w:t>
      </w:r>
      <w:r>
        <w:rPr>
          <w:rFonts w:ascii="仿宋_GB2312" w:hAnsi="仿宋_GB2312" w:cs="仿宋_GB2312"/>
          <w:b w:val="0"/>
          <w:bCs w:val="0"/>
          <w:szCs w:val="32"/>
        </w:rPr>
        <w:t>IP</w:t>
      </w:r>
      <w:r>
        <w:rPr>
          <w:b w:val="0"/>
          <w:bCs w:val="0"/>
          <w:szCs w:val="32"/>
        </w:rPr>
        <w:t>。依托大运河</w:t>
      </w:r>
      <w:r>
        <w:rPr>
          <w:rFonts w:ascii="仿宋_GB2312" w:hAnsi="仿宋_GB2312" w:cs="仿宋_GB2312"/>
          <w:b w:val="0"/>
          <w:bCs w:val="0"/>
          <w:szCs w:val="32"/>
        </w:rPr>
        <w:t>5A</w:t>
      </w:r>
      <w:r>
        <w:rPr>
          <w:b w:val="0"/>
          <w:bCs w:val="0"/>
          <w:szCs w:val="32"/>
        </w:rPr>
        <w:t>级景区开展科技</w:t>
      </w:r>
      <w:r>
        <w:rPr>
          <w:rFonts w:ascii="仿宋_GB2312" w:hAnsi="仿宋_GB2312" w:cs="仿宋_GB2312"/>
          <w:b w:val="0"/>
          <w:bCs w:val="0"/>
          <w:szCs w:val="32"/>
        </w:rPr>
        <w:t>+</w:t>
      </w:r>
      <w:r>
        <w:rPr>
          <w:b w:val="0"/>
          <w:bCs w:val="0"/>
          <w:szCs w:val="32"/>
        </w:rPr>
        <w:t>运河历史文化遗存融合试点，利用全息显示、增强现实</w:t>
      </w:r>
      <w:r>
        <w:rPr>
          <w:rFonts w:hint="eastAsia"/>
          <w:b w:val="0"/>
          <w:bCs w:val="0"/>
          <w:szCs w:val="32"/>
        </w:rPr>
        <w:t>（</w:t>
      </w:r>
      <w:r>
        <w:rPr>
          <w:rFonts w:ascii="仿宋_GB2312" w:hAnsi="仿宋_GB2312" w:cs="仿宋_GB2312"/>
          <w:b w:val="0"/>
          <w:bCs w:val="0"/>
          <w:szCs w:val="32"/>
        </w:rPr>
        <w:t>AR</w:t>
      </w:r>
      <w:r>
        <w:rPr>
          <w:rFonts w:hint="eastAsia"/>
          <w:b w:val="0"/>
          <w:bCs w:val="0"/>
          <w:szCs w:val="32"/>
        </w:rPr>
        <w:t>）</w:t>
      </w:r>
      <w:r>
        <w:rPr>
          <w:b w:val="0"/>
          <w:bCs w:val="0"/>
          <w:szCs w:val="32"/>
        </w:rPr>
        <w:t>、数字孪生</w:t>
      </w:r>
      <w:r>
        <w:rPr>
          <w:rFonts w:hint="eastAsia"/>
          <w:b w:val="0"/>
          <w:bCs w:val="0"/>
          <w:szCs w:val="32"/>
        </w:rPr>
        <w:t>、无人船</w:t>
      </w:r>
      <w:r>
        <w:rPr>
          <w:b w:val="0"/>
          <w:bCs w:val="0"/>
          <w:szCs w:val="32"/>
        </w:rPr>
        <w:t>等技术</w:t>
      </w:r>
      <w:r>
        <w:rPr>
          <w:rFonts w:hint="eastAsia"/>
          <w:b w:val="0"/>
          <w:bCs w:val="0"/>
          <w:szCs w:val="32"/>
        </w:rPr>
        <w:t>产品</w:t>
      </w:r>
      <w:r>
        <w:rPr>
          <w:b w:val="0"/>
          <w:bCs w:val="0"/>
          <w:szCs w:val="32"/>
        </w:rPr>
        <w:t>打造数字运河游线，</w:t>
      </w:r>
      <w:r>
        <w:rPr>
          <w:rFonts w:hint="eastAsia"/>
          <w:b w:val="0"/>
          <w:bCs w:val="0"/>
          <w:szCs w:val="32"/>
        </w:rPr>
        <w:t>搭建以古运河文化、古码头文化等为基石的沉浸式体验场景。</w:t>
      </w:r>
      <w:r>
        <w:rPr>
          <w:b w:val="0"/>
          <w:bCs w:val="0"/>
          <w:szCs w:val="32"/>
        </w:rPr>
        <w:t>持续推进北运河滨水岸线工程，</w:t>
      </w:r>
      <w:r>
        <w:rPr>
          <w:rFonts w:hint="eastAsia"/>
          <w:b w:val="0"/>
          <w:bCs w:val="0"/>
          <w:szCs w:val="32"/>
        </w:rPr>
        <w:t>集聚非遗互动、潮玩文创、美食文化等业态，</w:t>
      </w:r>
      <w:r>
        <w:rPr>
          <w:b w:val="0"/>
          <w:bCs w:val="0"/>
          <w:szCs w:val="32"/>
        </w:rPr>
        <w:t>建设集</w:t>
      </w:r>
      <w:r>
        <w:rPr>
          <w:rFonts w:hint="eastAsia"/>
          <w:b w:val="0"/>
          <w:bCs w:val="0"/>
          <w:szCs w:val="32"/>
        </w:rPr>
        <w:t>水景演艺、</w:t>
      </w:r>
      <w:r>
        <w:rPr>
          <w:b w:val="0"/>
          <w:bCs w:val="0"/>
          <w:szCs w:val="32"/>
        </w:rPr>
        <w:t>水上赛事、岸边经济、水岸联动为一体的文旅商体融合发展特色品牌</w:t>
      </w:r>
      <w:r>
        <w:rPr>
          <w:rFonts w:hint="eastAsia"/>
          <w:b w:val="0"/>
          <w:bCs w:val="0"/>
          <w:szCs w:val="32"/>
        </w:rPr>
        <w:t>。</w:t>
      </w:r>
      <w:r>
        <w:rPr>
          <w:b w:val="0"/>
          <w:bCs w:val="0"/>
          <w:szCs w:val="32"/>
        </w:rPr>
        <w:t>文旅国际消费新</w:t>
      </w:r>
      <w:r>
        <w:rPr>
          <w:rFonts w:ascii="仿宋_GB2312" w:hAnsi="仿宋_GB2312" w:cs="仿宋_GB2312"/>
          <w:b w:val="0"/>
          <w:bCs w:val="0"/>
          <w:szCs w:val="32"/>
        </w:rPr>
        <w:t>IP</w:t>
      </w:r>
      <w:r>
        <w:rPr>
          <w:b w:val="0"/>
          <w:bCs w:val="0"/>
          <w:szCs w:val="32"/>
        </w:rPr>
        <w:t>。发挥环球影城辐射带动作用，</w:t>
      </w:r>
      <w:r>
        <w:rPr>
          <w:rFonts w:hint="eastAsia"/>
          <w:b w:val="0"/>
          <w:bCs w:val="0"/>
          <w:szCs w:val="32"/>
        </w:rPr>
        <w:t>加快推动周边文旅产业项目建设，丰富可玩可赏可逛的人气场景，</w:t>
      </w:r>
      <w:r>
        <w:rPr>
          <w:b w:val="0"/>
          <w:bCs w:val="0"/>
          <w:szCs w:val="32"/>
        </w:rPr>
        <w:t>打造集</w:t>
      </w:r>
      <w:r>
        <w:rPr>
          <w:rFonts w:hint="eastAsia"/>
          <w:b w:val="0"/>
          <w:bCs w:val="0"/>
          <w:szCs w:val="32"/>
        </w:rPr>
        <w:t>融入更多中国本土特色和硬核科技</w:t>
      </w:r>
      <w:r>
        <w:rPr>
          <w:b w:val="0"/>
          <w:bCs w:val="0"/>
          <w:szCs w:val="32"/>
        </w:rPr>
        <w:t>为一体的高端消费娱乐新</w:t>
      </w:r>
      <w:r>
        <w:rPr>
          <w:rFonts w:ascii="仿宋_GB2312" w:hAnsi="仿宋_GB2312" w:cs="仿宋_GB2312"/>
          <w:b w:val="0"/>
          <w:bCs w:val="0"/>
          <w:szCs w:val="32"/>
        </w:rPr>
        <w:t>IP</w:t>
      </w:r>
      <w:r>
        <w:rPr>
          <w:rFonts w:hint="eastAsia"/>
          <w:b w:val="0"/>
          <w:bCs w:val="0"/>
          <w:szCs w:val="32"/>
        </w:rPr>
        <w:t>。</w:t>
      </w:r>
      <w:r>
        <w:rPr>
          <w:b w:val="0"/>
          <w:bCs w:val="0"/>
          <w:szCs w:val="32"/>
        </w:rPr>
        <w:t>张家湾设计小镇多形态产业示范区。以创新设计、城市科技为产业双翼，吸引和带动国内外高端设计咨询、城市科技和信息技术应用等企业聚集，依托设计小镇优质的空间载体，为各类创新企业提供产品集成、展示、体验的场景空间</w:t>
      </w:r>
      <w:r>
        <w:rPr>
          <w:rFonts w:hint="eastAsia"/>
          <w:b w:val="0"/>
          <w:bCs w:val="0"/>
          <w:szCs w:val="32"/>
        </w:rPr>
        <w:t>。</w:t>
      </w:r>
      <w:r>
        <w:rPr>
          <w:b w:val="0"/>
          <w:bCs w:val="0"/>
          <w:szCs w:val="32"/>
        </w:rPr>
        <w:t>高线公园科技集成展示会客厅。在生态保护、商业零售、运动休闲、科普体验等方面引入智能监测终端、无人零售、自动驾驶接驳、</w:t>
      </w:r>
      <w:r>
        <w:rPr>
          <w:rFonts w:ascii="仿宋_GB2312" w:hAnsi="仿宋_GB2312" w:cs="仿宋_GB2312"/>
          <w:b w:val="0"/>
          <w:bCs w:val="0"/>
          <w:szCs w:val="32"/>
        </w:rPr>
        <w:t>XR</w:t>
      </w:r>
      <w:r>
        <w:rPr>
          <w:b w:val="0"/>
          <w:bCs w:val="0"/>
          <w:szCs w:val="32"/>
        </w:rPr>
        <w:t>沉浸式体验技术等，打造集各种前沿技术产品集中展示的空中会客花园，成为副中心打卡新地标。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（一）加强组织领导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北京城市副中心应用场景创新工作</w:t>
      </w:r>
      <w:r>
        <w:rPr>
          <w:rFonts w:hint="eastAsia"/>
          <w:szCs w:val="32"/>
        </w:rPr>
        <w:t>机制</w:t>
      </w:r>
      <w:r>
        <w:rPr>
          <w:szCs w:val="32"/>
        </w:rPr>
        <w:t>，统筹全区场景创新资源，</w:t>
      </w:r>
      <w:r>
        <w:rPr>
          <w:rFonts w:hint="eastAsia"/>
          <w:szCs w:val="32"/>
        </w:rPr>
        <w:t>建立</w:t>
      </w:r>
      <w:r>
        <w:rPr>
          <w:szCs w:val="32"/>
        </w:rPr>
        <w:t>全流程工作</w:t>
      </w:r>
      <w:r>
        <w:rPr>
          <w:rFonts w:hint="eastAsia"/>
          <w:szCs w:val="32"/>
        </w:rPr>
        <w:t>体系</w:t>
      </w:r>
      <w:r>
        <w:rPr>
          <w:szCs w:val="32"/>
        </w:rPr>
        <w:t>，压实各方责任，形成各部门、各主体有效配合</w:t>
      </w:r>
      <w:r>
        <w:rPr>
          <w:rFonts w:hint="eastAsia"/>
          <w:szCs w:val="32"/>
        </w:rPr>
        <w:t>，</w:t>
      </w:r>
      <w:r>
        <w:rPr>
          <w:szCs w:val="32"/>
        </w:rPr>
        <w:t>协同推进应用场景建设新局面，</w:t>
      </w:r>
      <w:bookmarkStart w:id="1" w:name="_Hlk175668815"/>
      <w:r>
        <w:rPr>
          <w:szCs w:val="32"/>
        </w:rPr>
        <w:t>为新技术、新产品、新方案提供测试、展示、应用的平台。</w:t>
      </w:r>
      <w:bookmarkEnd w:id="1"/>
      <w:r>
        <w:rPr>
          <w:szCs w:val="32"/>
        </w:rPr>
        <w:t>各场景专项工作组成员单位，</w:t>
      </w:r>
      <w:r>
        <w:rPr>
          <w:rFonts w:hint="eastAsia" w:ascii="仿宋_GB2312" w:hAnsi="仿宋_GB2312" w:cs="仿宋_GB2312"/>
          <w:szCs w:val="32"/>
        </w:rPr>
        <w:t>依托“服务包”机制，将企业服务管家提升为兼容</w:t>
      </w:r>
      <w:r>
        <w:rPr>
          <w:szCs w:val="32"/>
        </w:rPr>
        <w:t>场景挖掘、对接</w:t>
      </w:r>
      <w:r>
        <w:rPr>
          <w:rFonts w:hint="eastAsia"/>
          <w:szCs w:val="32"/>
        </w:rPr>
        <w:t>协调的场景服务专员</w:t>
      </w:r>
      <w:r>
        <w:rPr>
          <w:szCs w:val="32"/>
        </w:rPr>
        <w:t>，负责日常信息沟通与联络。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（二）</w:t>
      </w:r>
      <w:r>
        <w:rPr>
          <w:rFonts w:hint="eastAsia" w:eastAsia="楷体_GB2312"/>
          <w:szCs w:val="32"/>
        </w:rPr>
        <w:t>开放</w:t>
      </w:r>
      <w:r>
        <w:rPr>
          <w:rFonts w:eastAsia="楷体_GB2312"/>
          <w:szCs w:val="32"/>
        </w:rPr>
        <w:t>要素空间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szCs w:val="32"/>
        </w:rPr>
      </w:pPr>
      <w:r>
        <w:rPr>
          <w:szCs w:val="32"/>
        </w:rPr>
        <w:t>加强场景创新要素供给，一是开放城市建设过程中的重大工程项目资源，为智能建造、绿色建筑、数字经济、先进制造等产业创新技术产品提供验证应用机会。二是开放副中心丰富的空间载体资源，</w:t>
      </w:r>
      <w:r>
        <w:rPr>
          <w:rFonts w:hint="eastAsia"/>
          <w:szCs w:val="32"/>
        </w:rPr>
        <w:t>在</w:t>
      </w:r>
      <w:r>
        <w:rPr>
          <w:szCs w:val="32"/>
        </w:rPr>
        <w:t>绿心公园、高线公园等</w:t>
      </w:r>
      <w:r>
        <w:rPr>
          <w:rFonts w:hint="eastAsia"/>
          <w:szCs w:val="32"/>
        </w:rPr>
        <w:t>重点区域</w:t>
      </w:r>
      <w:r>
        <w:rPr>
          <w:szCs w:val="32"/>
        </w:rPr>
        <w:t>，为企业新技术</w:t>
      </w:r>
      <w:r>
        <w:rPr>
          <w:rFonts w:hint="eastAsia"/>
          <w:szCs w:val="32"/>
        </w:rPr>
        <w:t>、</w:t>
      </w:r>
      <w:r>
        <w:rPr>
          <w:szCs w:val="32"/>
        </w:rPr>
        <w:t>新产品</w:t>
      </w:r>
      <w:r>
        <w:rPr>
          <w:rFonts w:hint="eastAsia"/>
          <w:szCs w:val="32"/>
        </w:rPr>
        <w:t>、</w:t>
      </w:r>
      <w:r>
        <w:rPr>
          <w:szCs w:val="32"/>
        </w:rPr>
        <w:t>新模式集成应用和展示提供空间。三是开放数据要素资源，依托数据基础制度先行区优势，搭建数据专区，优先探索数据要素应用场景。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（三）强化政策保障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szCs w:val="32"/>
        </w:rPr>
      </w:pPr>
      <w:r>
        <w:rPr>
          <w:szCs w:val="32"/>
        </w:rPr>
        <w:t>积极争取国家和市级部门应用场景建设</w:t>
      </w:r>
      <w:r>
        <w:rPr>
          <w:rFonts w:hint="eastAsia"/>
          <w:szCs w:val="32"/>
        </w:rPr>
        <w:t>支持</w:t>
      </w:r>
      <w:r>
        <w:rPr>
          <w:szCs w:val="32"/>
        </w:rPr>
        <w:t>政策，统筹利用各类政府资源，在前期手续办理、数据开放共享、产业要素匹配、</w:t>
      </w:r>
      <w:r>
        <w:rPr>
          <w:rFonts w:hint="eastAsia"/>
          <w:szCs w:val="32"/>
        </w:rPr>
        <w:t>政策</w:t>
      </w:r>
      <w:r>
        <w:rPr>
          <w:szCs w:val="32"/>
        </w:rPr>
        <w:t>资金保障、金融贷款服务等方面加大</w:t>
      </w:r>
      <w:r>
        <w:rPr>
          <w:rFonts w:hint="eastAsia"/>
          <w:szCs w:val="32"/>
        </w:rPr>
        <w:t>协调</w:t>
      </w:r>
      <w:r>
        <w:rPr>
          <w:szCs w:val="32"/>
        </w:rPr>
        <w:t>力度，打造应用场景建设政策实施示范新高地。鼓励产业基金积极</w:t>
      </w:r>
      <w:r>
        <w:rPr>
          <w:rFonts w:hint="eastAsia"/>
          <w:szCs w:val="32"/>
        </w:rPr>
        <w:t>投资</w:t>
      </w:r>
      <w:r>
        <w:rPr>
          <w:szCs w:val="32"/>
        </w:rPr>
        <w:t>参与副中心场景建设的能力企业。加强社会资本保障，</w:t>
      </w:r>
      <w:r>
        <w:rPr>
          <w:rFonts w:hint="eastAsia"/>
          <w:szCs w:val="32"/>
        </w:rPr>
        <w:t>支持</w:t>
      </w:r>
      <w:r>
        <w:rPr>
          <w:szCs w:val="32"/>
        </w:rPr>
        <w:t>投资机构积极参与副中心各类场景活动，吸引社会资本投资副中心场景建设。</w:t>
      </w:r>
      <w:r>
        <w:rPr>
          <w:rFonts w:hint="eastAsia"/>
          <w:szCs w:val="32"/>
        </w:rPr>
        <w:t>促进</w:t>
      </w:r>
      <w:r>
        <w:rPr>
          <w:szCs w:val="32"/>
        </w:rPr>
        <w:t>金融机构围绕场景项目融资需求创新金融产品，面向场景项目、场景能力企业加强金融产品供给。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楷体_GB2312"/>
          <w:szCs w:val="32"/>
        </w:rPr>
      </w:pPr>
      <w:r>
        <w:rPr>
          <w:rFonts w:eastAsia="楷体_GB2312"/>
          <w:szCs w:val="32"/>
        </w:rPr>
        <w:t>（</w:t>
      </w:r>
      <w:r>
        <w:rPr>
          <w:rFonts w:hint="eastAsia" w:eastAsia="楷体_GB2312"/>
          <w:szCs w:val="32"/>
        </w:rPr>
        <w:t>四</w:t>
      </w:r>
      <w:r>
        <w:rPr>
          <w:rFonts w:eastAsia="楷体_GB2312"/>
          <w:szCs w:val="32"/>
        </w:rPr>
        <w:t>）</w:t>
      </w:r>
      <w:r>
        <w:rPr>
          <w:rFonts w:hint="eastAsia" w:eastAsia="楷体_GB2312"/>
          <w:szCs w:val="32"/>
        </w:rPr>
        <w:t>组织</w:t>
      </w:r>
      <w:r>
        <w:rPr>
          <w:rFonts w:eastAsia="楷体_GB2312"/>
          <w:szCs w:val="32"/>
        </w:rPr>
        <w:t>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szCs w:val="32"/>
        </w:rPr>
      </w:pPr>
      <w:r>
        <w:rPr>
          <w:szCs w:val="32"/>
        </w:rPr>
        <w:t>加强品牌活动策划，打造具有副中心特色的场景系列品牌活动。定期组织开展场景交流会、场景培训会、标杆场景考察等活动，</w:t>
      </w:r>
      <w:r>
        <w:rPr>
          <w:rFonts w:hint="eastAsia"/>
          <w:szCs w:val="32"/>
        </w:rPr>
        <w:t>增进</w:t>
      </w:r>
      <w:r>
        <w:rPr>
          <w:szCs w:val="32"/>
        </w:rPr>
        <w:t>经验总结交流。</w:t>
      </w:r>
      <w:r>
        <w:rPr>
          <w:rFonts w:hint="eastAsia"/>
          <w:szCs w:val="32"/>
        </w:rPr>
        <w:t>开展</w:t>
      </w:r>
      <w:r>
        <w:rPr>
          <w:szCs w:val="32"/>
        </w:rPr>
        <w:t>标杆场景、典型案例发掘与评选，总结副中心场景创新工作经验，通过新媒体、自媒体等多种渠道开展宣传推广。支持区内典型应用场景申报市级、国家级典型案例，进一步帮助企业扩大场景影响力。</w:t>
      </w:r>
    </w:p>
    <w:p>
      <w:pPr>
        <w:pStyle w:val="11"/>
        <w:rPr>
          <w:szCs w:val="32"/>
        </w:rPr>
      </w:pPr>
    </w:p>
    <w:p>
      <w:pPr>
        <w:pStyle w:val="11"/>
        <w:ind w:left="0" w:leftChars="0" w:firstLine="0" w:firstLineChars="0"/>
        <w:rPr>
          <w:szCs w:val="32"/>
        </w:rPr>
      </w:pPr>
    </w:p>
    <w:p>
      <w:pPr>
        <w:pStyle w:val="11"/>
        <w:ind w:left="0" w:leftChars="0" w:firstLine="0" w:firstLineChars="0"/>
        <w:rPr>
          <w:szCs w:val="32"/>
        </w:rPr>
      </w:pPr>
    </w:p>
    <w:p>
      <w:pPr>
        <w:pStyle w:val="11"/>
        <w:ind w:left="0" w:leftChars="0" w:firstLine="0" w:firstLineChars="0"/>
        <w:rPr>
          <w:szCs w:val="32"/>
        </w:rPr>
      </w:pPr>
    </w:p>
    <w:p>
      <w:pPr>
        <w:pStyle w:val="11"/>
        <w:ind w:left="0" w:leftChars="0" w:firstLine="0" w:firstLineChars="0"/>
        <w:rPr>
          <w:szCs w:val="32"/>
        </w:rPr>
      </w:pPr>
    </w:p>
    <w:p>
      <w:pPr>
        <w:pStyle w:val="11"/>
        <w:ind w:left="0" w:leftChars="0" w:firstLine="0" w:firstLineChars="0"/>
        <w:rPr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25" w:leftChars="1" w:hanging="2022" w:hangingChars="632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8pt;height:0pt;width:441pt;z-index:251669504;mso-width-relative:page;mso-height-relative:page;" filled="f" stroked="t" coordsize="21600,21600" o:gfxdata="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sfdkCNIAAAAGAQAADwAAAAAAAAABACAAAAA4AAAAZHJzL2Rvd25yZXYueG1sUEsBAhQAFAAAAAgA&#10;h07iQOgKHljcAQAAmQ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 抄送：区委各部、委、办，区人大办公室，区政协办公室，区法院，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72" w:leftChars="1" w:hanging="1769" w:hangingChars="632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       区检察院，区各人民团体。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09" w:rightChars="-159" w:firstLine="300" w:firstLineChars="10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宋体" w:cs="仿宋_GB2312"/>
          <w:color w:val="00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71552;mso-width-relative:page;mso-height-relative:page;" filled="f" stroked="t" coordsize="21600,21600" o:gfxdata="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OHvLbTAAAABgEAAA8AAAAAAAAAAQAgAAAAOAAAAGRycy9kb3ducmV2LnhtbFBLAQIUABQAAAAI&#10;AIdO4kCgbjjw3AEAAJk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宋体" w:cs="仿宋_GB2312"/>
          <w:color w:val="00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5pt;height:0pt;width:441pt;z-index:251670528;mso-width-relative:page;mso-height-relative:page;" filled="f" stroked="t" coordsize="21600,21600" o:gfxdata="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KZHo99IAAAAEAQAADwAAAAAAAAABACAAAAA4AAAAZHJzL2Rvd25yZXYueG1sUEsBAhQAFAAAAAgA&#10;h07iQAuRFJXcAQAAmQ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北京市通州区人民政府办公室             2024年12月</w:t>
      </w:r>
      <w:r>
        <w:rPr>
          <w:rFonts w:hint="eastAsia" w:ascii="仿宋_GB2312" w:hAnsi="仿宋_GB2312" w:cs="仿宋_GB2312"/>
          <w:color w:val="000000"/>
          <w:kern w:val="2"/>
          <w:sz w:val="28"/>
          <w:szCs w:val="28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日印发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4424680</wp:posOffset>
              </wp:positionH>
              <wp:positionV relativeFrom="paragraph">
                <wp:posOffset>5715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00" w:lineRule="exact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pt;margin-top:0.4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6av8/ThYkFwpZEj9nEuNkqh23Z9&#10;c1tTHtGbM2dyeMvXNZJvmA+PzIENKBgMDw84pDJIYnqJksq4z397j/4YEqyUtGBXQTXoT4l6pzG8&#10;SMRBcIOwHQS9b+4M6DrG5lieRHxwQQ2idKb5BNqvYg7JlEdgpjmyYTSDeBeg9UasDxer1UXfW1fv&#10;qutnUNGysNFPlvfDjdh6u9oH4Jtgj5idgeqhBB/T4PrdiYT/VU9e1w1fP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20IE/1QAAAAgBAAAPAAAAAAAAAAEAIAAAADgAAABkcnMvZG93bnJldi54bWxQ&#10;SwECFAAUAAAACACHTuJA9e+iMB0CAAAp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00" w:lineRule="exact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20" w:lineRule="exact"/>
                            <w:ind w:left="0" w:leftChars="0"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20" w:lineRule="exact"/>
                      <w:ind w:left="0" w:leftChars="0" w:firstLine="280" w:firstLine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ZTFiZTQyZWRkOTg1MjNlYjQzZjljNzRiZTg2MTEifQ=="/>
  </w:docVars>
  <w:rsids>
    <w:rsidRoot w:val="002C3829"/>
    <w:rsid w:val="000431F9"/>
    <w:rsid w:val="00056E2C"/>
    <w:rsid w:val="00063BE4"/>
    <w:rsid w:val="000F0CD6"/>
    <w:rsid w:val="000F11E1"/>
    <w:rsid w:val="001357D3"/>
    <w:rsid w:val="00193307"/>
    <w:rsid w:val="002A4B47"/>
    <w:rsid w:val="002C2838"/>
    <w:rsid w:val="002C3829"/>
    <w:rsid w:val="00340B6A"/>
    <w:rsid w:val="00377076"/>
    <w:rsid w:val="003828DB"/>
    <w:rsid w:val="00471D57"/>
    <w:rsid w:val="00480C26"/>
    <w:rsid w:val="00484427"/>
    <w:rsid w:val="004A6C85"/>
    <w:rsid w:val="004C0422"/>
    <w:rsid w:val="004C2D8D"/>
    <w:rsid w:val="004F6113"/>
    <w:rsid w:val="005021B1"/>
    <w:rsid w:val="0050373C"/>
    <w:rsid w:val="00512556"/>
    <w:rsid w:val="0051686B"/>
    <w:rsid w:val="00547B18"/>
    <w:rsid w:val="00601AD2"/>
    <w:rsid w:val="00635297"/>
    <w:rsid w:val="006376CA"/>
    <w:rsid w:val="00642C70"/>
    <w:rsid w:val="006435DC"/>
    <w:rsid w:val="00732078"/>
    <w:rsid w:val="007621CD"/>
    <w:rsid w:val="007657BA"/>
    <w:rsid w:val="007B3F0C"/>
    <w:rsid w:val="007D1926"/>
    <w:rsid w:val="007D6A53"/>
    <w:rsid w:val="00815214"/>
    <w:rsid w:val="00835C4F"/>
    <w:rsid w:val="00863499"/>
    <w:rsid w:val="00894559"/>
    <w:rsid w:val="008C176B"/>
    <w:rsid w:val="00911B3B"/>
    <w:rsid w:val="009422CB"/>
    <w:rsid w:val="00954EAA"/>
    <w:rsid w:val="00967765"/>
    <w:rsid w:val="00991F65"/>
    <w:rsid w:val="009B17F5"/>
    <w:rsid w:val="00A014EB"/>
    <w:rsid w:val="00AF3104"/>
    <w:rsid w:val="00B5424A"/>
    <w:rsid w:val="00B70E3E"/>
    <w:rsid w:val="00B960DB"/>
    <w:rsid w:val="00C03002"/>
    <w:rsid w:val="00C8214C"/>
    <w:rsid w:val="00CB1982"/>
    <w:rsid w:val="00CB1EDB"/>
    <w:rsid w:val="00CC4C8F"/>
    <w:rsid w:val="00CE3D02"/>
    <w:rsid w:val="00D1094E"/>
    <w:rsid w:val="00D7249A"/>
    <w:rsid w:val="00DA3EA5"/>
    <w:rsid w:val="00DA4AEA"/>
    <w:rsid w:val="00DA5E85"/>
    <w:rsid w:val="00E07917"/>
    <w:rsid w:val="00F1263F"/>
    <w:rsid w:val="00F8541E"/>
    <w:rsid w:val="01011432"/>
    <w:rsid w:val="010351AA"/>
    <w:rsid w:val="016A6D9C"/>
    <w:rsid w:val="017E09E4"/>
    <w:rsid w:val="018D6BE2"/>
    <w:rsid w:val="023805CD"/>
    <w:rsid w:val="02525169"/>
    <w:rsid w:val="02664D7A"/>
    <w:rsid w:val="02700AB6"/>
    <w:rsid w:val="02A8315E"/>
    <w:rsid w:val="02D2752A"/>
    <w:rsid w:val="02E23EB3"/>
    <w:rsid w:val="031713E0"/>
    <w:rsid w:val="0374413D"/>
    <w:rsid w:val="038500F8"/>
    <w:rsid w:val="039305D7"/>
    <w:rsid w:val="03A941E9"/>
    <w:rsid w:val="041476CE"/>
    <w:rsid w:val="041F40A7"/>
    <w:rsid w:val="0430275A"/>
    <w:rsid w:val="04456CFB"/>
    <w:rsid w:val="044B394F"/>
    <w:rsid w:val="045F4DED"/>
    <w:rsid w:val="046D2E90"/>
    <w:rsid w:val="047C774D"/>
    <w:rsid w:val="04911FDD"/>
    <w:rsid w:val="04AB7173"/>
    <w:rsid w:val="04E6106A"/>
    <w:rsid w:val="05143E2A"/>
    <w:rsid w:val="05410997"/>
    <w:rsid w:val="058A4DD3"/>
    <w:rsid w:val="05CF6D44"/>
    <w:rsid w:val="0616597F"/>
    <w:rsid w:val="062A765D"/>
    <w:rsid w:val="063E0975"/>
    <w:rsid w:val="0649594D"/>
    <w:rsid w:val="06B84C89"/>
    <w:rsid w:val="06C61153"/>
    <w:rsid w:val="06E8440F"/>
    <w:rsid w:val="071023CF"/>
    <w:rsid w:val="07462294"/>
    <w:rsid w:val="077351AF"/>
    <w:rsid w:val="0782010F"/>
    <w:rsid w:val="078F57B3"/>
    <w:rsid w:val="07A5497E"/>
    <w:rsid w:val="07B3792A"/>
    <w:rsid w:val="07C42DE1"/>
    <w:rsid w:val="0858467D"/>
    <w:rsid w:val="088C309B"/>
    <w:rsid w:val="08C2594B"/>
    <w:rsid w:val="08C336AA"/>
    <w:rsid w:val="08C622D9"/>
    <w:rsid w:val="08C96CD9"/>
    <w:rsid w:val="08E753B1"/>
    <w:rsid w:val="0907198C"/>
    <w:rsid w:val="0934509E"/>
    <w:rsid w:val="09480FAB"/>
    <w:rsid w:val="095347F5"/>
    <w:rsid w:val="098D5F59"/>
    <w:rsid w:val="09973E95"/>
    <w:rsid w:val="09AB516F"/>
    <w:rsid w:val="09C041EC"/>
    <w:rsid w:val="09F60B85"/>
    <w:rsid w:val="0A116B8A"/>
    <w:rsid w:val="0A2F5262"/>
    <w:rsid w:val="0A51342A"/>
    <w:rsid w:val="0A5D1DCF"/>
    <w:rsid w:val="0AA239F4"/>
    <w:rsid w:val="0AD66DD2"/>
    <w:rsid w:val="0AF530CE"/>
    <w:rsid w:val="0AFB1076"/>
    <w:rsid w:val="0B131099"/>
    <w:rsid w:val="0B5B795F"/>
    <w:rsid w:val="0B800B6C"/>
    <w:rsid w:val="0B955598"/>
    <w:rsid w:val="0BC33EB3"/>
    <w:rsid w:val="0BD75BB1"/>
    <w:rsid w:val="0BD95C00"/>
    <w:rsid w:val="0BF73B5D"/>
    <w:rsid w:val="0C0A6FBE"/>
    <w:rsid w:val="0C305F76"/>
    <w:rsid w:val="0C3628D7"/>
    <w:rsid w:val="0C5745FC"/>
    <w:rsid w:val="0C6754D4"/>
    <w:rsid w:val="0D1F5323"/>
    <w:rsid w:val="0D224C0A"/>
    <w:rsid w:val="0D3A01A5"/>
    <w:rsid w:val="0D3D5EE8"/>
    <w:rsid w:val="0D3F756A"/>
    <w:rsid w:val="0DCA6169"/>
    <w:rsid w:val="0DF26882"/>
    <w:rsid w:val="0E133BC9"/>
    <w:rsid w:val="0E1B7C8F"/>
    <w:rsid w:val="0E5D5294"/>
    <w:rsid w:val="0E650895"/>
    <w:rsid w:val="0E7B0A75"/>
    <w:rsid w:val="0E8C6812"/>
    <w:rsid w:val="0EBB6D37"/>
    <w:rsid w:val="0F1F58A5"/>
    <w:rsid w:val="0F2F0B0D"/>
    <w:rsid w:val="0F4809C5"/>
    <w:rsid w:val="0F557518"/>
    <w:rsid w:val="0F9F0794"/>
    <w:rsid w:val="0FA41119"/>
    <w:rsid w:val="0FB73D2F"/>
    <w:rsid w:val="0FC24482"/>
    <w:rsid w:val="0FD36521"/>
    <w:rsid w:val="0FF3288D"/>
    <w:rsid w:val="0FF56606"/>
    <w:rsid w:val="10014FB6"/>
    <w:rsid w:val="10245B94"/>
    <w:rsid w:val="103047D2"/>
    <w:rsid w:val="1038043C"/>
    <w:rsid w:val="104D6442"/>
    <w:rsid w:val="108470B9"/>
    <w:rsid w:val="10876064"/>
    <w:rsid w:val="10BF4747"/>
    <w:rsid w:val="113676AF"/>
    <w:rsid w:val="117A5014"/>
    <w:rsid w:val="11D0095B"/>
    <w:rsid w:val="11D42757"/>
    <w:rsid w:val="11DD37F5"/>
    <w:rsid w:val="126B7053"/>
    <w:rsid w:val="126D6927"/>
    <w:rsid w:val="12C86253"/>
    <w:rsid w:val="12E44D22"/>
    <w:rsid w:val="13023513"/>
    <w:rsid w:val="133513E0"/>
    <w:rsid w:val="135E44C2"/>
    <w:rsid w:val="13745033"/>
    <w:rsid w:val="13A3144A"/>
    <w:rsid w:val="13AB1A69"/>
    <w:rsid w:val="13AD7508"/>
    <w:rsid w:val="13C702B9"/>
    <w:rsid w:val="13CC668E"/>
    <w:rsid w:val="13DA1122"/>
    <w:rsid w:val="13FF3EF7"/>
    <w:rsid w:val="149A59CD"/>
    <w:rsid w:val="14AE4079"/>
    <w:rsid w:val="14D04D70"/>
    <w:rsid w:val="14FB2910"/>
    <w:rsid w:val="15091085"/>
    <w:rsid w:val="150B3E83"/>
    <w:rsid w:val="152F3369"/>
    <w:rsid w:val="153E45AB"/>
    <w:rsid w:val="15454009"/>
    <w:rsid w:val="15565D98"/>
    <w:rsid w:val="158741A4"/>
    <w:rsid w:val="15BE749A"/>
    <w:rsid w:val="15FB26A8"/>
    <w:rsid w:val="1606331B"/>
    <w:rsid w:val="161216E5"/>
    <w:rsid w:val="161B48EC"/>
    <w:rsid w:val="16201A43"/>
    <w:rsid w:val="16257519"/>
    <w:rsid w:val="16573B76"/>
    <w:rsid w:val="165D23E0"/>
    <w:rsid w:val="168323F3"/>
    <w:rsid w:val="168E595E"/>
    <w:rsid w:val="16900E36"/>
    <w:rsid w:val="16AE5760"/>
    <w:rsid w:val="16DC407B"/>
    <w:rsid w:val="16EC20F4"/>
    <w:rsid w:val="1740285C"/>
    <w:rsid w:val="17465999"/>
    <w:rsid w:val="17825FDA"/>
    <w:rsid w:val="17E30F55"/>
    <w:rsid w:val="17EB7763"/>
    <w:rsid w:val="17F6116D"/>
    <w:rsid w:val="181F6915"/>
    <w:rsid w:val="182E1196"/>
    <w:rsid w:val="184D055B"/>
    <w:rsid w:val="18535329"/>
    <w:rsid w:val="18D03FD4"/>
    <w:rsid w:val="18D83573"/>
    <w:rsid w:val="191915B7"/>
    <w:rsid w:val="19561BC7"/>
    <w:rsid w:val="197902A7"/>
    <w:rsid w:val="19914008"/>
    <w:rsid w:val="19A075E2"/>
    <w:rsid w:val="19A33F8F"/>
    <w:rsid w:val="19BA660B"/>
    <w:rsid w:val="19E555FD"/>
    <w:rsid w:val="1A76001B"/>
    <w:rsid w:val="1A8B2040"/>
    <w:rsid w:val="1ABC2CB0"/>
    <w:rsid w:val="1ADC289C"/>
    <w:rsid w:val="1B041DF3"/>
    <w:rsid w:val="1B131C25"/>
    <w:rsid w:val="1B1D3F4E"/>
    <w:rsid w:val="1B3A5814"/>
    <w:rsid w:val="1B9C06F7"/>
    <w:rsid w:val="1BAC58A4"/>
    <w:rsid w:val="1BC11A92"/>
    <w:rsid w:val="1BFB31F6"/>
    <w:rsid w:val="1C4F3541"/>
    <w:rsid w:val="1C5648D0"/>
    <w:rsid w:val="1C6E4265"/>
    <w:rsid w:val="1D104A7F"/>
    <w:rsid w:val="1D2247B2"/>
    <w:rsid w:val="1D244763"/>
    <w:rsid w:val="1D61177E"/>
    <w:rsid w:val="1D7C6DBC"/>
    <w:rsid w:val="1D894B66"/>
    <w:rsid w:val="1D8D60CF"/>
    <w:rsid w:val="1DDC2BB3"/>
    <w:rsid w:val="1DDF4451"/>
    <w:rsid w:val="1E075E82"/>
    <w:rsid w:val="1E0D0FBE"/>
    <w:rsid w:val="1E106557"/>
    <w:rsid w:val="1E1F39B1"/>
    <w:rsid w:val="1E206F43"/>
    <w:rsid w:val="1E382D5F"/>
    <w:rsid w:val="1E796654"/>
    <w:rsid w:val="1E8C3E9D"/>
    <w:rsid w:val="1E900346"/>
    <w:rsid w:val="1F190554"/>
    <w:rsid w:val="1F2E11A4"/>
    <w:rsid w:val="1F3D3580"/>
    <w:rsid w:val="1F3D412C"/>
    <w:rsid w:val="1F470853"/>
    <w:rsid w:val="1F5C11C9"/>
    <w:rsid w:val="1F6966C8"/>
    <w:rsid w:val="1F9A4AD4"/>
    <w:rsid w:val="1FA461F7"/>
    <w:rsid w:val="1FA72125"/>
    <w:rsid w:val="1FDB0895"/>
    <w:rsid w:val="1FE22E5F"/>
    <w:rsid w:val="206B09A1"/>
    <w:rsid w:val="209E039F"/>
    <w:rsid w:val="20A730DA"/>
    <w:rsid w:val="20AF1A91"/>
    <w:rsid w:val="20CA3197"/>
    <w:rsid w:val="2136372B"/>
    <w:rsid w:val="21674E89"/>
    <w:rsid w:val="216E6218"/>
    <w:rsid w:val="21845A3B"/>
    <w:rsid w:val="219F0AC7"/>
    <w:rsid w:val="21DA0A3C"/>
    <w:rsid w:val="22851A6B"/>
    <w:rsid w:val="228C2DF9"/>
    <w:rsid w:val="228D6D3B"/>
    <w:rsid w:val="22A51C90"/>
    <w:rsid w:val="22C75BE0"/>
    <w:rsid w:val="22D87DED"/>
    <w:rsid w:val="22DA7DC4"/>
    <w:rsid w:val="230F4915"/>
    <w:rsid w:val="2318643B"/>
    <w:rsid w:val="231C1BE7"/>
    <w:rsid w:val="233D5EA2"/>
    <w:rsid w:val="234E726C"/>
    <w:rsid w:val="235A6A54"/>
    <w:rsid w:val="2379688F"/>
    <w:rsid w:val="23887A65"/>
    <w:rsid w:val="23953F30"/>
    <w:rsid w:val="2396018C"/>
    <w:rsid w:val="23A14683"/>
    <w:rsid w:val="23B0676E"/>
    <w:rsid w:val="23E64AAE"/>
    <w:rsid w:val="23ED3D6C"/>
    <w:rsid w:val="2409090C"/>
    <w:rsid w:val="24174945"/>
    <w:rsid w:val="242B219E"/>
    <w:rsid w:val="24397A11"/>
    <w:rsid w:val="244579FE"/>
    <w:rsid w:val="24743B45"/>
    <w:rsid w:val="24A96FB6"/>
    <w:rsid w:val="24BD373E"/>
    <w:rsid w:val="24BF03E6"/>
    <w:rsid w:val="24DA0F8E"/>
    <w:rsid w:val="251D3512"/>
    <w:rsid w:val="254D2812"/>
    <w:rsid w:val="255B5468"/>
    <w:rsid w:val="25671EDE"/>
    <w:rsid w:val="257B7155"/>
    <w:rsid w:val="2580476C"/>
    <w:rsid w:val="25897AC4"/>
    <w:rsid w:val="25AC3A91"/>
    <w:rsid w:val="25B54415"/>
    <w:rsid w:val="25E95C24"/>
    <w:rsid w:val="261A4D96"/>
    <w:rsid w:val="261A696E"/>
    <w:rsid w:val="26301CEE"/>
    <w:rsid w:val="267F0CAD"/>
    <w:rsid w:val="26865DB2"/>
    <w:rsid w:val="26C012C4"/>
    <w:rsid w:val="26C80178"/>
    <w:rsid w:val="26D34812"/>
    <w:rsid w:val="26D66D39"/>
    <w:rsid w:val="26E825C8"/>
    <w:rsid w:val="26F23CF9"/>
    <w:rsid w:val="27054F28"/>
    <w:rsid w:val="271E2DB0"/>
    <w:rsid w:val="27710810"/>
    <w:rsid w:val="27962024"/>
    <w:rsid w:val="27A44741"/>
    <w:rsid w:val="27C751CE"/>
    <w:rsid w:val="27D11136"/>
    <w:rsid w:val="28074CD0"/>
    <w:rsid w:val="281B5B3F"/>
    <w:rsid w:val="28550507"/>
    <w:rsid w:val="28A569C3"/>
    <w:rsid w:val="28C36E49"/>
    <w:rsid w:val="28D449CC"/>
    <w:rsid w:val="28EC37AD"/>
    <w:rsid w:val="29373393"/>
    <w:rsid w:val="29576E05"/>
    <w:rsid w:val="29856EC8"/>
    <w:rsid w:val="29943847"/>
    <w:rsid w:val="29F714A0"/>
    <w:rsid w:val="2A021BF3"/>
    <w:rsid w:val="2A9767DF"/>
    <w:rsid w:val="2B723DB2"/>
    <w:rsid w:val="2B8F74B6"/>
    <w:rsid w:val="2BA07B60"/>
    <w:rsid w:val="2BCA41A6"/>
    <w:rsid w:val="2BD43A5C"/>
    <w:rsid w:val="2BDC69CA"/>
    <w:rsid w:val="2C0800C3"/>
    <w:rsid w:val="2C380DB6"/>
    <w:rsid w:val="2C4E7372"/>
    <w:rsid w:val="2C5E786F"/>
    <w:rsid w:val="2C602C01"/>
    <w:rsid w:val="2C640943"/>
    <w:rsid w:val="2C7D37B3"/>
    <w:rsid w:val="2CAB0F36"/>
    <w:rsid w:val="2D2B1461"/>
    <w:rsid w:val="2D2D6F87"/>
    <w:rsid w:val="2D2F1C97"/>
    <w:rsid w:val="2D8C1F00"/>
    <w:rsid w:val="2D964B2C"/>
    <w:rsid w:val="2DB94CBF"/>
    <w:rsid w:val="2DC7723E"/>
    <w:rsid w:val="2DDA4AD9"/>
    <w:rsid w:val="2DF47AA5"/>
    <w:rsid w:val="2E702BF1"/>
    <w:rsid w:val="2E721018"/>
    <w:rsid w:val="2E84707B"/>
    <w:rsid w:val="2E954DE4"/>
    <w:rsid w:val="2EA27501"/>
    <w:rsid w:val="2EA27D60"/>
    <w:rsid w:val="2EC15D93"/>
    <w:rsid w:val="2EF22236"/>
    <w:rsid w:val="2EF320BB"/>
    <w:rsid w:val="2EFF3A1A"/>
    <w:rsid w:val="2F1E302B"/>
    <w:rsid w:val="2F7E1D1C"/>
    <w:rsid w:val="2F83198B"/>
    <w:rsid w:val="2F866987"/>
    <w:rsid w:val="2FF847EF"/>
    <w:rsid w:val="2FF84832"/>
    <w:rsid w:val="2FFB511A"/>
    <w:rsid w:val="304C5976"/>
    <w:rsid w:val="307B625B"/>
    <w:rsid w:val="309C12AD"/>
    <w:rsid w:val="3115045E"/>
    <w:rsid w:val="31152A96"/>
    <w:rsid w:val="312665EC"/>
    <w:rsid w:val="31271F3F"/>
    <w:rsid w:val="316311C9"/>
    <w:rsid w:val="318178A1"/>
    <w:rsid w:val="3188440A"/>
    <w:rsid w:val="31973569"/>
    <w:rsid w:val="319B6BB5"/>
    <w:rsid w:val="31DB0733"/>
    <w:rsid w:val="31E80F9E"/>
    <w:rsid w:val="31F6028F"/>
    <w:rsid w:val="3210072B"/>
    <w:rsid w:val="321502BA"/>
    <w:rsid w:val="321C0B3F"/>
    <w:rsid w:val="32361BEB"/>
    <w:rsid w:val="324169C5"/>
    <w:rsid w:val="32725F62"/>
    <w:rsid w:val="32847649"/>
    <w:rsid w:val="3287538B"/>
    <w:rsid w:val="32894C60"/>
    <w:rsid w:val="32C64902"/>
    <w:rsid w:val="32C91500"/>
    <w:rsid w:val="32D81743"/>
    <w:rsid w:val="32F51F8E"/>
    <w:rsid w:val="33182487"/>
    <w:rsid w:val="3330332D"/>
    <w:rsid w:val="333472C1"/>
    <w:rsid w:val="338D4C23"/>
    <w:rsid w:val="33900270"/>
    <w:rsid w:val="339765FF"/>
    <w:rsid w:val="339865A0"/>
    <w:rsid w:val="341B3FDD"/>
    <w:rsid w:val="34261120"/>
    <w:rsid w:val="34401C96"/>
    <w:rsid w:val="347B4A7C"/>
    <w:rsid w:val="348F6B56"/>
    <w:rsid w:val="34AC0749"/>
    <w:rsid w:val="34BB30CA"/>
    <w:rsid w:val="35610116"/>
    <w:rsid w:val="356419B4"/>
    <w:rsid w:val="35AD5D88"/>
    <w:rsid w:val="35D629F5"/>
    <w:rsid w:val="3609129C"/>
    <w:rsid w:val="361E1B63"/>
    <w:rsid w:val="362F3D70"/>
    <w:rsid w:val="364315C9"/>
    <w:rsid w:val="366B1100"/>
    <w:rsid w:val="36AA1648"/>
    <w:rsid w:val="36BD75CE"/>
    <w:rsid w:val="36F6488E"/>
    <w:rsid w:val="37083EB1"/>
    <w:rsid w:val="373F7FE3"/>
    <w:rsid w:val="374917B9"/>
    <w:rsid w:val="376D0FF4"/>
    <w:rsid w:val="377D6D5D"/>
    <w:rsid w:val="37813EBB"/>
    <w:rsid w:val="37CF00C1"/>
    <w:rsid w:val="38213A27"/>
    <w:rsid w:val="382A2218"/>
    <w:rsid w:val="383733B0"/>
    <w:rsid w:val="383E029A"/>
    <w:rsid w:val="38407B40"/>
    <w:rsid w:val="384A30E3"/>
    <w:rsid w:val="384F265C"/>
    <w:rsid w:val="38653A79"/>
    <w:rsid w:val="38860E79"/>
    <w:rsid w:val="38877E93"/>
    <w:rsid w:val="388A1F09"/>
    <w:rsid w:val="391A0D07"/>
    <w:rsid w:val="393E6B6F"/>
    <w:rsid w:val="39FD5F33"/>
    <w:rsid w:val="39FF3A59"/>
    <w:rsid w:val="3A3E0A25"/>
    <w:rsid w:val="3A825A8A"/>
    <w:rsid w:val="3AAA60BB"/>
    <w:rsid w:val="3AB26D1E"/>
    <w:rsid w:val="3AC52EF5"/>
    <w:rsid w:val="3AE8273F"/>
    <w:rsid w:val="3B1654FE"/>
    <w:rsid w:val="3B1C4698"/>
    <w:rsid w:val="3B1E7AC5"/>
    <w:rsid w:val="3B273268"/>
    <w:rsid w:val="3B2A3678"/>
    <w:rsid w:val="3B4E4C98"/>
    <w:rsid w:val="3B714E2B"/>
    <w:rsid w:val="3BCA3DDD"/>
    <w:rsid w:val="3BE473AB"/>
    <w:rsid w:val="3C6B3320"/>
    <w:rsid w:val="3C7F0355"/>
    <w:rsid w:val="3C8F37BA"/>
    <w:rsid w:val="3CB92107"/>
    <w:rsid w:val="3CC66AB0"/>
    <w:rsid w:val="3CEB6517"/>
    <w:rsid w:val="3CF63839"/>
    <w:rsid w:val="3D0679B4"/>
    <w:rsid w:val="3D583BAC"/>
    <w:rsid w:val="3D5D7415"/>
    <w:rsid w:val="3D9B7F3D"/>
    <w:rsid w:val="3DAB4624"/>
    <w:rsid w:val="3DF76EE3"/>
    <w:rsid w:val="3E0A2CC0"/>
    <w:rsid w:val="3E512143"/>
    <w:rsid w:val="3E921340"/>
    <w:rsid w:val="3EAB0654"/>
    <w:rsid w:val="3ECD6B20"/>
    <w:rsid w:val="3F0D0FCB"/>
    <w:rsid w:val="3F91091D"/>
    <w:rsid w:val="3F9F3D14"/>
    <w:rsid w:val="3FCBB461"/>
    <w:rsid w:val="3FDC1A72"/>
    <w:rsid w:val="3FDE0E7C"/>
    <w:rsid w:val="3FE756BB"/>
    <w:rsid w:val="3FEE3EAF"/>
    <w:rsid w:val="3FFF0C57"/>
    <w:rsid w:val="40267F92"/>
    <w:rsid w:val="40393AAA"/>
    <w:rsid w:val="407A5FBF"/>
    <w:rsid w:val="40D75730"/>
    <w:rsid w:val="40FC2CED"/>
    <w:rsid w:val="410858E9"/>
    <w:rsid w:val="41223DE3"/>
    <w:rsid w:val="4137204F"/>
    <w:rsid w:val="41656898"/>
    <w:rsid w:val="416A2100"/>
    <w:rsid w:val="41A91588"/>
    <w:rsid w:val="41C660F7"/>
    <w:rsid w:val="41E579D9"/>
    <w:rsid w:val="41E75E10"/>
    <w:rsid w:val="41F36599"/>
    <w:rsid w:val="4235608E"/>
    <w:rsid w:val="423A0160"/>
    <w:rsid w:val="424961B9"/>
    <w:rsid w:val="42957651"/>
    <w:rsid w:val="42DF267A"/>
    <w:rsid w:val="431F2800"/>
    <w:rsid w:val="4329001D"/>
    <w:rsid w:val="432F0C5F"/>
    <w:rsid w:val="433E3844"/>
    <w:rsid w:val="43430E5B"/>
    <w:rsid w:val="435968D0"/>
    <w:rsid w:val="438E2FDF"/>
    <w:rsid w:val="43993170"/>
    <w:rsid w:val="43D15963"/>
    <w:rsid w:val="441D78FE"/>
    <w:rsid w:val="44703ED1"/>
    <w:rsid w:val="44801C3A"/>
    <w:rsid w:val="448259B3"/>
    <w:rsid w:val="448D4A83"/>
    <w:rsid w:val="44AE139C"/>
    <w:rsid w:val="44D83825"/>
    <w:rsid w:val="44E93C84"/>
    <w:rsid w:val="453B2148"/>
    <w:rsid w:val="453F38A4"/>
    <w:rsid w:val="45440EBA"/>
    <w:rsid w:val="45751904"/>
    <w:rsid w:val="45D43FEC"/>
    <w:rsid w:val="45DE4E6B"/>
    <w:rsid w:val="45F2392B"/>
    <w:rsid w:val="46160AA8"/>
    <w:rsid w:val="461D5993"/>
    <w:rsid w:val="462323F3"/>
    <w:rsid w:val="467B090B"/>
    <w:rsid w:val="468F3108"/>
    <w:rsid w:val="46901E3A"/>
    <w:rsid w:val="46965745"/>
    <w:rsid w:val="46A837F0"/>
    <w:rsid w:val="46AE0EAE"/>
    <w:rsid w:val="46B04A59"/>
    <w:rsid w:val="46BF560D"/>
    <w:rsid w:val="47013C1B"/>
    <w:rsid w:val="47116B02"/>
    <w:rsid w:val="47160F4D"/>
    <w:rsid w:val="473009E2"/>
    <w:rsid w:val="478D693A"/>
    <w:rsid w:val="47F47E45"/>
    <w:rsid w:val="48490DCE"/>
    <w:rsid w:val="48530250"/>
    <w:rsid w:val="485358DC"/>
    <w:rsid w:val="48784B0D"/>
    <w:rsid w:val="48960122"/>
    <w:rsid w:val="48AE79E8"/>
    <w:rsid w:val="48BA34EC"/>
    <w:rsid w:val="48CD5A56"/>
    <w:rsid w:val="491C7AC0"/>
    <w:rsid w:val="492B486B"/>
    <w:rsid w:val="4950607F"/>
    <w:rsid w:val="49973CAE"/>
    <w:rsid w:val="49C820BA"/>
    <w:rsid w:val="4A235817"/>
    <w:rsid w:val="4A4A2ACF"/>
    <w:rsid w:val="4A761B16"/>
    <w:rsid w:val="4A87255F"/>
    <w:rsid w:val="4A8C229D"/>
    <w:rsid w:val="4A9219CA"/>
    <w:rsid w:val="4A9D3546"/>
    <w:rsid w:val="4AAB5499"/>
    <w:rsid w:val="4AAE12AF"/>
    <w:rsid w:val="4AC62A9D"/>
    <w:rsid w:val="4AD32850"/>
    <w:rsid w:val="4AE536EB"/>
    <w:rsid w:val="4AEF32D5"/>
    <w:rsid w:val="4B3C51D2"/>
    <w:rsid w:val="4B45484B"/>
    <w:rsid w:val="4B773D97"/>
    <w:rsid w:val="4B895879"/>
    <w:rsid w:val="4BAB02AE"/>
    <w:rsid w:val="4C07336D"/>
    <w:rsid w:val="4C4A015C"/>
    <w:rsid w:val="4C68611D"/>
    <w:rsid w:val="4C7B78B7"/>
    <w:rsid w:val="4CAA3CF8"/>
    <w:rsid w:val="4CB132D9"/>
    <w:rsid w:val="4CB76F46"/>
    <w:rsid w:val="4CBB7CB4"/>
    <w:rsid w:val="4CC0351C"/>
    <w:rsid w:val="4CD80866"/>
    <w:rsid w:val="4D225F85"/>
    <w:rsid w:val="4D277082"/>
    <w:rsid w:val="4D515201"/>
    <w:rsid w:val="4D8E7176"/>
    <w:rsid w:val="4D9D385D"/>
    <w:rsid w:val="4DD31EA2"/>
    <w:rsid w:val="4DEA006E"/>
    <w:rsid w:val="4E1E04FA"/>
    <w:rsid w:val="4E21623C"/>
    <w:rsid w:val="4E5B4F87"/>
    <w:rsid w:val="4EA10387"/>
    <w:rsid w:val="4EA330F5"/>
    <w:rsid w:val="4EFD7179"/>
    <w:rsid w:val="4F0117CD"/>
    <w:rsid w:val="4F29184C"/>
    <w:rsid w:val="4F6A776F"/>
    <w:rsid w:val="4F875C59"/>
    <w:rsid w:val="4F9071D6"/>
    <w:rsid w:val="4FA146AA"/>
    <w:rsid w:val="4FEE370F"/>
    <w:rsid w:val="501C4F0D"/>
    <w:rsid w:val="502E1E64"/>
    <w:rsid w:val="504D7564"/>
    <w:rsid w:val="505A32A9"/>
    <w:rsid w:val="506D58CC"/>
    <w:rsid w:val="50E33A31"/>
    <w:rsid w:val="50E8378D"/>
    <w:rsid w:val="50EA3D25"/>
    <w:rsid w:val="51427A2B"/>
    <w:rsid w:val="51450290"/>
    <w:rsid w:val="51452242"/>
    <w:rsid w:val="514A5AAA"/>
    <w:rsid w:val="51717150"/>
    <w:rsid w:val="51874608"/>
    <w:rsid w:val="51A534DB"/>
    <w:rsid w:val="51AE7DE7"/>
    <w:rsid w:val="51B82A14"/>
    <w:rsid w:val="522E43AF"/>
    <w:rsid w:val="527D188B"/>
    <w:rsid w:val="52C5188C"/>
    <w:rsid w:val="52F21F55"/>
    <w:rsid w:val="53514ECE"/>
    <w:rsid w:val="537F7C8D"/>
    <w:rsid w:val="538F59F6"/>
    <w:rsid w:val="53B536AF"/>
    <w:rsid w:val="53BA6F17"/>
    <w:rsid w:val="53BD108F"/>
    <w:rsid w:val="53BE5128"/>
    <w:rsid w:val="53F00B8B"/>
    <w:rsid w:val="54033B84"/>
    <w:rsid w:val="54057907"/>
    <w:rsid w:val="54156540"/>
    <w:rsid w:val="54212AF2"/>
    <w:rsid w:val="54332825"/>
    <w:rsid w:val="5438608E"/>
    <w:rsid w:val="54465D08"/>
    <w:rsid w:val="5454111A"/>
    <w:rsid w:val="54621896"/>
    <w:rsid w:val="547A0454"/>
    <w:rsid w:val="548976A4"/>
    <w:rsid w:val="548C61DB"/>
    <w:rsid w:val="54AE68AD"/>
    <w:rsid w:val="54B55930"/>
    <w:rsid w:val="54E81862"/>
    <w:rsid w:val="54FA12B7"/>
    <w:rsid w:val="55C0458D"/>
    <w:rsid w:val="55E464CD"/>
    <w:rsid w:val="55F66200"/>
    <w:rsid w:val="560C1580"/>
    <w:rsid w:val="563F329E"/>
    <w:rsid w:val="56550E7A"/>
    <w:rsid w:val="566509DC"/>
    <w:rsid w:val="56A812A9"/>
    <w:rsid w:val="56AE1959"/>
    <w:rsid w:val="56E32828"/>
    <w:rsid w:val="56F97D56"/>
    <w:rsid w:val="571D1DD9"/>
    <w:rsid w:val="57680A38"/>
    <w:rsid w:val="57B37B9D"/>
    <w:rsid w:val="57C67867"/>
    <w:rsid w:val="57C90C62"/>
    <w:rsid w:val="57D34BC8"/>
    <w:rsid w:val="57F30AD1"/>
    <w:rsid w:val="57FA5F1D"/>
    <w:rsid w:val="58030768"/>
    <w:rsid w:val="580355BA"/>
    <w:rsid w:val="58675193"/>
    <w:rsid w:val="58B33F35"/>
    <w:rsid w:val="58D00F8B"/>
    <w:rsid w:val="58D81BED"/>
    <w:rsid w:val="58FA1B64"/>
    <w:rsid w:val="58FC1D80"/>
    <w:rsid w:val="59237585"/>
    <w:rsid w:val="596C2A61"/>
    <w:rsid w:val="59D40607"/>
    <w:rsid w:val="59F65A15"/>
    <w:rsid w:val="5A085000"/>
    <w:rsid w:val="5A1034BA"/>
    <w:rsid w:val="5A1B28CA"/>
    <w:rsid w:val="5A2C20FB"/>
    <w:rsid w:val="5A4E03B9"/>
    <w:rsid w:val="5A806B83"/>
    <w:rsid w:val="5A840738"/>
    <w:rsid w:val="5A974AC0"/>
    <w:rsid w:val="5A9F29C3"/>
    <w:rsid w:val="5AAB75B9"/>
    <w:rsid w:val="5ABD109B"/>
    <w:rsid w:val="5ABF12B7"/>
    <w:rsid w:val="5AE14D89"/>
    <w:rsid w:val="5AFC1BC3"/>
    <w:rsid w:val="5B323837"/>
    <w:rsid w:val="5B324A69"/>
    <w:rsid w:val="5B5437AD"/>
    <w:rsid w:val="5B5A4B3C"/>
    <w:rsid w:val="5B92712B"/>
    <w:rsid w:val="5B9A056E"/>
    <w:rsid w:val="5BA41C1D"/>
    <w:rsid w:val="5C12387B"/>
    <w:rsid w:val="5C4E6D0F"/>
    <w:rsid w:val="5C533B4F"/>
    <w:rsid w:val="5C62032A"/>
    <w:rsid w:val="5C643EC4"/>
    <w:rsid w:val="5C6A7FBB"/>
    <w:rsid w:val="5C930305"/>
    <w:rsid w:val="5CE62B2B"/>
    <w:rsid w:val="5CF2E992"/>
    <w:rsid w:val="5D0134C1"/>
    <w:rsid w:val="5D31161A"/>
    <w:rsid w:val="5D42379F"/>
    <w:rsid w:val="5D7151AA"/>
    <w:rsid w:val="5D8365CC"/>
    <w:rsid w:val="5DBE04B1"/>
    <w:rsid w:val="5E583BDE"/>
    <w:rsid w:val="5E8638BA"/>
    <w:rsid w:val="5E9640DD"/>
    <w:rsid w:val="5EB86749"/>
    <w:rsid w:val="5EBA601D"/>
    <w:rsid w:val="5EC724E8"/>
    <w:rsid w:val="5ED56D68"/>
    <w:rsid w:val="5F530220"/>
    <w:rsid w:val="5F6A61C1"/>
    <w:rsid w:val="5F84662B"/>
    <w:rsid w:val="5F9F3002"/>
    <w:rsid w:val="5FAD16DE"/>
    <w:rsid w:val="5FAE4145"/>
    <w:rsid w:val="5FC30F01"/>
    <w:rsid w:val="5FC8476A"/>
    <w:rsid w:val="5FDC1FC3"/>
    <w:rsid w:val="608C1C3B"/>
    <w:rsid w:val="60B06E57"/>
    <w:rsid w:val="60C21A98"/>
    <w:rsid w:val="60C2740B"/>
    <w:rsid w:val="60D62C0A"/>
    <w:rsid w:val="60E14A92"/>
    <w:rsid w:val="60FD0933"/>
    <w:rsid w:val="611C2FBF"/>
    <w:rsid w:val="613025C6"/>
    <w:rsid w:val="61500EBB"/>
    <w:rsid w:val="615362B5"/>
    <w:rsid w:val="6163231F"/>
    <w:rsid w:val="6165563C"/>
    <w:rsid w:val="61700C15"/>
    <w:rsid w:val="617D1584"/>
    <w:rsid w:val="619F14FA"/>
    <w:rsid w:val="62045801"/>
    <w:rsid w:val="620D6A6C"/>
    <w:rsid w:val="621F43E9"/>
    <w:rsid w:val="623D5ABF"/>
    <w:rsid w:val="62426A55"/>
    <w:rsid w:val="624B45C6"/>
    <w:rsid w:val="626D15F8"/>
    <w:rsid w:val="628E1C9B"/>
    <w:rsid w:val="629D0130"/>
    <w:rsid w:val="62A274F4"/>
    <w:rsid w:val="62C84A81"/>
    <w:rsid w:val="62E53885"/>
    <w:rsid w:val="630930CF"/>
    <w:rsid w:val="63147CC6"/>
    <w:rsid w:val="63310878"/>
    <w:rsid w:val="633705C9"/>
    <w:rsid w:val="633D546F"/>
    <w:rsid w:val="633F409F"/>
    <w:rsid w:val="63892462"/>
    <w:rsid w:val="63926156"/>
    <w:rsid w:val="63CB1C68"/>
    <w:rsid w:val="63CE60C7"/>
    <w:rsid w:val="63E003A6"/>
    <w:rsid w:val="63E43B3C"/>
    <w:rsid w:val="645C36D2"/>
    <w:rsid w:val="64807775"/>
    <w:rsid w:val="648139E8"/>
    <w:rsid w:val="648B4339"/>
    <w:rsid w:val="649A7DB6"/>
    <w:rsid w:val="649D4417"/>
    <w:rsid w:val="64B13A1E"/>
    <w:rsid w:val="652561BA"/>
    <w:rsid w:val="652C4002"/>
    <w:rsid w:val="65510C1C"/>
    <w:rsid w:val="658F559F"/>
    <w:rsid w:val="65A6554D"/>
    <w:rsid w:val="65D230A7"/>
    <w:rsid w:val="65DF6369"/>
    <w:rsid w:val="66263F98"/>
    <w:rsid w:val="66291CDA"/>
    <w:rsid w:val="668A18C6"/>
    <w:rsid w:val="668B7BF2"/>
    <w:rsid w:val="66A23062"/>
    <w:rsid w:val="66B772E6"/>
    <w:rsid w:val="66CC5B9C"/>
    <w:rsid w:val="66E14604"/>
    <w:rsid w:val="66FB21B2"/>
    <w:rsid w:val="66FE3167"/>
    <w:rsid w:val="670854C8"/>
    <w:rsid w:val="673037B4"/>
    <w:rsid w:val="675608AD"/>
    <w:rsid w:val="678076AC"/>
    <w:rsid w:val="67851993"/>
    <w:rsid w:val="67C35F6E"/>
    <w:rsid w:val="67E8198C"/>
    <w:rsid w:val="68143ADE"/>
    <w:rsid w:val="6848469A"/>
    <w:rsid w:val="688F4E9C"/>
    <w:rsid w:val="689B5E52"/>
    <w:rsid w:val="689E075E"/>
    <w:rsid w:val="68A51AEC"/>
    <w:rsid w:val="68CF0917"/>
    <w:rsid w:val="68D221B5"/>
    <w:rsid w:val="690A225F"/>
    <w:rsid w:val="6927194B"/>
    <w:rsid w:val="692755F0"/>
    <w:rsid w:val="693E3CEF"/>
    <w:rsid w:val="697B2E59"/>
    <w:rsid w:val="699F3C86"/>
    <w:rsid w:val="69A531C8"/>
    <w:rsid w:val="69AD56E7"/>
    <w:rsid w:val="69BA15C7"/>
    <w:rsid w:val="69DC778F"/>
    <w:rsid w:val="6A0D5B9B"/>
    <w:rsid w:val="6A3A6264"/>
    <w:rsid w:val="6A415844"/>
    <w:rsid w:val="6A611A43"/>
    <w:rsid w:val="6A6872A3"/>
    <w:rsid w:val="6A6E4160"/>
    <w:rsid w:val="6A90057A"/>
    <w:rsid w:val="6AA546D1"/>
    <w:rsid w:val="6AA858C3"/>
    <w:rsid w:val="6AB2229E"/>
    <w:rsid w:val="6AC87D14"/>
    <w:rsid w:val="6ACB1EDB"/>
    <w:rsid w:val="6B126C75"/>
    <w:rsid w:val="6B5477F9"/>
    <w:rsid w:val="6B58033A"/>
    <w:rsid w:val="6BA73DCD"/>
    <w:rsid w:val="6BB20664"/>
    <w:rsid w:val="6BC45991"/>
    <w:rsid w:val="6BD32EB5"/>
    <w:rsid w:val="6BEC358E"/>
    <w:rsid w:val="6C0E42EA"/>
    <w:rsid w:val="6C427AA9"/>
    <w:rsid w:val="6C613F7C"/>
    <w:rsid w:val="6CBB4EAE"/>
    <w:rsid w:val="6CD86182"/>
    <w:rsid w:val="6CE92E6F"/>
    <w:rsid w:val="6CF115CA"/>
    <w:rsid w:val="6D147240"/>
    <w:rsid w:val="6D714693"/>
    <w:rsid w:val="6DDC72CD"/>
    <w:rsid w:val="6DEB17C9"/>
    <w:rsid w:val="6E2316A3"/>
    <w:rsid w:val="6E3B17E5"/>
    <w:rsid w:val="6E3E6FD1"/>
    <w:rsid w:val="6E4E22DE"/>
    <w:rsid w:val="6E822F31"/>
    <w:rsid w:val="6E975DC3"/>
    <w:rsid w:val="6EE16E22"/>
    <w:rsid w:val="6F4F27B2"/>
    <w:rsid w:val="6F993A2D"/>
    <w:rsid w:val="6FA348AB"/>
    <w:rsid w:val="6FA85706"/>
    <w:rsid w:val="6FC00FB9"/>
    <w:rsid w:val="6FCD47AD"/>
    <w:rsid w:val="6FCE4D61"/>
    <w:rsid w:val="6FCF56A0"/>
    <w:rsid w:val="6FDD7DBD"/>
    <w:rsid w:val="6FE55962"/>
    <w:rsid w:val="70003AAC"/>
    <w:rsid w:val="700B6BD2"/>
    <w:rsid w:val="702F13E2"/>
    <w:rsid w:val="703E05C1"/>
    <w:rsid w:val="70BE1746"/>
    <w:rsid w:val="70CB4575"/>
    <w:rsid w:val="70F7027F"/>
    <w:rsid w:val="711C28D5"/>
    <w:rsid w:val="716A38D3"/>
    <w:rsid w:val="71861C39"/>
    <w:rsid w:val="71940950"/>
    <w:rsid w:val="719721EE"/>
    <w:rsid w:val="71C4361B"/>
    <w:rsid w:val="71CA2AC2"/>
    <w:rsid w:val="72192C03"/>
    <w:rsid w:val="721A7106"/>
    <w:rsid w:val="72796C28"/>
    <w:rsid w:val="728704B4"/>
    <w:rsid w:val="72AF5315"/>
    <w:rsid w:val="72BD300F"/>
    <w:rsid w:val="72E433D8"/>
    <w:rsid w:val="731358A4"/>
    <w:rsid w:val="73221F8B"/>
    <w:rsid w:val="73223D39"/>
    <w:rsid w:val="73571C35"/>
    <w:rsid w:val="739376ED"/>
    <w:rsid w:val="73EE2F96"/>
    <w:rsid w:val="743E7719"/>
    <w:rsid w:val="74466E05"/>
    <w:rsid w:val="744F3CAF"/>
    <w:rsid w:val="745D771F"/>
    <w:rsid w:val="74831714"/>
    <w:rsid w:val="748C0004"/>
    <w:rsid w:val="748D6BB5"/>
    <w:rsid w:val="748F53FE"/>
    <w:rsid w:val="74A11575"/>
    <w:rsid w:val="74A14E6C"/>
    <w:rsid w:val="74AB66DC"/>
    <w:rsid w:val="74DA764F"/>
    <w:rsid w:val="751E0D04"/>
    <w:rsid w:val="7527208B"/>
    <w:rsid w:val="7544443B"/>
    <w:rsid w:val="75497CA3"/>
    <w:rsid w:val="756D573F"/>
    <w:rsid w:val="757C70B4"/>
    <w:rsid w:val="75834F63"/>
    <w:rsid w:val="758C43DB"/>
    <w:rsid w:val="7590142E"/>
    <w:rsid w:val="75A46031"/>
    <w:rsid w:val="75D670A7"/>
    <w:rsid w:val="76085468"/>
    <w:rsid w:val="76104C33"/>
    <w:rsid w:val="763F3C2B"/>
    <w:rsid w:val="764D5782"/>
    <w:rsid w:val="76626661"/>
    <w:rsid w:val="766528BB"/>
    <w:rsid w:val="769413F2"/>
    <w:rsid w:val="76A53189"/>
    <w:rsid w:val="76AF1D88"/>
    <w:rsid w:val="76DB127E"/>
    <w:rsid w:val="76DD06A3"/>
    <w:rsid w:val="76DD7F28"/>
    <w:rsid w:val="773109EF"/>
    <w:rsid w:val="775363CA"/>
    <w:rsid w:val="77B07B65"/>
    <w:rsid w:val="77F63611"/>
    <w:rsid w:val="78191BAF"/>
    <w:rsid w:val="782B1186"/>
    <w:rsid w:val="785518C1"/>
    <w:rsid w:val="78AA6CAB"/>
    <w:rsid w:val="78DD7717"/>
    <w:rsid w:val="78EF5BA9"/>
    <w:rsid w:val="79223584"/>
    <w:rsid w:val="792D5CF9"/>
    <w:rsid w:val="792D7CBD"/>
    <w:rsid w:val="79387DEF"/>
    <w:rsid w:val="794C38BE"/>
    <w:rsid w:val="79CF7331"/>
    <w:rsid w:val="7A2A00A3"/>
    <w:rsid w:val="7A3FC45A"/>
    <w:rsid w:val="7A48677B"/>
    <w:rsid w:val="7A563C53"/>
    <w:rsid w:val="7A807CC3"/>
    <w:rsid w:val="7A8F1996"/>
    <w:rsid w:val="7A9C2623"/>
    <w:rsid w:val="7AE144D2"/>
    <w:rsid w:val="7B6018A2"/>
    <w:rsid w:val="7B7315D6"/>
    <w:rsid w:val="7BC03DA5"/>
    <w:rsid w:val="7BED75DA"/>
    <w:rsid w:val="7CC973C1"/>
    <w:rsid w:val="7CE04A49"/>
    <w:rsid w:val="7D256900"/>
    <w:rsid w:val="7D4E4F59"/>
    <w:rsid w:val="7D761851"/>
    <w:rsid w:val="7DAE2D99"/>
    <w:rsid w:val="7DBC3DDC"/>
    <w:rsid w:val="7E053022"/>
    <w:rsid w:val="7E1A3F8B"/>
    <w:rsid w:val="7E355268"/>
    <w:rsid w:val="7E533BCF"/>
    <w:rsid w:val="7E631258"/>
    <w:rsid w:val="7E745D91"/>
    <w:rsid w:val="7E885398"/>
    <w:rsid w:val="7EAB1087"/>
    <w:rsid w:val="7EC34622"/>
    <w:rsid w:val="7ECF0821"/>
    <w:rsid w:val="7ED7D06B"/>
    <w:rsid w:val="7EE527EB"/>
    <w:rsid w:val="7F1209B2"/>
    <w:rsid w:val="7F126CAF"/>
    <w:rsid w:val="7F315A30"/>
    <w:rsid w:val="7F9049E8"/>
    <w:rsid w:val="7FC43776"/>
    <w:rsid w:val="7FD9195F"/>
    <w:rsid w:val="7FF31B91"/>
    <w:rsid w:val="7FF32CE5"/>
    <w:rsid w:val="9D4B5CFF"/>
    <w:rsid w:val="9FFFA62B"/>
    <w:rsid w:val="B7D3644F"/>
    <w:rsid w:val="BA7B23C6"/>
    <w:rsid w:val="BBFFFE61"/>
    <w:rsid w:val="D9BE7345"/>
    <w:rsid w:val="E5FF89CA"/>
    <w:rsid w:val="EDFF3A25"/>
    <w:rsid w:val="F35BBD89"/>
    <w:rsid w:val="FE734873"/>
    <w:rsid w:val="FEA95A51"/>
    <w:rsid w:val="FF57B9B1"/>
    <w:rsid w:val="FF59A384"/>
    <w:rsid w:val="FFF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hint="eastAsia" w:eastAsia="黑体"/>
      <w:bCs/>
      <w:kern w:val="44"/>
      <w:szCs w:val="48"/>
    </w:rPr>
  </w:style>
  <w:style w:type="paragraph" w:styleId="5">
    <w:name w:val="heading 2"/>
    <w:basedOn w:val="1"/>
    <w:next w:val="1"/>
    <w:qFormat/>
    <w:uiPriority w:val="0"/>
    <w:pPr>
      <w:keepNext/>
      <w:keepLines/>
      <w:outlineLvl w:val="1"/>
    </w:pPr>
    <w:rPr>
      <w:rFonts w:eastAsia="楷体_GB2312"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rFonts w:ascii="Calibri" w:hAnsi="Calibri" w:eastAsia="仿宋_GB2312"/>
      <w:sz w:val="28"/>
    </w:rPr>
  </w:style>
  <w:style w:type="paragraph" w:customStyle="1" w:styleId="3">
    <w:name w:val="BodyText2"/>
    <w:qFormat/>
    <w:uiPriority w:val="0"/>
    <w:pPr>
      <w:widowControl w:val="0"/>
      <w:suppressAutoHyphens/>
      <w:bidi w:val="0"/>
      <w:spacing w:after="120" w:line="480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semiHidden/>
    <w:unhideWhenUsed/>
    <w:qFormat/>
    <w:uiPriority w:val="99"/>
    <w:pPr>
      <w:ind w:firstLine="4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pPr>
      <w:spacing w:after="140" w:line="276" w:lineRule="auto"/>
    </w:pPr>
  </w:style>
  <w:style w:type="paragraph" w:customStyle="1" w:styleId="10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1">
    <w:name w:val="Plain Text"/>
    <w:basedOn w:val="1"/>
    <w:next w:val="1"/>
    <w:qFormat/>
    <w:uiPriority w:val="0"/>
    <w:pPr>
      <w:spacing w:line="592" w:lineRule="exact"/>
      <w:ind w:firstLine="881"/>
    </w:pPr>
    <w:rPr>
      <w:rFonts w:ascii="仿宋_GB2312" w:hAnsi="仿宋_GB2312"/>
      <w:szCs w:val="21"/>
    </w:rPr>
  </w:style>
  <w:style w:type="paragraph" w:styleId="12">
    <w:name w:val="footer"/>
    <w:basedOn w:val="1"/>
    <w:next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index heading"/>
    <w:basedOn w:val="1"/>
    <w:next w:val="15"/>
    <w:qFormat/>
    <w:uiPriority w:val="0"/>
    <w:pPr>
      <w:suppressAutoHyphens/>
    </w:pPr>
    <w:rPr>
      <w:rFonts w:ascii="Arial" w:hAnsi="Arial"/>
      <w:b/>
    </w:rPr>
  </w:style>
  <w:style w:type="paragraph" w:styleId="15">
    <w:name w:val="index 1"/>
    <w:basedOn w:val="1"/>
    <w:next w:val="1"/>
    <w:qFormat/>
    <w:uiPriority w:val="0"/>
    <w:pPr>
      <w:suppressAutoHyphens/>
    </w:pPr>
    <w:rPr>
      <w:rFonts w:ascii="仿宋_GB2312" w:hAnsi="仿宋_GB2312"/>
    </w:rPr>
  </w:style>
  <w:style w:type="paragraph" w:styleId="16">
    <w:name w:val="index 9"/>
    <w:basedOn w:val="1"/>
    <w:next w:val="1"/>
    <w:qFormat/>
    <w:uiPriority w:val="99"/>
    <w:pPr>
      <w:ind w:left="1600" w:leftChars="1600"/>
    </w:p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Emphasis"/>
    <w:basedOn w:val="18"/>
    <w:qFormat/>
    <w:uiPriority w:val="0"/>
    <w:rPr>
      <w:i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3">
    <w:name w:val="页脚 字符"/>
    <w:basedOn w:val="18"/>
    <w:link w:val="12"/>
    <w:qFormat/>
    <w:uiPriority w:val="0"/>
    <w:rPr>
      <w:rFonts w:eastAsia="仿宋_GB2312"/>
      <w:kern w:val="2"/>
      <w:sz w:val="18"/>
      <w:szCs w:val="24"/>
    </w:rPr>
  </w:style>
  <w:style w:type="paragraph" w:customStyle="1" w:styleId="24">
    <w:name w:val="通政办发"/>
    <w:basedOn w:val="1"/>
    <w:qFormat/>
    <w:uiPriority w:val="0"/>
    <w:pPr>
      <w:snapToGrid w:val="0"/>
      <w:spacing w:line="600" w:lineRule="exact"/>
      <w:jc w:val="center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7213</Words>
  <Characters>7299</Characters>
  <Lines>52</Lines>
  <Paragraphs>14</Paragraphs>
  <TotalTime>1</TotalTime>
  <ScaleCrop>false</ScaleCrop>
  <LinksUpToDate>false</LinksUpToDate>
  <CharactersWithSpaces>7299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2024-11-09T01:06:00Z</dcterms:created>
  <dc:creator>GEI</dc:creator>
  <cp:lastModifiedBy>user</cp:lastModifiedBy>
  <cp:lastPrinted>2024-11-15T01:17:00Z</cp:lastPrinted>
  <dcterms:modified xsi:type="dcterms:W3CDTF">2024-12-18T15:19:38Z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E9CF5BA6CA274F39AA57EF92EB887A2A_13</vt:lpwstr>
  </property>
</Properties>
</file>