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20291DCE"/>
    <w:rsid w:val="20320ECE"/>
    <w:rsid w:val="203C6D40"/>
    <w:rsid w:val="207866A7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C8384B"/>
    <w:rsid w:val="49D310E0"/>
    <w:rsid w:val="4B222F02"/>
    <w:rsid w:val="4BFC353A"/>
    <w:rsid w:val="4C486DAE"/>
    <w:rsid w:val="4CD71DA0"/>
    <w:rsid w:val="4CFB26C0"/>
    <w:rsid w:val="4D673B78"/>
    <w:rsid w:val="4D73608C"/>
    <w:rsid w:val="4DE414C1"/>
    <w:rsid w:val="4EF7020E"/>
    <w:rsid w:val="4F3B7EBF"/>
    <w:rsid w:val="4F8B4779"/>
    <w:rsid w:val="50492604"/>
    <w:rsid w:val="51355E94"/>
    <w:rsid w:val="516867E6"/>
    <w:rsid w:val="51A056CA"/>
    <w:rsid w:val="550D21E9"/>
    <w:rsid w:val="553E5415"/>
    <w:rsid w:val="5557338A"/>
    <w:rsid w:val="567231CD"/>
    <w:rsid w:val="578D0486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A2E3D63"/>
    <w:rsid w:val="6A967A77"/>
    <w:rsid w:val="6CBC6878"/>
    <w:rsid w:val="6CD40DBF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105.5</c:v>
                </c:pt>
                <c:pt idx="1" c:formatCode="General">
                  <c:v>176.8</c:v>
                </c:pt>
                <c:pt idx="2" c:formatCode="General">
                  <c:v>239.5</c:v>
                </c:pt>
                <c:pt idx="3" c:formatCode="General">
                  <c:v>308.9</c:v>
                </c:pt>
                <c:pt idx="4" c:formatCode="General">
                  <c:v>389.9</c:v>
                </c:pt>
                <c:pt idx="5" c:formatCode="General">
                  <c:v>472.3</c:v>
                </c:pt>
                <c:pt idx="6" c:formatCode="General">
                  <c:v>556.7</c:v>
                </c:pt>
                <c:pt idx="7">
                  <c:v>657</c:v>
                </c:pt>
                <c:pt idx="8" c:formatCode="General">
                  <c:v>757.3</c:v>
                </c:pt>
                <c:pt idx="9">
                  <c:v>879.6</c:v>
                </c:pt>
                <c:pt idx="10" c:formatCode="General">
                  <c:v>996.7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44310722100657"/>
                  <c:y val="-0.04381263108832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9168490153173"/>
                  <c:y val="-0.03775343742717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66684901531729"/>
                  <c:y val="-0.04521090654859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48741794310722"/>
                  <c:y val="-0.0314611978559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9507658643326"/>
                  <c:y val="-0.04311349335819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44474835886214"/>
                  <c:y val="-0.03798648333721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307713347921225"/>
                  <c:y val="-0.04544395245863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51312910284464"/>
                  <c:y val="-0.034956886506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92341356673961"/>
                  <c:y val="-0.0384525751573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512855579868709"/>
                  <c:y val="-0.04194826380797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84628008752735"/>
                  <c:y val="0.034956886506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9050"/>
          </c:spPr>
          <c:marker>
            <c:symbol val="none"/>
          </c:marker>
          <c:dLbls>
            <c:dLbl>
              <c:idx val="2"/>
              <c:layout>
                <c:manualLayout>
                  <c:x val="-0.0072650952534711"/>
                  <c:y val="0.034013605442176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12782401902497"/>
                  <c:y val="0.097952536063285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68608799048751"/>
                  <c:y val="0.03769194974406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57134363852556"/>
                  <c:y val="0.091670544439274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00653983353151"/>
                  <c:y val="0.09678920428106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787752675386445"/>
                  <c:y val="0.10539785946952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125026907803087"/>
                  <c:y val="0.100724347617888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846620572879921"/>
                  <c:y val="0.026625249611715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846620572879921"/>
                  <c:y val="0.019968937208786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150457892849319"/>
                  <c:y val="0.078820100005590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253986171863976"/>
                  <c:y val="0.083203905036609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87.6</c:v>
                </c:pt>
                <c:pt idx="1">
                  <c:v>137.2</c:v>
                </c:pt>
                <c:pt idx="2">
                  <c:v>175.9</c:v>
                </c:pt>
                <c:pt idx="3">
                  <c:v>218.6</c:v>
                </c:pt>
                <c:pt idx="4">
                  <c:v>269.1</c:v>
                </c:pt>
                <c:pt idx="5">
                  <c:v>307.8</c:v>
                </c:pt>
                <c:pt idx="6">
                  <c:v>349.3</c:v>
                </c:pt>
                <c:pt idx="7">
                  <c:v>394.4</c:v>
                </c:pt>
                <c:pt idx="8">
                  <c:v>443</c:v>
                </c:pt>
                <c:pt idx="9">
                  <c:v>493.9</c:v>
                </c:pt>
                <c:pt idx="10">
                  <c:v>540.6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0.0134198165958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13211845102506"/>
                  <c:y val="-0.01028852605681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106776765375854"/>
                  <c:y val="0.0134198165958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28132118451025"/>
                  <c:y val="-0.020129724893759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Sheet1!$D$19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  <c:pt idx="3">
                  <c:v>55715</c:v>
                </c:pt>
              </c:numCache>
            </c:numRef>
          </c:val>
        </c:ser>
        <c:ser>
          <c:idx val="1"/>
          <c:order val="1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  <c:pt idx="3" c:formatCode="General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57009345794393"/>
                  <c:y val="-0.007093875620714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02647932991084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11.6</c:v>
                </c:pt>
                <c:pt idx="1" c:formatCode="0.0_ ">
                  <c:v>20.4</c:v>
                </c:pt>
                <c:pt idx="2" c:formatCode="0.0_ ">
                  <c:v>34.2</c:v>
                </c:pt>
                <c:pt idx="3">
                  <c:v>45.1</c:v>
                </c:pt>
                <c:pt idx="4">
                  <c:v>50.3</c:v>
                </c:pt>
                <c:pt idx="5">
                  <c:v>60.8</c:v>
                </c:pt>
                <c:pt idx="6" c:formatCode="0.0_ ">
                  <c:v>66.7</c:v>
                </c:pt>
                <c:pt idx="7">
                  <c:v>70.8</c:v>
                </c:pt>
                <c:pt idx="8">
                  <c:v>75.8</c:v>
                </c:pt>
                <c:pt idx="9">
                  <c:v>88.4</c:v>
                </c:pt>
                <c:pt idx="10">
                  <c:v>91.8</c:v>
                </c:pt>
                <c:pt idx="11">
                  <c:v>95.3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05295865982167"/>
                  <c:y val="-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10591731964334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453972257250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202647932991084"/>
                  <c:y val="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0.02648171500630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405295865982167"/>
                  <c:y val="0.01513240857503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0.02269861286254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810591731964334"/>
                  <c:y val="-0.01513240857503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101323966495542"/>
                  <c:y val="0.003783102143757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39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2025-01-23T05:52:28Z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