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colors5.xml" ContentType="application/vnd.ms-office.chartcolorstyle+xml"/>
  <Override PartName="/word/charts/colors6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style5.xml" ContentType="application/vnd.ms-office.chartstyle+xml"/>
  <Override PartName="/word/charts/style6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643120" cy="2724785"/>
            <wp:effectExtent l="0" t="0" r="5080" b="1841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center"/>
        <w:rPr>
          <w:rFonts w:hint="default" w:eastAsia="等线"/>
          <w:sz w:val="28"/>
          <w:szCs w:val="28"/>
          <w:lang w:val="en-US" w:eastAsia="zh-CN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3933190" cy="2800350"/>
            <wp:effectExtent l="0" t="0" r="0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="等线"/>
          <w:sz w:val="28"/>
          <w:szCs w:val="28"/>
          <w:lang w:eastAsia="zh-CN"/>
        </w:rPr>
        <w:drawing>
          <wp:inline distT="0" distB="0" distL="114300" distR="114300">
            <wp:extent cx="4500245" cy="2861945"/>
            <wp:effectExtent l="0" t="0" r="0" b="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60240" cy="2839085"/>
            <wp:effectExtent l="0" t="0" r="16510" b="1841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>
      <w:pPr>
        <w:jc w:val="center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>.</w:t>
      </w: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076700" cy="2685415"/>
            <wp:effectExtent l="0" t="0" r="0" b="635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  <w:r>
        <w:drawing>
          <wp:inline distT="0" distB="0" distL="114300" distR="114300">
            <wp:extent cx="4700270" cy="2517775"/>
            <wp:effectExtent l="0" t="0" r="5080" b="15875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p>
      <w:pPr>
        <w:jc w:val="left"/>
      </w:pPr>
    </w:p>
    <w:p>
      <w:pPr>
        <w:jc w:val="left"/>
        <w:rPr>
          <w:sz w:val="21"/>
          <w:szCs w:val="21"/>
        </w:rPr>
      </w:pPr>
    </w:p>
    <w:p>
      <w:pPr>
        <w:jc w:val="left"/>
      </w:pPr>
    </w:p>
    <w:p>
      <w:pPr>
        <w:jc w:val="center"/>
      </w:pPr>
    </w:p>
    <w:p>
      <w:pPr>
        <w:jc w:val="left"/>
        <w:rPr>
          <w:rFonts w:hint="eastAsia" w:eastAsia="等线"/>
          <w:lang w:eastAsia="zh-CN"/>
        </w:rPr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</w:pP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YTcwMGJlMjU2M2U0MGNlNTZhNTcxN2UzMzNhOTQifQ=="/>
  </w:docVars>
  <w:rsids>
    <w:rsidRoot w:val="000A43DC"/>
    <w:rsid w:val="000135E7"/>
    <w:rsid w:val="00034983"/>
    <w:rsid w:val="000417F9"/>
    <w:rsid w:val="00074EED"/>
    <w:rsid w:val="00076791"/>
    <w:rsid w:val="00087BF8"/>
    <w:rsid w:val="0009699F"/>
    <w:rsid w:val="000A43DC"/>
    <w:rsid w:val="000B7DA1"/>
    <w:rsid w:val="000E2C0A"/>
    <w:rsid w:val="000E504B"/>
    <w:rsid w:val="0012504F"/>
    <w:rsid w:val="00126BD6"/>
    <w:rsid w:val="001836BC"/>
    <w:rsid w:val="001B1222"/>
    <w:rsid w:val="001B1345"/>
    <w:rsid w:val="0022670D"/>
    <w:rsid w:val="00226EF0"/>
    <w:rsid w:val="00230C33"/>
    <w:rsid w:val="00263C92"/>
    <w:rsid w:val="00264984"/>
    <w:rsid w:val="00295A14"/>
    <w:rsid w:val="002B32C4"/>
    <w:rsid w:val="002B5028"/>
    <w:rsid w:val="002F175B"/>
    <w:rsid w:val="0030183B"/>
    <w:rsid w:val="00322649"/>
    <w:rsid w:val="003430E3"/>
    <w:rsid w:val="00372ED5"/>
    <w:rsid w:val="00373537"/>
    <w:rsid w:val="003C6320"/>
    <w:rsid w:val="003D3E6A"/>
    <w:rsid w:val="003F4C86"/>
    <w:rsid w:val="004056EF"/>
    <w:rsid w:val="0043119F"/>
    <w:rsid w:val="00450ABE"/>
    <w:rsid w:val="004568EE"/>
    <w:rsid w:val="004A5BE0"/>
    <w:rsid w:val="004A6FF2"/>
    <w:rsid w:val="004B2648"/>
    <w:rsid w:val="004C2206"/>
    <w:rsid w:val="004C5F27"/>
    <w:rsid w:val="004E5A23"/>
    <w:rsid w:val="00527FF7"/>
    <w:rsid w:val="00531214"/>
    <w:rsid w:val="005415C0"/>
    <w:rsid w:val="0054237A"/>
    <w:rsid w:val="00565E95"/>
    <w:rsid w:val="00572F49"/>
    <w:rsid w:val="00581D7E"/>
    <w:rsid w:val="005B18F1"/>
    <w:rsid w:val="005C4684"/>
    <w:rsid w:val="00613119"/>
    <w:rsid w:val="00613198"/>
    <w:rsid w:val="006229D1"/>
    <w:rsid w:val="006304FA"/>
    <w:rsid w:val="006340F2"/>
    <w:rsid w:val="006342BA"/>
    <w:rsid w:val="0063752E"/>
    <w:rsid w:val="00643B60"/>
    <w:rsid w:val="00676B61"/>
    <w:rsid w:val="00695D9B"/>
    <w:rsid w:val="006968BE"/>
    <w:rsid w:val="006A070A"/>
    <w:rsid w:val="006A315A"/>
    <w:rsid w:val="006B1CA4"/>
    <w:rsid w:val="006B4B99"/>
    <w:rsid w:val="006B5717"/>
    <w:rsid w:val="006F13A6"/>
    <w:rsid w:val="006F6364"/>
    <w:rsid w:val="00701D6F"/>
    <w:rsid w:val="00710895"/>
    <w:rsid w:val="00715F2D"/>
    <w:rsid w:val="00730569"/>
    <w:rsid w:val="00755D31"/>
    <w:rsid w:val="00785BEC"/>
    <w:rsid w:val="007B2270"/>
    <w:rsid w:val="007B5A49"/>
    <w:rsid w:val="007D214F"/>
    <w:rsid w:val="008040B4"/>
    <w:rsid w:val="00832583"/>
    <w:rsid w:val="008433A5"/>
    <w:rsid w:val="00861BA6"/>
    <w:rsid w:val="0086619A"/>
    <w:rsid w:val="0087028E"/>
    <w:rsid w:val="00883B2F"/>
    <w:rsid w:val="00883B52"/>
    <w:rsid w:val="0088602B"/>
    <w:rsid w:val="008A028C"/>
    <w:rsid w:val="008B37F6"/>
    <w:rsid w:val="008C0E58"/>
    <w:rsid w:val="008D4F51"/>
    <w:rsid w:val="008E3650"/>
    <w:rsid w:val="009275CD"/>
    <w:rsid w:val="00945E11"/>
    <w:rsid w:val="00956060"/>
    <w:rsid w:val="00963FE8"/>
    <w:rsid w:val="00983654"/>
    <w:rsid w:val="009B6FAA"/>
    <w:rsid w:val="009C3C30"/>
    <w:rsid w:val="009C77BF"/>
    <w:rsid w:val="00A008E8"/>
    <w:rsid w:val="00A030D8"/>
    <w:rsid w:val="00A10C67"/>
    <w:rsid w:val="00A12464"/>
    <w:rsid w:val="00A36BAE"/>
    <w:rsid w:val="00A60C4C"/>
    <w:rsid w:val="00A61AA5"/>
    <w:rsid w:val="00A71721"/>
    <w:rsid w:val="00A810BF"/>
    <w:rsid w:val="00AB5DDB"/>
    <w:rsid w:val="00AB7CCD"/>
    <w:rsid w:val="00AD3A30"/>
    <w:rsid w:val="00AF50B5"/>
    <w:rsid w:val="00AF7CD2"/>
    <w:rsid w:val="00B45A8D"/>
    <w:rsid w:val="00B723EB"/>
    <w:rsid w:val="00BE24AF"/>
    <w:rsid w:val="00BF1314"/>
    <w:rsid w:val="00C013A5"/>
    <w:rsid w:val="00C45D86"/>
    <w:rsid w:val="00C46A33"/>
    <w:rsid w:val="00C65662"/>
    <w:rsid w:val="00C73B29"/>
    <w:rsid w:val="00C82BB3"/>
    <w:rsid w:val="00C85931"/>
    <w:rsid w:val="00CA7522"/>
    <w:rsid w:val="00D370E3"/>
    <w:rsid w:val="00D4763D"/>
    <w:rsid w:val="00D6610D"/>
    <w:rsid w:val="00DD4122"/>
    <w:rsid w:val="00DD6B6A"/>
    <w:rsid w:val="00DE7579"/>
    <w:rsid w:val="00DF3A88"/>
    <w:rsid w:val="00DF77E9"/>
    <w:rsid w:val="00E10A7B"/>
    <w:rsid w:val="00E432A7"/>
    <w:rsid w:val="00E505DD"/>
    <w:rsid w:val="00E555FC"/>
    <w:rsid w:val="00E657D5"/>
    <w:rsid w:val="00E754A7"/>
    <w:rsid w:val="00EB500F"/>
    <w:rsid w:val="00ED08CC"/>
    <w:rsid w:val="00ED3316"/>
    <w:rsid w:val="00EE4521"/>
    <w:rsid w:val="00EF03A9"/>
    <w:rsid w:val="00EF756A"/>
    <w:rsid w:val="00F33185"/>
    <w:rsid w:val="00F41F94"/>
    <w:rsid w:val="00F509E2"/>
    <w:rsid w:val="00F50B1C"/>
    <w:rsid w:val="00F81B1F"/>
    <w:rsid w:val="00F84764"/>
    <w:rsid w:val="00F92D6E"/>
    <w:rsid w:val="00F96A5A"/>
    <w:rsid w:val="00FB02CF"/>
    <w:rsid w:val="00FB3980"/>
    <w:rsid w:val="00FC0B84"/>
    <w:rsid w:val="00FD4425"/>
    <w:rsid w:val="00FE68B8"/>
    <w:rsid w:val="014545C7"/>
    <w:rsid w:val="022A2E24"/>
    <w:rsid w:val="022E5173"/>
    <w:rsid w:val="025649A5"/>
    <w:rsid w:val="0292339B"/>
    <w:rsid w:val="046A2A3A"/>
    <w:rsid w:val="04763EE5"/>
    <w:rsid w:val="04941628"/>
    <w:rsid w:val="04A57852"/>
    <w:rsid w:val="0553134C"/>
    <w:rsid w:val="06852CA1"/>
    <w:rsid w:val="06A136B9"/>
    <w:rsid w:val="07902BE5"/>
    <w:rsid w:val="07C12FA2"/>
    <w:rsid w:val="080C108F"/>
    <w:rsid w:val="0856750D"/>
    <w:rsid w:val="09315C8F"/>
    <w:rsid w:val="0A341EAF"/>
    <w:rsid w:val="0A60637E"/>
    <w:rsid w:val="0A620AA0"/>
    <w:rsid w:val="0A7D57DC"/>
    <w:rsid w:val="0B9257DC"/>
    <w:rsid w:val="0C7071D1"/>
    <w:rsid w:val="0ED202B1"/>
    <w:rsid w:val="0EFD2620"/>
    <w:rsid w:val="0F4E1845"/>
    <w:rsid w:val="0F853FF2"/>
    <w:rsid w:val="10093DA5"/>
    <w:rsid w:val="101210C7"/>
    <w:rsid w:val="10BA3D2C"/>
    <w:rsid w:val="111E587A"/>
    <w:rsid w:val="116326B4"/>
    <w:rsid w:val="11904057"/>
    <w:rsid w:val="11F560A5"/>
    <w:rsid w:val="12F952F5"/>
    <w:rsid w:val="1433222A"/>
    <w:rsid w:val="14BC0B84"/>
    <w:rsid w:val="150222E5"/>
    <w:rsid w:val="1509518E"/>
    <w:rsid w:val="15691286"/>
    <w:rsid w:val="15F65D9C"/>
    <w:rsid w:val="175B7696"/>
    <w:rsid w:val="179A3525"/>
    <w:rsid w:val="183B3728"/>
    <w:rsid w:val="19594902"/>
    <w:rsid w:val="1A6730C3"/>
    <w:rsid w:val="1B9E2D48"/>
    <w:rsid w:val="1D887195"/>
    <w:rsid w:val="1DC40A44"/>
    <w:rsid w:val="1EBD29E4"/>
    <w:rsid w:val="1F110DE9"/>
    <w:rsid w:val="20291DCE"/>
    <w:rsid w:val="20320ECE"/>
    <w:rsid w:val="203C6D40"/>
    <w:rsid w:val="207866A7"/>
    <w:rsid w:val="21380090"/>
    <w:rsid w:val="220666F6"/>
    <w:rsid w:val="22DA21F5"/>
    <w:rsid w:val="22DB32CE"/>
    <w:rsid w:val="23435939"/>
    <w:rsid w:val="23483364"/>
    <w:rsid w:val="24C51723"/>
    <w:rsid w:val="24D301A8"/>
    <w:rsid w:val="253B7AD9"/>
    <w:rsid w:val="25A4135B"/>
    <w:rsid w:val="25BC52A4"/>
    <w:rsid w:val="2605477F"/>
    <w:rsid w:val="270B6413"/>
    <w:rsid w:val="27716887"/>
    <w:rsid w:val="27A24E6D"/>
    <w:rsid w:val="281021BF"/>
    <w:rsid w:val="28AE4C74"/>
    <w:rsid w:val="295C2DFA"/>
    <w:rsid w:val="29D932AC"/>
    <w:rsid w:val="2A7725E1"/>
    <w:rsid w:val="2A8152CE"/>
    <w:rsid w:val="2AF05EF0"/>
    <w:rsid w:val="2BC41F18"/>
    <w:rsid w:val="2BE772F2"/>
    <w:rsid w:val="2C7A5B1E"/>
    <w:rsid w:val="2D2055F4"/>
    <w:rsid w:val="2DD27272"/>
    <w:rsid w:val="2DDC5888"/>
    <w:rsid w:val="2EE50BEB"/>
    <w:rsid w:val="2EFF1945"/>
    <w:rsid w:val="31AB417C"/>
    <w:rsid w:val="330D68FA"/>
    <w:rsid w:val="34271086"/>
    <w:rsid w:val="348D3665"/>
    <w:rsid w:val="356C62E3"/>
    <w:rsid w:val="36A119FB"/>
    <w:rsid w:val="37196326"/>
    <w:rsid w:val="379C259E"/>
    <w:rsid w:val="37A87DA9"/>
    <w:rsid w:val="39853F9F"/>
    <w:rsid w:val="3AA83779"/>
    <w:rsid w:val="3B0954D1"/>
    <w:rsid w:val="3B5A188F"/>
    <w:rsid w:val="3CFD5A3B"/>
    <w:rsid w:val="3DBD3597"/>
    <w:rsid w:val="3DF87614"/>
    <w:rsid w:val="3E1D47C5"/>
    <w:rsid w:val="3E55136B"/>
    <w:rsid w:val="3E5D3D11"/>
    <w:rsid w:val="400E0809"/>
    <w:rsid w:val="405E5422"/>
    <w:rsid w:val="4092099C"/>
    <w:rsid w:val="40F969C5"/>
    <w:rsid w:val="4151103E"/>
    <w:rsid w:val="41BB2D74"/>
    <w:rsid w:val="447D1FF7"/>
    <w:rsid w:val="459E2E2D"/>
    <w:rsid w:val="45AC16F1"/>
    <w:rsid w:val="46624EAD"/>
    <w:rsid w:val="46F52C78"/>
    <w:rsid w:val="47CC5D51"/>
    <w:rsid w:val="48C8384B"/>
    <w:rsid w:val="49D310E0"/>
    <w:rsid w:val="4B222F02"/>
    <w:rsid w:val="4BFC353A"/>
    <w:rsid w:val="4C486DAE"/>
    <w:rsid w:val="4CD71DA0"/>
    <w:rsid w:val="4CFB26C0"/>
    <w:rsid w:val="4D673B78"/>
    <w:rsid w:val="4D73608C"/>
    <w:rsid w:val="4DE414C1"/>
    <w:rsid w:val="4EF7020E"/>
    <w:rsid w:val="4F3B7EBF"/>
    <w:rsid w:val="4F8B4779"/>
    <w:rsid w:val="50492604"/>
    <w:rsid w:val="51355E94"/>
    <w:rsid w:val="516867E6"/>
    <w:rsid w:val="51A056CA"/>
    <w:rsid w:val="550D21E9"/>
    <w:rsid w:val="553E5415"/>
    <w:rsid w:val="5557338A"/>
    <w:rsid w:val="567231CD"/>
    <w:rsid w:val="578D0486"/>
    <w:rsid w:val="57A0051F"/>
    <w:rsid w:val="583F4939"/>
    <w:rsid w:val="58FA1B64"/>
    <w:rsid w:val="59417793"/>
    <w:rsid w:val="596C12DB"/>
    <w:rsid w:val="598A0AE0"/>
    <w:rsid w:val="599C4DA1"/>
    <w:rsid w:val="59B87950"/>
    <w:rsid w:val="59E16894"/>
    <w:rsid w:val="5A8A4574"/>
    <w:rsid w:val="5B825349"/>
    <w:rsid w:val="5D1C654D"/>
    <w:rsid w:val="5D780ABD"/>
    <w:rsid w:val="5DA23000"/>
    <w:rsid w:val="5DA828D6"/>
    <w:rsid w:val="5DB372EA"/>
    <w:rsid w:val="5E087FFD"/>
    <w:rsid w:val="5E4E45F0"/>
    <w:rsid w:val="5E941E66"/>
    <w:rsid w:val="5E9535C5"/>
    <w:rsid w:val="5EA80F26"/>
    <w:rsid w:val="5EE949D8"/>
    <w:rsid w:val="5EF32B74"/>
    <w:rsid w:val="608B7025"/>
    <w:rsid w:val="625473BB"/>
    <w:rsid w:val="62BC7575"/>
    <w:rsid w:val="62C07E61"/>
    <w:rsid w:val="63A07E28"/>
    <w:rsid w:val="648B248A"/>
    <w:rsid w:val="6528013E"/>
    <w:rsid w:val="657F0D27"/>
    <w:rsid w:val="66DC5F5F"/>
    <w:rsid w:val="67D02E98"/>
    <w:rsid w:val="68A25C7C"/>
    <w:rsid w:val="69CA6506"/>
    <w:rsid w:val="6A2E3D63"/>
    <w:rsid w:val="6A967A77"/>
    <w:rsid w:val="6CBC6878"/>
    <w:rsid w:val="6CD40DBF"/>
    <w:rsid w:val="6E804461"/>
    <w:rsid w:val="71775AB0"/>
    <w:rsid w:val="72195ED6"/>
    <w:rsid w:val="72A41658"/>
    <w:rsid w:val="72FC49FE"/>
    <w:rsid w:val="734B0AAB"/>
    <w:rsid w:val="73E15A39"/>
    <w:rsid w:val="750F25EE"/>
    <w:rsid w:val="75125EDB"/>
    <w:rsid w:val="7599445F"/>
    <w:rsid w:val="75F47512"/>
    <w:rsid w:val="765E328F"/>
    <w:rsid w:val="769F2138"/>
    <w:rsid w:val="77090698"/>
    <w:rsid w:val="77610BA7"/>
    <w:rsid w:val="77BF7EE1"/>
    <w:rsid w:val="77C8635A"/>
    <w:rsid w:val="78520E0E"/>
    <w:rsid w:val="790A567E"/>
    <w:rsid w:val="7AD258DE"/>
    <w:rsid w:val="7C9F25F3"/>
    <w:rsid w:val="7D081745"/>
    <w:rsid w:val="7D945CD3"/>
    <w:rsid w:val="7E3E411D"/>
    <w:rsid w:val="7E474901"/>
    <w:rsid w:val="7EE95410"/>
    <w:rsid w:val="7F1D2D77"/>
    <w:rsid w:val="7F51623B"/>
    <w:rsid w:val="7FE42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ColorStyle" Target="colors3.xml"/><Relationship Id="rId2" Type="http://schemas.microsoft.com/office/2011/relationships/chartStyle" Target="style3.xml"/><Relationship Id="rId1" Type="http://schemas.openxmlformats.org/officeDocument/2006/relationships/package" Target="../embeddings/Workbook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ColorStyle" Target="colors4.xml"/><Relationship Id="rId2" Type="http://schemas.microsoft.com/office/2011/relationships/chartStyle" Target="style4.xml"/><Relationship Id="rId1" Type="http://schemas.openxmlformats.org/officeDocument/2006/relationships/package" Target="../embeddings/Workbook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ColorStyle" Target="colors5.xml"/><Relationship Id="rId2" Type="http://schemas.microsoft.com/office/2011/relationships/chartStyle" Target="style5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5.&#20840;&#21306;&#23621;&#27665;&#20154;&#22343;&#21487;&#25903;&#37197;&#25910;&#20837;&#21450;&#22686;&#36895;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ColorStyle" Target="colors6.xml"/><Relationship Id="rId2" Type="http://schemas.microsoft.com/office/2011/relationships/chartStyle" Target="style6.xml"/><Relationship Id="rId1" Type="http://schemas.openxmlformats.org/officeDocument/2006/relationships/oleObject" Target="file:///D:\E&#65306;&#33539;&#33539;&#30340;&#24037;&#20316;&#30424;\&#24180;&#37492;&#12289;&#26376;&#21002;&#12289;&#27178;&#21521;&#21450;&#21508;&#31181;&#25991;&#20214;\&#26376;&#21002;\2022&#24180;&#26376;&#21002;&#21644;&#25968;&#25454;&#21457;&#24067;\2022&#24180;&#26376;&#21002;&#21360;&#21047;&#29256;\&#26376;&#21002;&#22270;&#34920;\6.&#19968;&#33324;&#20844;&#20849;&#39044;&#31639;&#25910;&#20837;&#65288;&#32047;&#35745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5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50" b="1"/>
              <a:t>规模以上工业总产值（累计）</a:t>
            </a:r>
            <a:endParaRPr sz="105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2024年(亿元）</c:v>
                </c:pt>
              </c:strCache>
            </c:strRef>
          </c:tx>
          <c:spPr>
            <a:gradFill>
              <a:gsLst>
                <a:gs pos="0">
                  <a:srgbClr val="E30000"/>
                </a:gs>
                <a:gs pos="100000">
                  <a:srgbClr val="760303"/>
                </a:gs>
              </a:gsLst>
              <a:lin ang="10800000" scaled="0"/>
            </a:gra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0"/>
                  <c:y val="0.01110836830412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0.017478443253320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738512035010941"/>
                  <c:y val="0.0074574691214169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00820568927789934"/>
                  <c:y val="-0.031461197855977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105.5</c:v>
                </c:pt>
                <c:pt idx="1" c:formatCode="General">
                  <c:v>176.8</c:v>
                </c:pt>
                <c:pt idx="2" c:formatCode="General">
                  <c:v>239.5</c:v>
                </c:pt>
                <c:pt idx="3" c:formatCode="General">
                  <c:v>308.9</c:v>
                </c:pt>
                <c:pt idx="4" c:formatCode="General">
                  <c:v>389.9</c:v>
                </c:pt>
                <c:pt idx="5" c:formatCode="General">
                  <c:v>472.3</c:v>
                </c:pt>
                <c:pt idx="6" c:formatCode="General">
                  <c:v>556.7</c:v>
                </c:pt>
                <c:pt idx="7">
                  <c:v>657</c:v>
                </c:pt>
                <c:pt idx="8" c:formatCode="General">
                  <c:v>757.3</c:v>
                </c:pt>
                <c:pt idx="9">
                  <c:v>879.6</c:v>
                </c:pt>
                <c:pt idx="10" c:formatCode="General">
                  <c:v>996.7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42275346"/>
        <c:axId val="309986865"/>
      </c:barChart>
      <c:lineChart>
        <c:grouping val="standard"/>
        <c:varyColors val="0"/>
        <c:ser>
          <c:idx val="2"/>
          <c:order val="1"/>
          <c:tx>
            <c:strRef>
              <c:f>Sheet1!$C$1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-4.8</c:v>
                </c:pt>
                <c:pt idx="1">
                  <c:v>-3</c:v>
                </c:pt>
                <c:pt idx="2">
                  <c:v>-5.8</c:v>
                </c:pt>
                <c:pt idx="3">
                  <c:v>-8.5</c:v>
                </c:pt>
                <c:pt idx="4">
                  <c:v>-9.7</c:v>
                </c:pt>
                <c:pt idx="5">
                  <c:v>-9.2</c:v>
                </c:pt>
                <c:pt idx="6">
                  <c:v>-9</c:v>
                </c:pt>
                <c:pt idx="7">
                  <c:v>-7.5</c:v>
                </c:pt>
                <c:pt idx="8">
                  <c:v>-6.4</c:v>
                </c:pt>
                <c:pt idx="9" c:formatCode="General">
                  <c:v>-6.6</c:v>
                </c:pt>
                <c:pt idx="10">
                  <c:v>-8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Sheet1!$D$1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bg1">
                  <a:lumMod val="65000"/>
                </a:schemeClr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38.1</c:v>
                </c:pt>
                <c:pt idx="1">
                  <c:v>31.6</c:v>
                </c:pt>
                <c:pt idx="2">
                  <c:v>22.4</c:v>
                </c:pt>
                <c:pt idx="3">
                  <c:v>20.7</c:v>
                </c:pt>
                <c:pt idx="4">
                  <c:v>17.9</c:v>
                </c:pt>
                <c:pt idx="5" c:formatCode="0.0_ ">
                  <c:v>15</c:v>
                </c:pt>
                <c:pt idx="6">
                  <c:v>13.6</c:v>
                </c:pt>
                <c:pt idx="7">
                  <c:v>9.9</c:v>
                </c:pt>
                <c:pt idx="8">
                  <c:v>6.5</c:v>
                </c:pt>
                <c:pt idx="9">
                  <c:v>5.4</c:v>
                </c:pt>
                <c:pt idx="10">
                  <c:v>4.7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-8.6</c:v>
                </c:pt>
                <c:pt idx="1">
                  <c:v>-3.1</c:v>
                </c:pt>
                <c:pt idx="2">
                  <c:v>-0.2</c:v>
                </c:pt>
                <c:pt idx="3">
                  <c:v>2.9</c:v>
                </c:pt>
                <c:pt idx="4">
                  <c:v>3.7</c:v>
                </c:pt>
                <c:pt idx="5">
                  <c:v>3.4</c:v>
                </c:pt>
                <c:pt idx="6">
                  <c:v>2.6</c:v>
                </c:pt>
                <c:pt idx="7">
                  <c:v>1.6</c:v>
                </c:pt>
                <c:pt idx="8">
                  <c:v>1.8</c:v>
                </c:pt>
                <c:pt idx="9">
                  <c:v>1.5</c:v>
                </c:pt>
                <c:pt idx="10">
                  <c:v>2.1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544310722100657"/>
                  <c:y val="-0.043812631088324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339168490153173"/>
                  <c:y val="-0.037753437427173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266684901531729"/>
                  <c:y val="-0.045210906548590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348741794310722"/>
                  <c:y val="-0.03146119785597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49507658643326"/>
                  <c:y val="-0.043113493358191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444474835886214"/>
                  <c:y val="-0.037986483337217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307713347921225"/>
                  <c:y val="-0.045443952458634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451312910284464"/>
                  <c:y val="-0.03495688650664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492341356673961"/>
                  <c:y val="-0.03845257515730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0512855579868709"/>
                  <c:y val="-0.041948263807970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0184628008752735"/>
                  <c:y val="0.034956886506641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15.1</c:v>
                </c:pt>
                <c:pt idx="1">
                  <c:v>17.8</c:v>
                </c:pt>
                <c:pt idx="2">
                  <c:v>18.8</c:v>
                </c:pt>
                <c:pt idx="3">
                  <c:v>21.1</c:v>
                </c:pt>
                <c:pt idx="4">
                  <c:v>25.4</c:v>
                </c:pt>
                <c:pt idx="5" c:formatCode="0.0_ ">
                  <c:v>30</c:v>
                </c:pt>
                <c:pt idx="6">
                  <c:v>33.2</c:v>
                </c:pt>
                <c:pt idx="7">
                  <c:v>37.2</c:v>
                </c:pt>
                <c:pt idx="8">
                  <c:v>42.3</c:v>
                </c:pt>
                <c:pt idx="9">
                  <c:v>48.9</c:v>
                </c:pt>
                <c:pt idx="10">
                  <c:v>52.9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54962187"/>
        <c:axId val="764244050"/>
      </c:lineChart>
      <c:catAx>
        <c:axId val="14227534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309986865"/>
        <c:crosses val="autoZero"/>
        <c:auto val="1"/>
        <c:lblAlgn val="ctr"/>
        <c:lblOffset val="100"/>
        <c:noMultiLvlLbl val="0"/>
      </c:catAx>
      <c:valAx>
        <c:axId val="309986865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42275346"/>
        <c:crosses val="autoZero"/>
        <c:crossBetween val="between"/>
      </c:valAx>
      <c:catAx>
        <c:axId val="454962187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64244050"/>
        <c:crosses val="autoZero"/>
        <c:auto val="1"/>
        <c:lblAlgn val="ctr"/>
        <c:lblOffset val="100"/>
        <c:noMultiLvlLbl val="0"/>
      </c:catAx>
      <c:valAx>
        <c:axId val="764244050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4962187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固定资产投资（不含农户）增速（累计同比）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lg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10.5</c:v>
                </c:pt>
                <c:pt idx="1">
                  <c:v>2.5</c:v>
                </c:pt>
                <c:pt idx="2" c:formatCode="0.0_ ">
                  <c:v>-5</c:v>
                </c:pt>
                <c:pt idx="3">
                  <c:v>-8.1</c:v>
                </c:pt>
                <c:pt idx="4">
                  <c:v>1.8</c:v>
                </c:pt>
                <c:pt idx="5">
                  <c:v>6.1</c:v>
                </c:pt>
                <c:pt idx="6">
                  <c:v>9.8</c:v>
                </c:pt>
                <c:pt idx="7">
                  <c:v>6.2</c:v>
                </c:pt>
                <c:pt idx="8">
                  <c:v>3.5</c:v>
                </c:pt>
                <c:pt idx="9">
                  <c:v>-1.4</c:v>
                </c:pt>
                <c:pt idx="10">
                  <c:v>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chemeClr val="accent2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39</c:v>
                </c:pt>
                <c:pt idx="1" c:formatCode="General">
                  <c:v>23.7</c:v>
                </c:pt>
                <c:pt idx="2" c:formatCode="General">
                  <c:v>11.3</c:v>
                </c:pt>
                <c:pt idx="3" c:formatCode="General">
                  <c:v>0.4</c:v>
                </c:pt>
                <c:pt idx="4">
                  <c:v>9</c:v>
                </c:pt>
                <c:pt idx="5" c:formatCode="General">
                  <c:v>-1.9</c:v>
                </c:pt>
                <c:pt idx="6" c:formatCode="General">
                  <c:v>-8.5</c:v>
                </c:pt>
                <c:pt idx="7" c:formatCode="General">
                  <c:v>-3.8</c:v>
                </c:pt>
                <c:pt idx="8" c:formatCode="General">
                  <c:v>-2.7</c:v>
                </c:pt>
                <c:pt idx="9" c:formatCode="General">
                  <c:v>-4.7</c:v>
                </c:pt>
                <c:pt idx="10" c:formatCode="General">
                  <c:v>-2.6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2020年增速（%）</c:v>
                </c:pt>
              </c:strCache>
            </c:strRef>
          </c:tx>
          <c:spPr>
            <a:ln w="12700" cap="rnd" cmpd="sng">
              <a:solidFill>
                <a:schemeClr val="accent3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General</c:formatCode>
                <c:ptCount val="11"/>
                <c:pt idx="0">
                  <c:v>-8.1</c:v>
                </c:pt>
                <c:pt idx="1">
                  <c:v>0.3</c:v>
                </c:pt>
                <c:pt idx="2">
                  <c:v>1.4</c:v>
                </c:pt>
                <c:pt idx="3">
                  <c:v>9.5</c:v>
                </c:pt>
                <c:pt idx="4">
                  <c:v>0.9</c:v>
                </c:pt>
                <c:pt idx="5">
                  <c:v>5.6</c:v>
                </c:pt>
                <c:pt idx="6">
                  <c:v>9.4</c:v>
                </c:pt>
                <c:pt idx="7">
                  <c:v>10.1</c:v>
                </c:pt>
                <c:pt idx="8">
                  <c:v>11.4</c:v>
                </c:pt>
                <c:pt idx="9">
                  <c:v>12.7</c:v>
                </c:pt>
                <c:pt idx="10">
                  <c:v>8.7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0.7</c:v>
                </c:pt>
                <c:pt idx="1">
                  <c:v>11.6</c:v>
                </c:pt>
                <c:pt idx="2">
                  <c:v>7.7</c:v>
                </c:pt>
                <c:pt idx="3">
                  <c:v>7.8</c:v>
                </c:pt>
                <c:pt idx="4">
                  <c:v>-3.5</c:v>
                </c:pt>
                <c:pt idx="5">
                  <c:v>-8.9</c:v>
                </c:pt>
                <c:pt idx="6">
                  <c:v>-13.4</c:v>
                </c:pt>
                <c:pt idx="7">
                  <c:v>-7.2</c:v>
                </c:pt>
                <c:pt idx="8">
                  <c:v>-7.2</c:v>
                </c:pt>
                <c:pt idx="9" c:formatCode="0.0_ ">
                  <c:v>-1</c:v>
                </c:pt>
                <c:pt idx="10">
                  <c:v>-0.5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9050" cap="flat" cmpd="sng">
              <a:solidFill>
                <a:srgbClr val="FFC000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9050"/>
          </c:spPr>
          <c:marker>
            <c:symbol val="none"/>
          </c:marker>
          <c:dLbls>
            <c:dLbl>
              <c:idx val="2"/>
              <c:layout>
                <c:manualLayout>
                  <c:x val="-0.0072650952534711"/>
                  <c:y val="0.0340136054421769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9.6</c:v>
                </c:pt>
                <c:pt idx="1" c:formatCode="0.0_ ">
                  <c:v>4</c:v>
                </c:pt>
                <c:pt idx="2">
                  <c:v>3.7</c:v>
                </c:pt>
                <c:pt idx="3">
                  <c:v>1.8</c:v>
                </c:pt>
                <c:pt idx="4">
                  <c:v>1.9</c:v>
                </c:pt>
                <c:pt idx="5">
                  <c:v>2.8</c:v>
                </c:pt>
                <c:pt idx="6">
                  <c:v>5.2</c:v>
                </c:pt>
                <c:pt idx="7">
                  <c:v>4.3</c:v>
                </c:pt>
                <c:pt idx="8">
                  <c:v>2.9</c:v>
                </c:pt>
                <c:pt idx="9" c:formatCode="0.0_ ">
                  <c:v>4</c:v>
                </c:pt>
                <c:pt idx="10" c:formatCode="0.0_ 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建安投资增速（累计同比）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FFC000"/>
              </a:solidFill>
              <a:prstDash val="solid"/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-11.9</c:v>
                </c:pt>
                <c:pt idx="1">
                  <c:v>2</c:v>
                </c:pt>
                <c:pt idx="2">
                  <c:v>-5.6</c:v>
                </c:pt>
                <c:pt idx="3">
                  <c:v>-1.4</c:v>
                </c:pt>
                <c:pt idx="4">
                  <c:v>6.3</c:v>
                </c:pt>
                <c:pt idx="5">
                  <c:v>12.8</c:v>
                </c:pt>
                <c:pt idx="6">
                  <c:v>17.3</c:v>
                </c:pt>
                <c:pt idx="7">
                  <c:v>18.5</c:v>
                </c:pt>
                <c:pt idx="8">
                  <c:v>16.9</c:v>
                </c:pt>
                <c:pt idx="9">
                  <c:v>13.9</c:v>
                </c:pt>
                <c:pt idx="10">
                  <c:v>17.1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0.0_ </c:formatCode>
                <c:ptCount val="11"/>
                <c:pt idx="0">
                  <c:v>6.3</c:v>
                </c:pt>
                <c:pt idx="1">
                  <c:v>8</c:v>
                </c:pt>
                <c:pt idx="2">
                  <c:v>9.8</c:v>
                </c:pt>
                <c:pt idx="3">
                  <c:v>0.1</c:v>
                </c:pt>
                <c:pt idx="4">
                  <c:v>0.4</c:v>
                </c:pt>
                <c:pt idx="5">
                  <c:v>-6.2</c:v>
                </c:pt>
                <c:pt idx="6">
                  <c:v>-10</c:v>
                </c:pt>
                <c:pt idx="7">
                  <c:v>-10.3</c:v>
                </c:pt>
                <c:pt idx="8">
                  <c:v>-11.4</c:v>
                </c:pt>
                <c:pt idx="9">
                  <c:v>-12.8</c:v>
                </c:pt>
                <c:pt idx="10">
                  <c:v>-16.4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2020年增速（%）</c:v>
                </c:pt>
              </c:strCache>
            </c:strRef>
          </c:tx>
          <c:spPr>
            <a:ln w="12700" cap="rnd" cmpd="sng">
              <a:solidFill>
                <a:srgbClr val="C0000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21.4</c:v>
                </c:pt>
                <c:pt idx="1">
                  <c:v>3.7</c:v>
                </c:pt>
                <c:pt idx="2">
                  <c:v>-8.8</c:v>
                </c:pt>
                <c:pt idx="3">
                  <c:v>-5.2</c:v>
                </c:pt>
                <c:pt idx="4">
                  <c:v>2.4</c:v>
                </c:pt>
                <c:pt idx="5">
                  <c:v>0.3</c:v>
                </c:pt>
                <c:pt idx="6">
                  <c:v>-1.2</c:v>
                </c:pt>
                <c:pt idx="7">
                  <c:v>1.4</c:v>
                </c:pt>
                <c:pt idx="8">
                  <c:v>3.4</c:v>
                </c:pt>
                <c:pt idx="9">
                  <c:v>2.3</c:v>
                </c:pt>
                <c:pt idx="10">
                  <c:v>5.6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srgbClr val="7030A0">
                  <a:alpha val="40000"/>
                </a:srgb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General</c:formatCode>
                <c:ptCount val="11"/>
                <c:pt idx="0">
                  <c:v>1.9</c:v>
                </c:pt>
                <c:pt idx="1">
                  <c:v>14.2</c:v>
                </c:pt>
                <c:pt idx="2">
                  <c:v>11.9</c:v>
                </c:pt>
                <c:pt idx="3">
                  <c:v>9.4</c:v>
                </c:pt>
                <c:pt idx="4">
                  <c:v>-2.2</c:v>
                </c:pt>
                <c:pt idx="5">
                  <c:v>-6.1</c:v>
                </c:pt>
                <c:pt idx="6">
                  <c:v>-8.4</c:v>
                </c:pt>
                <c:pt idx="7">
                  <c:v>-4.5</c:v>
                </c:pt>
                <c:pt idx="8">
                  <c:v>-7.3</c:v>
                </c:pt>
                <c:pt idx="9">
                  <c:v>-6.8</c:v>
                </c:pt>
                <c:pt idx="10">
                  <c:v>-8.8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chemeClr val="accent5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12782401902497"/>
                  <c:y val="0.0979525360632852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368608799048751"/>
                  <c:y val="0.03769194974406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257134363852556"/>
                  <c:y val="0.091670544439274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200653983353151"/>
                  <c:y val="0.09678920428106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0787752675386445"/>
                  <c:y val="0.10539785946952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125026907803087"/>
                  <c:y val="0.100724347617888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846620572879921"/>
                  <c:y val="0.0266252496117151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0846620572879921"/>
                  <c:y val="0.0199689372087863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150457892849319"/>
                  <c:y val="0.0788201000055904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.0253986171863976"/>
                  <c:y val="0.0832039050366097"/>
                </c:manualLayout>
              </c:layout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General</c:formatCode>
                <c:ptCount val="11"/>
                <c:pt idx="0">
                  <c:v>14.4</c:v>
                </c:pt>
                <c:pt idx="1">
                  <c:v>2.6</c:v>
                </c:pt>
                <c:pt idx="2">
                  <c:v>-4.2</c:v>
                </c:pt>
                <c:pt idx="3">
                  <c:v>-9.3</c:v>
                </c:pt>
                <c:pt idx="4">
                  <c:v>-11.7</c:v>
                </c:pt>
                <c:pt idx="5">
                  <c:v>-12.4</c:v>
                </c:pt>
                <c:pt idx="6">
                  <c:v>-12.6</c:v>
                </c:pt>
                <c:pt idx="7">
                  <c:v>-15.4</c:v>
                </c:pt>
                <c:pt idx="8">
                  <c:v>-14.5</c:v>
                </c:pt>
                <c:pt idx="9">
                  <c:v>-8.9</c:v>
                </c:pt>
                <c:pt idx="10">
                  <c:v>-5.4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93066401"/>
        <c:axId val="843232647"/>
      </c:lineChart>
      <c:catAx>
        <c:axId val="593066401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3232647"/>
        <c:crosses val="autoZero"/>
        <c:auto val="1"/>
        <c:lblAlgn val="ctr"/>
        <c:lblOffset val="100"/>
        <c:noMultiLvlLbl val="0"/>
      </c:catAx>
      <c:valAx>
        <c:axId val="843232647"/>
        <c:scaling>
          <c:orientation val="minMax"/>
        </c:scaling>
        <c:delete val="0"/>
        <c:axPos val="l"/>
        <c:numFmt formatCode="0.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9306640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社会消费品零售总额（累计）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766799544419134"/>
          <c:y val="0.149854618653545"/>
          <c:w val="0.851765375854214"/>
          <c:h val="0.574904942965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2024年（亿元）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Sheet1!$B$2:$B$12</c:f>
              <c:numCache>
                <c:formatCode>0.0_ </c:formatCode>
                <c:ptCount val="11"/>
                <c:pt idx="0">
                  <c:v>87.6</c:v>
                </c:pt>
                <c:pt idx="1">
                  <c:v>137.2</c:v>
                </c:pt>
                <c:pt idx="2">
                  <c:v>175.9</c:v>
                </c:pt>
                <c:pt idx="3">
                  <c:v>218.6</c:v>
                </c:pt>
                <c:pt idx="4">
                  <c:v>269.1</c:v>
                </c:pt>
                <c:pt idx="5">
                  <c:v>307.8</c:v>
                </c:pt>
                <c:pt idx="6">
                  <c:v>349.3</c:v>
                </c:pt>
                <c:pt idx="7">
                  <c:v>394.4</c:v>
                </c:pt>
                <c:pt idx="8">
                  <c:v>443</c:v>
                </c:pt>
                <c:pt idx="9">
                  <c:v>493.9</c:v>
                </c:pt>
                <c:pt idx="10">
                  <c:v>540.6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8"/>
        <c:overlap val="10"/>
        <c:axId val="732903777"/>
        <c:axId val="853756604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00B0F0"/>
              </a:solidFill>
              <a:prstDash val="solid"/>
              <a:round/>
              <a:headEnd type="none" w="sm" len="sm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Sheet1!$C$2:$C$12</c:f>
              <c:numCache>
                <c:formatCode>General</c:formatCode>
                <c:ptCount val="11"/>
                <c:pt idx="0">
                  <c:v>-4.3</c:v>
                </c:pt>
                <c:pt idx="1">
                  <c:v>0.9</c:v>
                </c:pt>
                <c:pt idx="2">
                  <c:v>2.2</c:v>
                </c:pt>
                <c:pt idx="3">
                  <c:v>4.7</c:v>
                </c:pt>
                <c:pt idx="4">
                  <c:v>3.2</c:v>
                </c:pt>
                <c:pt idx="5">
                  <c:v>1.5</c:v>
                </c:pt>
                <c:pt idx="6">
                  <c:v>1.6</c:v>
                </c:pt>
                <c:pt idx="7">
                  <c:v>1.2</c:v>
                </c:pt>
                <c:pt idx="8" c:formatCode="0.0_ ">
                  <c:v>2</c:v>
                </c:pt>
                <c:pt idx="9" c:formatCode="0.0_ ">
                  <c:v>3.8</c:v>
                </c:pt>
                <c:pt idx="10" c:formatCode="0.0_ ">
                  <c:v>4.4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12700" cap="rnd" cmpd="sng">
              <a:solidFill>
                <a:srgbClr val="7030A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Sheet1!$D$2:$D$12</c:f>
              <c:numCache>
                <c:formatCode>0.0_ </c:formatCode>
                <c:ptCount val="11"/>
                <c:pt idx="0">
                  <c:v>3.2</c:v>
                </c:pt>
                <c:pt idx="1">
                  <c:v>3.8</c:v>
                </c:pt>
                <c:pt idx="2">
                  <c:v>-1.7</c:v>
                </c:pt>
                <c:pt idx="3">
                  <c:v>-5.7</c:v>
                </c:pt>
                <c:pt idx="4">
                  <c:v>-5</c:v>
                </c:pt>
                <c:pt idx="5">
                  <c:v>-3.7</c:v>
                </c:pt>
                <c:pt idx="6">
                  <c:v>-2.8</c:v>
                </c:pt>
                <c:pt idx="7">
                  <c:v>-1.2</c:v>
                </c:pt>
                <c:pt idx="8">
                  <c:v>-1.5</c:v>
                </c:pt>
                <c:pt idx="9">
                  <c:v>-3.2</c:v>
                </c:pt>
                <c:pt idx="10">
                  <c:v>-4.2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Sheet1!$E$2:$E$12</c:f>
              <c:numCache>
                <c:formatCode>0.0_ </c:formatCode>
                <c:ptCount val="11"/>
                <c:pt idx="0">
                  <c:v>19.7</c:v>
                </c:pt>
                <c:pt idx="1">
                  <c:v>24.7</c:v>
                </c:pt>
                <c:pt idx="2">
                  <c:v>22.5</c:v>
                </c:pt>
                <c:pt idx="3">
                  <c:v>17.9</c:v>
                </c:pt>
                <c:pt idx="4">
                  <c:v>15.4</c:v>
                </c:pt>
                <c:pt idx="5">
                  <c:v>14.3</c:v>
                </c:pt>
                <c:pt idx="6">
                  <c:v>11.4</c:v>
                </c:pt>
                <c:pt idx="7">
                  <c:v>9.9</c:v>
                </c:pt>
                <c:pt idx="8">
                  <c:v>9.7</c:v>
                </c:pt>
                <c:pt idx="9">
                  <c:v>7.8</c:v>
                </c:pt>
                <c:pt idx="10">
                  <c:v>6.5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2700"/>
          </c:spPr>
          <c:marker>
            <c:symbol val="none"/>
          </c:marker>
          <c:dLbls>
            <c:dLbl>
              <c:idx val="1"/>
              <c:layout>
                <c:manualLayout>
                  <c:x val="0"/>
                  <c:y val="0.013419816595839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313211845102506"/>
                  <c:y val="-0.010288526056810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0106776765375854"/>
                  <c:y val="0.013419816595839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0128132118451025"/>
                  <c:y val="-0.020129724893759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1-2月</c:v>
                </c:pt>
                <c:pt idx="1">
                  <c:v>1-3月</c:v>
                </c:pt>
                <c:pt idx="2">
                  <c:v>1-4月</c:v>
                </c:pt>
                <c:pt idx="3">
                  <c:v>1-5月</c:v>
                </c:pt>
                <c:pt idx="4">
                  <c:v>1-6月</c:v>
                </c:pt>
                <c:pt idx="5">
                  <c:v>1-7月</c:v>
                </c:pt>
                <c:pt idx="6">
                  <c:v>1-8月</c:v>
                </c:pt>
                <c:pt idx="7">
                  <c:v>1-9月</c:v>
                </c:pt>
                <c:pt idx="8">
                  <c:v>1-10月</c:v>
                </c:pt>
                <c:pt idx="9">
                  <c:v>1-11月</c:v>
                </c:pt>
                <c:pt idx="10">
                  <c:v>1-12月</c:v>
                </c:pt>
              </c:strCache>
            </c:strRef>
          </c:cat>
          <c:val>
            <c:numRef>
              <c:f>Sheet1!$F$2:$F$12</c:f>
              <c:numCache>
                <c:formatCode>0.0_ </c:formatCode>
                <c:ptCount val="11"/>
                <c:pt idx="0">
                  <c:v>2.2</c:v>
                </c:pt>
                <c:pt idx="1">
                  <c:v>-1.5</c:v>
                </c:pt>
                <c:pt idx="2">
                  <c:v>-1.1</c:v>
                </c:pt>
                <c:pt idx="3">
                  <c:v>1</c:v>
                </c:pt>
                <c:pt idx="4">
                  <c:v>-0.3</c:v>
                </c:pt>
                <c:pt idx="5">
                  <c:v>-0.4</c:v>
                </c:pt>
                <c:pt idx="6">
                  <c:v>-0.8</c:v>
                </c:pt>
                <c:pt idx="7">
                  <c:v>-2</c:v>
                </c:pt>
                <c:pt idx="8">
                  <c:v>-1.9</c:v>
                </c:pt>
                <c:pt idx="9">
                  <c:v>-4.2</c:v>
                </c:pt>
                <c:pt idx="10">
                  <c:v>-4.1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933912241"/>
        <c:axId val="842928170"/>
      </c:lineChart>
      <c:catAx>
        <c:axId val="73290377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3756604"/>
        <c:crosses val="autoZero"/>
        <c:auto val="1"/>
        <c:lblAlgn val="ctr"/>
        <c:lblOffset val="100"/>
        <c:noMultiLvlLbl val="0"/>
      </c:catAx>
      <c:valAx>
        <c:axId val="853756604"/>
        <c:scaling>
          <c:orientation val="minMax"/>
        </c:scaling>
        <c:delete val="0"/>
        <c:axPos val="l"/>
        <c:numFmt formatCode="0_);[Red]\(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32903777"/>
        <c:crosses val="autoZero"/>
        <c:crossBetween val="between"/>
      </c:valAx>
      <c:catAx>
        <c:axId val="933912241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42928170"/>
        <c:crosses val="autoZero"/>
        <c:auto val="1"/>
        <c:lblAlgn val="ctr"/>
        <c:lblOffset val="100"/>
        <c:noMultiLvlLbl val="0"/>
      </c:catAx>
      <c:valAx>
        <c:axId val="84292817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933912241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900" b="1"/>
              <a:t>全区居民人均可支配收入及增速</a:t>
            </a:r>
            <a:endParaRPr sz="90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Sheet1!$D$19</c:f>
              <c:strCache>
                <c:ptCount val="1"/>
                <c:pt idx="0">
                  <c:v>2023年（元）</c:v>
                </c:pt>
              </c:strCache>
            </c:strRef>
          </c:tx>
          <c:spPr>
            <a:gradFill>
              <a:gsLst>
                <a:gs pos="40000">
                  <a:srgbClr val="C59DE4"/>
                </a:gs>
                <a:gs pos="100000">
                  <a:srgbClr val="401A5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delete val="1"/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Sheet1!$E$19:$H$19</c:f>
              <c:numCache>
                <c:formatCode>0_ </c:formatCode>
                <c:ptCount val="4"/>
                <c:pt idx="0">
                  <c:v>14889</c:v>
                </c:pt>
                <c:pt idx="1">
                  <c:v>28360</c:v>
                </c:pt>
                <c:pt idx="2">
                  <c:v>42696</c:v>
                </c:pt>
                <c:pt idx="3">
                  <c:v>55715</c:v>
                </c:pt>
              </c:numCache>
            </c:numRef>
          </c:val>
        </c:ser>
        <c:ser>
          <c:idx val="1"/>
          <c:order val="1"/>
          <c:tx>
            <c:strRef>
              <c:f>Sheet1!$D$18</c:f>
              <c:strCache>
                <c:ptCount val="1"/>
                <c:pt idx="0">
                  <c:v>2024年（元）</c:v>
                </c:pt>
              </c:strCache>
            </c:strRef>
          </c:tx>
          <c:spPr>
            <a:gradFill>
              <a:gsLst>
                <a:gs pos="49000">
                  <a:srgbClr val="00B050"/>
                </a:gs>
                <a:gs pos="100000">
                  <a:srgbClr val="52762D"/>
                </a:gs>
              </a:gsLst>
              <a:lin ang="0" scaled="0"/>
            </a:gradFill>
            <a:ln>
              <a:noFill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Sheet1!$E$18:$H$18</c:f>
              <c:numCache>
                <c:formatCode>0_ </c:formatCode>
                <c:ptCount val="4"/>
                <c:pt idx="0">
                  <c:v>15803</c:v>
                </c:pt>
                <c:pt idx="1">
                  <c:v>29659</c:v>
                </c:pt>
                <c:pt idx="2">
                  <c:v>44651</c:v>
                </c:pt>
                <c:pt idx="3">
                  <c:v>58250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76"/>
        <c:overlap val="-4"/>
        <c:axId val="452651223"/>
        <c:axId val="516392893"/>
      </c:barChart>
      <c:lineChart>
        <c:grouping val="standard"/>
        <c:varyColors val="0"/>
        <c:ser>
          <c:idx val="2"/>
          <c:order val="2"/>
          <c:tx>
            <c:strRef>
              <c:f>Sheet1!$D$21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>
              <a:solidFill>
                <a:srgbClr val="FFFF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Sheet1!$E$21:$H$21</c:f>
              <c:numCache>
                <c:formatCode>0.0_ </c:formatCode>
                <c:ptCount val="4"/>
                <c:pt idx="0">
                  <c:v>5</c:v>
                </c:pt>
                <c:pt idx="1" c:formatCode="General">
                  <c:v>5.6</c:v>
                </c:pt>
                <c:pt idx="2" c:formatCode="General">
                  <c:v>7.3</c:v>
                </c:pt>
                <c:pt idx="3" c:formatCode="General">
                  <c:v>7.9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Sheet1!$D$20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>
              <a:solidFill>
                <a:srgbClr val="FF0000"/>
              </a:solidFill>
              <a:round/>
              <a:headEnd type="oval" w="sm" len="sm"/>
              <a:tailEnd type="oval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12700"/>
          </c:spPr>
          <c:marker>
            <c:symbol val="none"/>
          </c:marker>
          <c:dLbls>
            <c:dLbl>
              <c:idx val="0"/>
              <c:delete val="1"/>
            </c:dLbl>
            <c:dLbl>
              <c:idx val="2"/>
              <c:layout>
                <c:manualLayout>
                  <c:x val="0.0257009345794393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257009345794393"/>
                  <c:y val="-0.0070938756207141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Sheet1!$E$17:$H$17</c:f>
              <c:strCache>
                <c:ptCount val="4"/>
                <c:pt idx="0">
                  <c:v>1季度</c:v>
                </c:pt>
                <c:pt idx="1">
                  <c:v>1-2季度</c:v>
                </c:pt>
                <c:pt idx="2">
                  <c:v>1-3季度</c:v>
                </c:pt>
                <c:pt idx="3">
                  <c:v>1-4季度</c:v>
                </c:pt>
              </c:strCache>
            </c:strRef>
          </c:cat>
          <c:val>
            <c:numRef>
              <c:f>Sheet1!$E$20:$H$20</c:f>
              <c:numCache>
                <c:formatCode>0.0_ </c:formatCode>
                <c:ptCount val="4"/>
                <c:pt idx="0">
                  <c:v>6.1</c:v>
                </c:pt>
                <c:pt idx="1" c:formatCode="General">
                  <c:v>4.6</c:v>
                </c:pt>
                <c:pt idx="2" c:formatCode="General">
                  <c:v>4.6</c:v>
                </c:pt>
                <c:pt idx="3" c:formatCode="General">
                  <c:v>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4341086"/>
        <c:axId val="755928342"/>
      </c:lineChart>
      <c:catAx>
        <c:axId val="45265122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516392893"/>
        <c:crosses val="autoZero"/>
        <c:auto val="1"/>
        <c:lblAlgn val="ctr"/>
        <c:lblOffset val="100"/>
        <c:noMultiLvlLbl val="0"/>
      </c:catAx>
      <c:valAx>
        <c:axId val="516392893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52651223"/>
        <c:crosses val="autoZero"/>
        <c:crossBetween val="between"/>
      </c:valAx>
      <c:catAx>
        <c:axId val="484341086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5928342"/>
        <c:crosses val="autoZero"/>
        <c:auto val="1"/>
        <c:lblAlgn val="ctr"/>
        <c:lblOffset val="100"/>
        <c:noMultiLvlLbl val="0"/>
      </c:catAx>
      <c:valAx>
        <c:axId val="755928342"/>
        <c:scaling>
          <c:orientation val="minMax"/>
        </c:scaling>
        <c:delete val="0"/>
        <c:axPos val="r"/>
        <c:numFmt formatCode="0.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41086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8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80" b="1"/>
              <a:t>一般公共预算收入（累计）</a:t>
            </a:r>
            <a:endParaRPr sz="1080" b="1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Sheet1!$D$5</c:f>
              <c:strCache>
                <c:ptCount val="1"/>
                <c:pt idx="0">
                  <c:v>2024年（亿元）</c:v>
                </c:pt>
              </c:strCache>
            </c:strRef>
          </c:tx>
          <c:spPr>
            <a:gradFill>
              <a:gsLst>
                <a:gs pos="43000">
                  <a:srgbClr val="007BD3"/>
                </a:gs>
                <a:gs pos="85000">
                  <a:srgbClr val="034373"/>
                </a:gs>
              </a:gsLst>
              <a:lin ang="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0.00148608484193461"/>
                  <c:y val="0.028751576292559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405295865982167"/>
                  <c:y val="0.02269861286254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202647932991084"/>
                  <c:y val="0.01891551071878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0060794379897325"/>
                  <c:y val="0.025725094577553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279019068535416"/>
                  <c:y val="0.0096209978081540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.00148608484193461"/>
                  <c:y val="0.017150063051702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0202647932991084"/>
                  <c:y val="0.030264817150063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0202647932991084"/>
                  <c:y val="0.0075662042875157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202647932991084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.0060794379897325"/>
                  <c:y val="0.02648171500630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0"/>
                  <c:y val="0.015132408575031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0"/>
                  <c:y val="0.01891551071878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Sheet1!$D$6:$D$17</c:f>
              <c:numCache>
                <c:formatCode>General</c:formatCode>
                <c:ptCount val="12"/>
                <c:pt idx="0">
                  <c:v>11.6</c:v>
                </c:pt>
                <c:pt idx="1" c:formatCode="0.0_ ">
                  <c:v>20.4</c:v>
                </c:pt>
                <c:pt idx="2" c:formatCode="0.0_ ">
                  <c:v>34.2</c:v>
                </c:pt>
                <c:pt idx="3">
                  <c:v>45.1</c:v>
                </c:pt>
                <c:pt idx="4">
                  <c:v>50.3</c:v>
                </c:pt>
                <c:pt idx="5">
                  <c:v>60.8</c:v>
                </c:pt>
                <c:pt idx="6" c:formatCode="0.0_ ">
                  <c:v>66.7</c:v>
                </c:pt>
                <c:pt idx="7">
                  <c:v>70.8</c:v>
                </c:pt>
                <c:pt idx="8">
                  <c:v>75.8</c:v>
                </c:pt>
                <c:pt idx="9">
                  <c:v>88.4</c:v>
                </c:pt>
                <c:pt idx="10">
                  <c:v>91.8</c:v>
                </c:pt>
                <c:pt idx="11">
                  <c:v>95.3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63"/>
        <c:overlap val="-27"/>
        <c:axId val="662104926"/>
        <c:axId val="857388034"/>
      </c:barChart>
      <c:lineChart>
        <c:grouping val="standard"/>
        <c:varyColors val="0"/>
        <c:ser>
          <c:idx val="1"/>
          <c:order val="1"/>
          <c:tx>
            <c:strRef>
              <c:f>Sheet1!$E$5</c:f>
              <c:strCache>
                <c:ptCount val="1"/>
                <c:pt idx="0">
                  <c:v>2022年增速（%）</c:v>
                </c:pt>
              </c:strCache>
            </c:strRef>
          </c:tx>
          <c:spPr>
            <a:ln w="9525" cap="rnd">
              <a:solidFill>
                <a:srgbClr val="FFC000"/>
              </a:solidFill>
              <a:round/>
              <a:headEnd type="none" w="sm" len="med"/>
              <a:tailEnd type="none" w="sm" len="sm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Sheet1!$E$6:$E$17</c:f>
              <c:numCache>
                <c:formatCode>General</c:formatCode>
                <c:ptCount val="12"/>
                <c:pt idx="0">
                  <c:v>6.5</c:v>
                </c:pt>
                <c:pt idx="1">
                  <c:v>9.1</c:v>
                </c:pt>
                <c:pt idx="2" c:formatCode="0.0_ ">
                  <c:v>7.9</c:v>
                </c:pt>
                <c:pt idx="3" c:formatCode="0.0_ ">
                  <c:v>3</c:v>
                </c:pt>
                <c:pt idx="4" c:formatCode="0.0_ ">
                  <c:v>4</c:v>
                </c:pt>
                <c:pt idx="5" c:formatCode="0.0_ ">
                  <c:v>0.5</c:v>
                </c:pt>
                <c:pt idx="6">
                  <c:v>-2.9</c:v>
                </c:pt>
                <c:pt idx="7">
                  <c:v>-5.7</c:v>
                </c:pt>
                <c:pt idx="8">
                  <c:v>-3.9</c:v>
                </c:pt>
                <c:pt idx="9">
                  <c:v>-4.8</c:v>
                </c:pt>
                <c:pt idx="10">
                  <c:v>-4.8</c:v>
                </c:pt>
                <c:pt idx="11">
                  <c:v>-3.2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Sheet1!$F$5</c:f>
              <c:strCache>
                <c:ptCount val="1"/>
                <c:pt idx="0">
                  <c:v>2021年增速（%）</c:v>
                </c:pt>
              </c:strCache>
            </c:strRef>
          </c:tx>
          <c:spPr>
            <a:ln w="9525" cap="rnd">
              <a:solidFill>
                <a:srgbClr val="B5098E"/>
              </a:solidFill>
              <a:round/>
              <a:headEnd type="none"/>
              <a:tailEnd type="none"/>
            </a:ln>
            <a:effectLst>
              <a:outerShdw blurRad="50800" dist="38100" dir="2700000" algn="tl" rotWithShape="0">
                <a:prstClr val="black">
                  <a:alpha val="40000"/>
                </a:prstClr>
              </a:outerShdw>
            </a:effectLst>
            <a:sp3d contourW="9525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Sheet1!$F$6:$F$17</c:f>
              <c:numCache>
                <c:formatCode>General</c:formatCode>
                <c:ptCount val="12"/>
                <c:pt idx="0">
                  <c:v>0.8</c:v>
                </c:pt>
                <c:pt idx="1">
                  <c:v>0.4</c:v>
                </c:pt>
                <c:pt idx="2" c:formatCode="0.0_ ">
                  <c:v>8</c:v>
                </c:pt>
                <c:pt idx="3">
                  <c:v>18.9</c:v>
                </c:pt>
                <c:pt idx="4">
                  <c:v>22.3</c:v>
                </c:pt>
                <c:pt idx="5" c:formatCode="0.0_ ">
                  <c:v>19.5</c:v>
                </c:pt>
                <c:pt idx="6">
                  <c:v>20.4</c:v>
                </c:pt>
                <c:pt idx="7">
                  <c:v>21.4</c:v>
                </c:pt>
                <c:pt idx="8" c:formatCode="0.0_ ">
                  <c:v>22</c:v>
                </c:pt>
                <c:pt idx="9">
                  <c:v>21.6</c:v>
                </c:pt>
                <c:pt idx="10">
                  <c:v>21.5</c:v>
                </c:pt>
                <c:pt idx="11">
                  <c:v>20.5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Sheet1!$G$5</c:f>
              <c:strCache>
                <c:ptCount val="1"/>
                <c:pt idx="0">
                  <c:v>2023年增速（%）</c:v>
                </c:pt>
              </c:strCache>
            </c:strRef>
          </c:tx>
          <c:spPr>
            <a:ln w="12700" cap="rnd" cmpd="sng">
              <a:solidFill>
                <a:srgbClr val="FF0000"/>
              </a:solidFill>
              <a:prstDash val="solid"/>
              <a:round/>
              <a:headEnd type="none" w="sm" len="sm"/>
              <a:tailEnd type="none" w="sm" len="sm"/>
            </a:ln>
            <a:effectLst/>
            <a:sp3d contourW="12700"/>
          </c:spPr>
          <c:marker>
            <c:symbol val="none"/>
          </c:marker>
          <c:dLbls>
            <c:delete val="1"/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Sheet1!$G$6:$G$17</c:f>
              <c:numCache>
                <c:formatCode>General</c:formatCode>
                <c:ptCount val="12"/>
                <c:pt idx="0">
                  <c:v>3.2</c:v>
                </c:pt>
                <c:pt idx="1">
                  <c:v>3.8</c:v>
                </c:pt>
                <c:pt idx="2">
                  <c:v>3.3</c:v>
                </c:pt>
                <c:pt idx="3">
                  <c:v>2.4</c:v>
                </c:pt>
                <c:pt idx="4" c:formatCode="0.0_ ">
                  <c:v>7</c:v>
                </c:pt>
                <c:pt idx="5">
                  <c:v>4.1</c:v>
                </c:pt>
                <c:pt idx="6">
                  <c:v>5.4</c:v>
                </c:pt>
                <c:pt idx="7">
                  <c:v>6.5</c:v>
                </c:pt>
                <c:pt idx="8">
                  <c:v>5.5</c:v>
                </c:pt>
                <c:pt idx="9">
                  <c:v>5.8</c:v>
                </c:pt>
                <c:pt idx="10">
                  <c:v>5.4</c:v>
                </c:pt>
                <c:pt idx="11">
                  <c:v>5.2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Sheet1!$H$5</c:f>
              <c:strCache>
                <c:ptCount val="1"/>
                <c:pt idx="0">
                  <c:v>2024年增速（%）</c:v>
                </c:pt>
              </c:strCache>
            </c:strRef>
          </c:tx>
          <c:spPr>
            <a:ln w="12700" cap="rnd" cmpd="sng">
              <a:solidFill>
                <a:srgbClr val="00B050"/>
              </a:solidFill>
              <a:prstDash val="solid"/>
              <a:round/>
              <a:headEnd type="oval" w="sm" len="sm"/>
              <a:tailEnd type="oval" w="sm" len="sm"/>
            </a:ln>
            <a:effectLst/>
            <a:sp3d contourW="12700"/>
          </c:spPr>
          <c:marker>
            <c:symbol val="none"/>
          </c:marker>
          <c:dLbls>
            <c:dLbl>
              <c:idx val="0"/>
              <c:layout>
                <c:manualLayout>
                  <c:x val="-0.0405295865982167"/>
                  <c:y val="-0.02648171500630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0.00810591731964334"/>
                  <c:y val="0.02648171500630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810591731964334"/>
                  <c:y val="0.045397225725094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202647932991084"/>
                  <c:y val="0.022698612862547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0.026481715006305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0.00405295865982167"/>
                  <c:y val="0.015132408575031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0"/>
                  <c:y val="0.022698612862547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00810591731964334"/>
                  <c:y val="-0.015132408575031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0.0101323966495542"/>
                  <c:y val="0.0037831021437578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Sheet1!$C$6:$C$17</c:f>
              <c:strCache>
                <c:ptCount val="12"/>
                <c:pt idx="0">
                  <c:v>1-1月</c:v>
                </c:pt>
                <c:pt idx="1">
                  <c:v>1-2月</c:v>
                </c:pt>
                <c:pt idx="2">
                  <c:v>1-3月</c:v>
                </c:pt>
                <c:pt idx="3">
                  <c:v>1-4月</c:v>
                </c:pt>
                <c:pt idx="4">
                  <c:v>1-5月</c:v>
                </c:pt>
                <c:pt idx="5">
                  <c:v>1-6月</c:v>
                </c:pt>
                <c:pt idx="6">
                  <c:v>1-7月</c:v>
                </c:pt>
                <c:pt idx="7">
                  <c:v>1-8月</c:v>
                </c:pt>
                <c:pt idx="8">
                  <c:v>1-9月</c:v>
                </c:pt>
                <c:pt idx="9">
                  <c:v>1-10月</c:v>
                </c:pt>
                <c:pt idx="10">
                  <c:v>1-11月</c:v>
                </c:pt>
                <c:pt idx="11">
                  <c:v>1-12月</c:v>
                </c:pt>
              </c:strCache>
            </c:strRef>
          </c:cat>
          <c:val>
            <c:numRef>
              <c:f>Sheet1!$H$6:$H$17</c:f>
              <c:numCache>
                <c:formatCode>General</c:formatCode>
                <c:ptCount val="12"/>
                <c:pt idx="0">
                  <c:v>4.1</c:v>
                </c:pt>
                <c:pt idx="1">
                  <c:v>4.1</c:v>
                </c:pt>
                <c:pt idx="2">
                  <c:v>4.3</c:v>
                </c:pt>
                <c:pt idx="3">
                  <c:v>3.1</c:v>
                </c:pt>
                <c:pt idx="4" c:formatCode="0.0_ ">
                  <c:v>-3</c:v>
                </c:pt>
                <c:pt idx="5">
                  <c:v>4.4</c:v>
                </c:pt>
                <c:pt idx="6">
                  <c:v>0.4</c:v>
                </c:pt>
                <c:pt idx="7">
                  <c:v>1.5</c:v>
                </c:pt>
                <c:pt idx="8">
                  <c:v>0.2</c:v>
                </c:pt>
                <c:pt idx="9">
                  <c:v>0.9</c:v>
                </c:pt>
                <c:pt idx="10">
                  <c:v>1.5</c:v>
                </c:pt>
                <c:pt idx="11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800189"/>
        <c:axId val="162702792"/>
      </c:lineChart>
      <c:catAx>
        <c:axId val="66210492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57388034"/>
        <c:crosses val="autoZero"/>
        <c:auto val="1"/>
        <c:lblAlgn val="ctr"/>
        <c:lblOffset val="100"/>
        <c:noMultiLvlLbl val="0"/>
      </c:catAx>
      <c:valAx>
        <c:axId val="85738803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662104926"/>
        <c:crosses val="autoZero"/>
        <c:crossBetween val="between"/>
      </c:valAx>
      <c:catAx>
        <c:axId val="44680018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62702792"/>
        <c:crosses val="autoZero"/>
        <c:auto val="1"/>
        <c:lblAlgn val="ctr"/>
        <c:lblOffset val="100"/>
        <c:noMultiLvlLbl val="0"/>
      </c:catAx>
      <c:valAx>
        <c:axId val="16270279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800189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900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</Words>
  <Characters>1</Characters>
  <Lines>1</Lines>
  <Paragraphs>1</Paragraphs>
  <TotalTime>39</TotalTime>
  <ScaleCrop>false</ScaleCrop>
  <LinksUpToDate>false</LinksUpToDate>
  <CharactersWithSpaces>3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2020-03-24T14:36:00Z</dcterms:created>
  <dc:creator>fanfan</dc:creator>
  <cp:lastModifiedBy>fanfan</cp:lastModifiedBy>
  <dcterms:modified xsi:type="dcterms:W3CDTF">2025-01-23T05:52:28Z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179D673A067849FDB83DBE9D2A0B9D9F</vt:lpwstr>
  </property>
</Properties>
</file>