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92"/>
        <w:gridCol w:w="544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11011223T000002391404-2023“接诉即办”全媒体专栏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通州区融媒体中心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李岳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13401062814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173.60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104.16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173.60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104.16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接诉即办”工作是提升基层治理水平的重要抓手，加大“接诉即办”工作宣传力度，可不断增强市民对基层治理工作的认同感和参与度。为持续做好北京城市副中心“接诉即办”主题宣传，通州区融媒体中心各媒体矩阵计划开设“接诉即办”专题节目，在城市副中心报、通州电视台以及《北京通州发布》公众号刊发多期节目，聚焦12345热线中市民反映的揪心事、烦心事，深入新闻现场，报道副中心各单位每天24小时随时接单，就处理情况向群众进行点对点反馈的全过程，发挥主流媒体的舆论监督和服务社会职能，展现副中心温度，从百姓需求出发，展现基层政府工作人员的积极主动作为，以小见大，见微知著，展现副中心基层治理的经验和成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完成接诉即办全媒体专栏工作，保障主流媒体舆论监督，有效展现通州基层治理成果。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指标1：城市副中心报刊发《接诉即办》专栏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4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资金到位较晚，2024年按照合同继续完成产出未达到的预期目标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指标2：新媒体平台 “北京通州发布”视频制作数量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6.1</w:t>
            </w:r>
          </w:p>
        </w:tc>
        <w:tc>
          <w:tcPr>
            <w:tcW w:w="124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3: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通州电视台《接诉即办》节目制作数量：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6.25</w:t>
            </w:r>
          </w:p>
        </w:tc>
        <w:tc>
          <w:tcPr>
            <w:tcW w:w="124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《接诉即办》讲座开展数量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6.25</w:t>
            </w:r>
          </w:p>
        </w:tc>
        <w:tc>
          <w:tcPr>
            <w:tcW w:w="124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《接诉即办》视频宣传片拍摄数量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4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12月31日前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12月31日前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173.60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104.16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聚焦12345热线中市民反映的揪心事、烦心事，深入新闻现场，报道副中心各单位每天24小时随时接单，就处理情况向群众进行点对点反馈的全过程，发挥主流媒体的舆论监督和服务社会职能，展现副中心温度，从百姓需求出发，展现基层政府工作人员的积极主动作为，以小见大，见微知著，展现副中心基层治理的经验和成果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指标2：解决民生问题数量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多于70件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未达到预计效益效果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指标1：事件办结基层工作人员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以上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4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缺少满意度调查结果分析支撑材料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指标2：受访群众满意度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以上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24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90.8 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填报注意事项：</w:t>
      </w:r>
    </w:p>
    <w:p>
      <w:pPr>
        <w:widowControl/>
        <w:spacing w:line="520" w:lineRule="exact"/>
        <w:ind w:firstLine="360" w:firstLineChars="200"/>
        <w:jc w:val="left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1.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评价方法说明采取打分评价的形式，满分为</w:t>
      </w:r>
      <w:r>
        <w:rPr>
          <w:rFonts w:ascii="宋体" w:hAnsi="宋体"/>
          <w:color w:val="000000"/>
          <w:kern w:val="0"/>
          <w:sz w:val="18"/>
          <w:szCs w:val="18"/>
        </w:rPr>
        <w:t>100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分。单位自评指标的权重由各单位根据项目实际情况确定。原则上预算执行率和一级指标权重统一设置为：预算执行率</w:t>
      </w:r>
      <w:r>
        <w:rPr>
          <w:rFonts w:ascii="宋体" w:hAnsi="宋体"/>
          <w:color w:val="000000"/>
          <w:kern w:val="0"/>
          <w:sz w:val="18"/>
          <w:szCs w:val="18"/>
        </w:rPr>
        <w:t>10%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、产出指标</w:t>
      </w:r>
      <w:r>
        <w:rPr>
          <w:rFonts w:ascii="宋体" w:hAnsi="宋体"/>
          <w:color w:val="000000"/>
          <w:kern w:val="0"/>
          <w:sz w:val="18"/>
          <w:szCs w:val="18"/>
        </w:rPr>
        <w:t>50%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、效益指标</w:t>
      </w:r>
      <w:r>
        <w:rPr>
          <w:rFonts w:ascii="宋体" w:hAnsi="宋体"/>
          <w:color w:val="000000"/>
          <w:kern w:val="0"/>
          <w:sz w:val="18"/>
          <w:szCs w:val="18"/>
        </w:rPr>
        <w:t>30%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、服务对象满意度指标</w:t>
      </w:r>
      <w:r>
        <w:rPr>
          <w:rFonts w:ascii="宋体" w:hAnsi="宋体"/>
          <w:color w:val="000000"/>
          <w:kern w:val="0"/>
          <w:sz w:val="18"/>
          <w:szCs w:val="18"/>
        </w:rPr>
        <w:t>10%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560" w:lineRule="exact"/>
        <w:ind w:firstLine="360" w:firstLineChars="200"/>
        <w:jc w:val="left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2.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</w:t>
      </w:r>
      <w:r>
        <w:rPr>
          <w:rFonts w:ascii="宋体" w:hAnsi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</w:t>
      </w:r>
      <w:r>
        <w:rPr>
          <w:rFonts w:ascii="宋体" w:hAnsi="宋体"/>
          <w:color w:val="000000"/>
          <w:kern w:val="0"/>
          <w:sz w:val="18"/>
          <w:szCs w:val="18"/>
        </w:rPr>
        <w:t>/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年度指标值（</w:t>
      </w:r>
      <w:r>
        <w:rPr>
          <w:rFonts w:ascii="宋体" w:hAnsi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</w:t>
      </w:r>
      <w:r>
        <w:rPr>
          <w:rFonts w:ascii="宋体" w:hAnsi="宋体"/>
          <w:color w:val="000000"/>
          <w:kern w:val="0"/>
          <w:sz w:val="18"/>
          <w:szCs w:val="18"/>
        </w:rPr>
        <w:t>*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该指标分值；若定量指标为反向指标，则得分计算方法应用年度指标值（</w:t>
      </w:r>
      <w:r>
        <w:rPr>
          <w:rFonts w:ascii="宋体" w:hAnsi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</w:t>
      </w:r>
      <w:r>
        <w:rPr>
          <w:rFonts w:ascii="宋体" w:hAnsi="宋体"/>
          <w:color w:val="000000"/>
          <w:kern w:val="0"/>
          <w:sz w:val="18"/>
          <w:szCs w:val="18"/>
        </w:rPr>
        <w:t>/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全年实际值（</w:t>
      </w:r>
      <w:r>
        <w:rPr>
          <w:rFonts w:ascii="宋体" w:hAnsi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</w:t>
      </w:r>
      <w:r>
        <w:rPr>
          <w:rFonts w:ascii="宋体" w:hAnsi="宋体"/>
          <w:color w:val="000000"/>
          <w:kern w:val="0"/>
          <w:sz w:val="18"/>
          <w:szCs w:val="18"/>
        </w:rPr>
        <w:t>*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该指标分值。若年初指标值设定偏低，则得分计算方法应用（全年实际值（</w:t>
      </w:r>
      <w:r>
        <w:rPr>
          <w:rFonts w:ascii="宋体" w:hAnsi="宋体"/>
          <w:color w:val="000000"/>
          <w:kern w:val="0"/>
          <w:sz w:val="18"/>
          <w:szCs w:val="18"/>
        </w:rPr>
        <w:t>B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</w:t>
      </w:r>
      <w:r>
        <w:rPr>
          <w:rFonts w:ascii="宋体" w:hAnsi="宋体"/>
          <w:color w:val="000000"/>
          <w:kern w:val="0"/>
          <w:sz w:val="18"/>
          <w:szCs w:val="18"/>
        </w:rPr>
        <w:t>—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年度指标值（</w:t>
      </w:r>
      <w:r>
        <w:rPr>
          <w:rFonts w:ascii="宋体" w:hAnsi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））</w:t>
      </w:r>
      <w:r>
        <w:rPr>
          <w:rFonts w:ascii="宋体" w:hAnsi="宋体"/>
          <w:color w:val="000000"/>
          <w:kern w:val="0"/>
          <w:sz w:val="18"/>
          <w:szCs w:val="18"/>
        </w:rPr>
        <w:t>/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年度指标值（</w:t>
      </w:r>
      <w:r>
        <w:rPr>
          <w:rFonts w:ascii="宋体" w:hAnsi="宋体"/>
          <w:color w:val="000000"/>
          <w:kern w:val="0"/>
          <w:sz w:val="18"/>
          <w:szCs w:val="18"/>
        </w:rPr>
        <w:t>A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</w:t>
      </w:r>
      <w:r>
        <w:rPr>
          <w:rFonts w:ascii="宋体" w:hAnsi="宋体"/>
          <w:color w:val="000000"/>
          <w:kern w:val="0"/>
          <w:sz w:val="18"/>
          <w:szCs w:val="18"/>
        </w:rPr>
        <w:t>*100%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。若计算结果在</w:t>
      </w:r>
      <w:r>
        <w:rPr>
          <w:rFonts w:ascii="宋体" w:hAnsi="宋体"/>
          <w:color w:val="000000"/>
          <w:kern w:val="0"/>
          <w:sz w:val="18"/>
          <w:szCs w:val="18"/>
        </w:rPr>
        <w:t>200%-300%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</w:t>
      </w:r>
      <w:r>
        <w:rPr>
          <w:rFonts w:ascii="宋体" w:hAnsi="宋体"/>
          <w:color w:val="000000"/>
          <w:kern w:val="0"/>
          <w:sz w:val="18"/>
          <w:szCs w:val="18"/>
        </w:rPr>
        <w:t>200%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）区间，则按照该指标分值的</w:t>
      </w:r>
      <w:r>
        <w:rPr>
          <w:rFonts w:ascii="宋体" w:hAnsi="宋体"/>
          <w:color w:val="000000"/>
          <w:kern w:val="0"/>
          <w:sz w:val="18"/>
          <w:szCs w:val="18"/>
        </w:rPr>
        <w:t>10%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扣分；计算结果在</w:t>
      </w:r>
      <w:r>
        <w:rPr>
          <w:rFonts w:ascii="宋体" w:hAnsi="宋体"/>
          <w:color w:val="000000"/>
          <w:kern w:val="0"/>
          <w:sz w:val="18"/>
          <w:szCs w:val="18"/>
        </w:rPr>
        <w:t>300%-500%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</w:t>
      </w:r>
      <w:r>
        <w:rPr>
          <w:rFonts w:ascii="宋体" w:hAnsi="宋体"/>
          <w:color w:val="000000"/>
          <w:kern w:val="0"/>
          <w:sz w:val="18"/>
          <w:szCs w:val="18"/>
        </w:rPr>
        <w:t>300%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）区间，则按照该指标分值的</w:t>
      </w:r>
      <w:r>
        <w:rPr>
          <w:rFonts w:ascii="宋体" w:hAnsi="宋体"/>
          <w:color w:val="000000"/>
          <w:kern w:val="0"/>
          <w:sz w:val="18"/>
          <w:szCs w:val="18"/>
        </w:rPr>
        <w:t>20%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扣分；计算结果高于</w:t>
      </w:r>
      <w:r>
        <w:rPr>
          <w:rFonts w:ascii="宋体" w:hAnsi="宋体"/>
          <w:color w:val="000000"/>
          <w:kern w:val="0"/>
          <w:sz w:val="18"/>
          <w:szCs w:val="18"/>
        </w:rPr>
        <w:t>500%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</w:t>
      </w:r>
      <w:r>
        <w:rPr>
          <w:rFonts w:ascii="宋体" w:hAnsi="宋体"/>
          <w:color w:val="000000"/>
          <w:kern w:val="0"/>
          <w:sz w:val="18"/>
          <w:szCs w:val="18"/>
        </w:rPr>
        <w:t>500%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），则按照该指标分值的</w:t>
      </w:r>
      <w:r>
        <w:rPr>
          <w:rFonts w:ascii="宋体" w:hAnsi="宋体"/>
          <w:color w:val="000000"/>
          <w:kern w:val="0"/>
          <w:sz w:val="18"/>
          <w:szCs w:val="18"/>
        </w:rPr>
        <w:t>30%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扣分。</w:t>
      </w:r>
    </w:p>
    <w:p>
      <w:pPr>
        <w:widowControl/>
        <w:spacing w:line="560" w:lineRule="exact"/>
        <w:ind w:firstLine="360" w:firstLineChars="200"/>
        <w:jc w:val="left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二是定性指标。根据项目计划完成情况、预算执行情况、绩效目标指标完成情况打分。</w:t>
      </w:r>
    </w:p>
    <w:p>
      <w:pPr>
        <w:widowControl/>
        <w:spacing w:line="560" w:lineRule="exact"/>
        <w:ind w:firstLine="360" w:firstLineChars="200"/>
        <w:jc w:val="left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各项绩效指标得分汇总成项目自评的总分。</w:t>
      </w:r>
    </w:p>
    <w:p>
      <w:pPr>
        <w:widowControl/>
        <w:spacing w:line="560" w:lineRule="exact"/>
        <w:ind w:firstLine="360" w:firstLineChars="200"/>
        <w:jc w:val="left"/>
        <w:rPr>
          <w:rFonts w:ascii="宋体" w:hAnsi="宋体"/>
          <w:color w:val="000000"/>
          <w:kern w:val="0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3.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各部门在收集、分析上述绩效执行信息的基础上，针对未完成绩效目标及指标，需在</w:t>
      </w:r>
      <w:r>
        <w:rPr>
          <w:rFonts w:ascii="宋体" w:hAnsi="宋体"/>
          <w:color w:val="000000"/>
          <w:kern w:val="0"/>
          <w:sz w:val="18"/>
          <w:szCs w:val="18"/>
        </w:rPr>
        <w:t>“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偏差原因分析及改进措施</w:t>
      </w:r>
      <w:r>
        <w:rPr>
          <w:rFonts w:ascii="宋体" w:hAnsi="宋体"/>
          <w:color w:val="000000"/>
          <w:kern w:val="0"/>
          <w:sz w:val="18"/>
          <w:szCs w:val="18"/>
        </w:rPr>
        <w:t>”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中逐条分析说明偏离目标、不能完成目标的原因及拟采取的措施。</w:t>
      </w:r>
    </w:p>
    <w:p>
      <w:pPr>
        <w:widowControl/>
        <w:spacing w:line="56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ascii="宋体" w:hAnsi="宋体"/>
          <w:color w:val="000000"/>
          <w:kern w:val="0"/>
          <w:sz w:val="18"/>
          <w:szCs w:val="18"/>
        </w:rPr>
        <w:t>4.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根据指标完成情况分为：达成预期指标、基本达成预期指标且效果较好、部分达成预期指标且有一定效果、未达成预期指标且效果较差四档，分别按照该指标对应分值区间</w:t>
      </w:r>
      <w:r>
        <w:rPr>
          <w:rFonts w:ascii="宋体" w:hAnsi="宋体"/>
          <w:color w:val="000000"/>
          <w:kern w:val="0"/>
          <w:sz w:val="18"/>
          <w:szCs w:val="18"/>
        </w:rPr>
        <w:t>90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（含）</w:t>
      </w:r>
      <w:r>
        <w:rPr>
          <w:rFonts w:ascii="宋体" w:hAnsi="宋体"/>
          <w:color w:val="000000"/>
          <w:kern w:val="0"/>
          <w:sz w:val="18"/>
          <w:szCs w:val="18"/>
        </w:rPr>
        <w:t>-100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分为优秀、</w:t>
      </w:r>
      <w:r>
        <w:rPr>
          <w:rFonts w:ascii="宋体" w:hAnsi="宋体"/>
          <w:color w:val="000000"/>
          <w:kern w:val="0"/>
          <w:sz w:val="18"/>
          <w:szCs w:val="18"/>
        </w:rPr>
        <w:t>80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（含）</w:t>
      </w:r>
      <w:r>
        <w:rPr>
          <w:rFonts w:ascii="宋体" w:hAnsi="宋体"/>
          <w:color w:val="000000"/>
          <w:kern w:val="0"/>
          <w:sz w:val="18"/>
          <w:szCs w:val="18"/>
        </w:rPr>
        <w:t>-90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分为良好、</w:t>
      </w:r>
      <w:r>
        <w:rPr>
          <w:rFonts w:ascii="宋体" w:hAnsi="宋体"/>
          <w:color w:val="000000"/>
          <w:kern w:val="0"/>
          <w:sz w:val="18"/>
          <w:szCs w:val="18"/>
        </w:rPr>
        <w:t>60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（含）</w:t>
      </w:r>
      <w:r>
        <w:rPr>
          <w:rFonts w:ascii="宋体" w:hAnsi="宋体"/>
          <w:color w:val="000000"/>
          <w:kern w:val="0"/>
          <w:sz w:val="18"/>
          <w:szCs w:val="18"/>
        </w:rPr>
        <w:t>-80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分为一般、</w:t>
      </w:r>
      <w:r>
        <w:rPr>
          <w:rFonts w:ascii="宋体" w:hAnsi="宋体"/>
          <w:color w:val="000000"/>
          <w:kern w:val="0"/>
          <w:sz w:val="18"/>
          <w:szCs w:val="18"/>
        </w:rPr>
        <w:t>60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分以下为较差。</w:t>
      </w:r>
      <w:r>
        <w:rPr>
          <w:rFonts w:ascii="宋体" w:hAnsi="宋体"/>
          <w:color w:val="000000"/>
          <w:kern w:val="0"/>
          <w:sz w:val="18"/>
          <w:szCs w:val="18"/>
        </w:rPr>
        <w:t>90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（含）</w:t>
      </w:r>
      <w:r>
        <w:rPr>
          <w:rFonts w:ascii="宋体" w:hAnsi="宋体"/>
          <w:color w:val="000000"/>
          <w:kern w:val="0"/>
          <w:sz w:val="18"/>
          <w:szCs w:val="18"/>
        </w:rPr>
        <w:t>-100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分为优秀、</w:t>
      </w:r>
      <w:r>
        <w:rPr>
          <w:rFonts w:ascii="宋体" w:hAnsi="宋体"/>
          <w:color w:val="000000"/>
          <w:kern w:val="0"/>
          <w:sz w:val="18"/>
          <w:szCs w:val="18"/>
        </w:rPr>
        <w:t>80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（含）</w:t>
      </w:r>
      <w:r>
        <w:rPr>
          <w:rFonts w:ascii="宋体" w:hAnsi="宋体"/>
          <w:color w:val="000000"/>
          <w:kern w:val="0"/>
          <w:sz w:val="18"/>
          <w:szCs w:val="18"/>
        </w:rPr>
        <w:t>-90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分为良好、</w:t>
      </w:r>
      <w:r>
        <w:rPr>
          <w:rFonts w:ascii="宋体" w:hAnsi="宋体"/>
          <w:color w:val="000000"/>
          <w:kern w:val="0"/>
          <w:sz w:val="18"/>
          <w:szCs w:val="18"/>
        </w:rPr>
        <w:t>60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（含）</w:t>
      </w:r>
      <w:r>
        <w:rPr>
          <w:rFonts w:ascii="宋体" w:hAnsi="宋体"/>
          <w:color w:val="000000"/>
          <w:kern w:val="0"/>
          <w:sz w:val="18"/>
          <w:szCs w:val="18"/>
        </w:rPr>
        <w:t>-80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分为一般、</w:t>
      </w:r>
      <w:r>
        <w:rPr>
          <w:rFonts w:ascii="宋体" w:hAnsi="宋体"/>
          <w:color w:val="000000"/>
          <w:kern w:val="0"/>
          <w:sz w:val="18"/>
          <w:szCs w:val="18"/>
        </w:rPr>
        <w:t>60</w:t>
      </w:r>
      <w:r>
        <w:rPr>
          <w:rFonts w:hint="eastAsia" w:ascii="宋体" w:hAnsi="宋体" w:cs="微软雅黑"/>
          <w:color w:val="000000"/>
          <w:kern w:val="0"/>
          <w:sz w:val="18"/>
          <w:szCs w:val="18"/>
        </w:rPr>
        <w:t>分以下为较差。</w:t>
      </w:r>
    </w:p>
    <w:p>
      <w:pPr>
        <w:rPr>
          <w:rFonts w:hint="eastAsia"/>
        </w:rPr>
      </w:pPr>
      <w:r>
        <w:rPr>
          <w:rFonts w:hint="eastAsia" w:ascii="宋体" w:hAnsi="宋体" w:cs="微软雅黑"/>
          <w:sz w:val="18"/>
          <w:szCs w:val="18"/>
        </w:rPr>
        <w:t>注：绩效自评实施百分制和四级分类。四个级别分别是：优秀（</w:t>
      </w:r>
      <w:r>
        <w:rPr>
          <w:rFonts w:ascii="宋体" w:hAnsi="宋体"/>
          <w:sz w:val="18"/>
          <w:szCs w:val="18"/>
        </w:rPr>
        <w:t>90</w:t>
      </w:r>
      <w:r>
        <w:rPr>
          <w:rFonts w:hint="eastAsia" w:ascii="宋体" w:hAnsi="宋体" w:cs="微软雅黑"/>
          <w:sz w:val="18"/>
          <w:szCs w:val="18"/>
        </w:rPr>
        <w:t>（含）分</w:t>
      </w:r>
      <w:r>
        <w:rPr>
          <w:rFonts w:ascii="宋体" w:hAnsi="宋体"/>
          <w:sz w:val="18"/>
          <w:szCs w:val="18"/>
        </w:rPr>
        <w:t>-100</w:t>
      </w:r>
      <w:r>
        <w:rPr>
          <w:rFonts w:hint="eastAsia" w:ascii="宋体" w:hAnsi="宋体" w:cs="微软雅黑"/>
          <w:sz w:val="18"/>
          <w:szCs w:val="18"/>
        </w:rPr>
        <w:t>分）、良好（</w:t>
      </w:r>
      <w:r>
        <w:rPr>
          <w:rFonts w:ascii="宋体" w:hAnsi="宋体"/>
          <w:sz w:val="18"/>
          <w:szCs w:val="18"/>
        </w:rPr>
        <w:t>80</w:t>
      </w:r>
      <w:r>
        <w:rPr>
          <w:rFonts w:hint="eastAsia" w:ascii="宋体" w:hAnsi="宋体" w:cs="微软雅黑"/>
          <w:sz w:val="18"/>
          <w:szCs w:val="18"/>
        </w:rPr>
        <w:t>（含）分</w:t>
      </w:r>
      <w:r>
        <w:rPr>
          <w:rFonts w:ascii="宋体" w:hAnsi="宋体"/>
          <w:sz w:val="18"/>
          <w:szCs w:val="18"/>
        </w:rPr>
        <w:t>-90</w:t>
      </w:r>
      <w:r>
        <w:rPr>
          <w:rFonts w:hint="eastAsia" w:ascii="宋体" w:hAnsi="宋体" w:cs="微软雅黑"/>
          <w:sz w:val="18"/>
          <w:szCs w:val="18"/>
        </w:rPr>
        <w:t>分）、一般（</w:t>
      </w:r>
      <w:r>
        <w:rPr>
          <w:rFonts w:ascii="宋体" w:hAnsi="宋体"/>
          <w:sz w:val="18"/>
          <w:szCs w:val="18"/>
        </w:rPr>
        <w:t>60</w:t>
      </w:r>
      <w:r>
        <w:rPr>
          <w:rFonts w:hint="eastAsia" w:ascii="宋体" w:hAnsi="宋体" w:cs="微软雅黑"/>
          <w:sz w:val="18"/>
          <w:szCs w:val="18"/>
        </w:rPr>
        <w:t>（含）分</w:t>
      </w:r>
      <w:r>
        <w:rPr>
          <w:rFonts w:ascii="宋体" w:hAnsi="宋体"/>
          <w:sz w:val="18"/>
          <w:szCs w:val="18"/>
        </w:rPr>
        <w:t>-80</w:t>
      </w:r>
      <w:r>
        <w:rPr>
          <w:rFonts w:hint="eastAsia" w:ascii="宋体" w:hAnsi="宋体" w:cs="微软雅黑"/>
          <w:sz w:val="18"/>
          <w:szCs w:val="18"/>
        </w:rPr>
        <w:t>分）、较差（</w:t>
      </w:r>
      <w:r>
        <w:rPr>
          <w:rFonts w:ascii="宋体" w:hAnsi="宋体"/>
          <w:sz w:val="18"/>
          <w:szCs w:val="18"/>
        </w:rPr>
        <w:t>60</w:t>
      </w:r>
      <w:r>
        <w:rPr>
          <w:rFonts w:hint="eastAsia" w:ascii="宋体" w:hAnsi="宋体" w:cs="微软雅黑"/>
          <w:sz w:val="18"/>
          <w:szCs w:val="18"/>
        </w:rPr>
        <w:t>（不含）分以下</w:t>
      </w:r>
      <w:r>
        <w:rPr>
          <w:rFonts w:hint="eastAsia" w:ascii="宋体" w:hAnsi="宋体" w:cs="微软雅黑"/>
          <w:sz w:val="18"/>
          <w:szCs w:val="18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5EDB0B63"/>
    <w:rsid w:val="00113327"/>
    <w:rsid w:val="001373C3"/>
    <w:rsid w:val="0033658B"/>
    <w:rsid w:val="004B4DEB"/>
    <w:rsid w:val="00881F71"/>
    <w:rsid w:val="008C3683"/>
    <w:rsid w:val="00B10127"/>
    <w:rsid w:val="00E36B3C"/>
    <w:rsid w:val="01534994"/>
    <w:rsid w:val="0C8165E0"/>
    <w:rsid w:val="2ACF7A84"/>
    <w:rsid w:val="2CBF8107"/>
    <w:rsid w:val="2EB70209"/>
    <w:rsid w:val="2F08531D"/>
    <w:rsid w:val="2FFF10AF"/>
    <w:rsid w:val="30FF2B40"/>
    <w:rsid w:val="31E929B1"/>
    <w:rsid w:val="35541A40"/>
    <w:rsid w:val="35D339CB"/>
    <w:rsid w:val="3FF79B31"/>
    <w:rsid w:val="45205222"/>
    <w:rsid w:val="466D1D67"/>
    <w:rsid w:val="4BA31FDB"/>
    <w:rsid w:val="4BFF9656"/>
    <w:rsid w:val="4F167615"/>
    <w:rsid w:val="537B9DA3"/>
    <w:rsid w:val="5A474F5C"/>
    <w:rsid w:val="5DDF52D1"/>
    <w:rsid w:val="5EDB0B63"/>
    <w:rsid w:val="5F9F33EB"/>
    <w:rsid w:val="662030AF"/>
    <w:rsid w:val="6AC7B1A3"/>
    <w:rsid w:val="6B77FB6F"/>
    <w:rsid w:val="6EE9A86C"/>
    <w:rsid w:val="6FD43E60"/>
    <w:rsid w:val="72506CC5"/>
    <w:rsid w:val="73E166E7"/>
    <w:rsid w:val="740E5173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226</Words>
  <Characters>1289</Characters>
  <Lines>10</Lines>
  <Paragraphs>3</Paragraphs>
  <TotalTime>0</TotalTime>
  <ScaleCrop>false</ScaleCrop>
  <LinksUpToDate>false</LinksUpToDate>
  <CharactersWithSpaces>1512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流小依</cp:lastModifiedBy>
  <cp:lastPrinted>2024-03-30T01:59:00Z</cp:lastPrinted>
  <dcterms:modified xsi:type="dcterms:W3CDTF">2024-04-16T21:06:47Z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DEA878E2A4F44F2AB95CBA299DC98CA6_12</vt:lpwstr>
  </property>
</Properties>
</file>