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1F9E650F"/>
    <w:rsid w:val="20291DCE"/>
    <w:rsid w:val="20320ECE"/>
    <w:rsid w:val="203C6D40"/>
    <w:rsid w:val="207866A7"/>
    <w:rsid w:val="20F01C8B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D27272"/>
    <w:rsid w:val="2DDC5888"/>
    <w:rsid w:val="2EE50BEB"/>
    <w:rsid w:val="2EFF1945"/>
    <w:rsid w:val="31AB417C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59E2E2D"/>
    <w:rsid w:val="45AC16F1"/>
    <w:rsid w:val="46624EAD"/>
    <w:rsid w:val="46F52C78"/>
    <w:rsid w:val="47CC5D51"/>
    <w:rsid w:val="48C8384B"/>
    <w:rsid w:val="49D310E0"/>
    <w:rsid w:val="4B222F02"/>
    <w:rsid w:val="4BFC353A"/>
    <w:rsid w:val="4C486DAE"/>
    <w:rsid w:val="4CD71DA0"/>
    <w:rsid w:val="4CFB26C0"/>
    <w:rsid w:val="4D673B78"/>
    <w:rsid w:val="4D73608C"/>
    <w:rsid w:val="4DE414C1"/>
    <w:rsid w:val="4E40110C"/>
    <w:rsid w:val="4E583347"/>
    <w:rsid w:val="4EF7020E"/>
    <w:rsid w:val="4F3B7EBF"/>
    <w:rsid w:val="4F8B4779"/>
    <w:rsid w:val="50492604"/>
    <w:rsid w:val="51355E94"/>
    <w:rsid w:val="516867E6"/>
    <w:rsid w:val="51A056CA"/>
    <w:rsid w:val="550D21E9"/>
    <w:rsid w:val="553E5415"/>
    <w:rsid w:val="5557338A"/>
    <w:rsid w:val="567231CD"/>
    <w:rsid w:val="56760D9B"/>
    <w:rsid w:val="578D0486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  <c:pt idx="1" c:formatCode="General">
                  <c:v>373.6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  <c:pt idx="1">
                  <c:v>107.3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  <c:pt idx="1" c:formatCode="General">
                  <c:v>13.5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  <c:pt idx="1">
                  <c:v>-9.7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  <c:pt idx="1">
                  <c:v>124.2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  <c:pt idx="1">
                  <c:v>8.1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2025年（元）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16669.9921588575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57009345794393"/>
                  <c:y val="-0.007093875620714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202647932991084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  <c:pt idx="2" c:formatCode="0.0_ ">
                  <c:v>35.3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  <c:pt idx="2" c:formatCode="0.0_ 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60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2025-04-24T02:20:06Z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