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127914"/>
    <w:rsid w:val="022A2E24"/>
    <w:rsid w:val="022E5173"/>
    <w:rsid w:val="025649A5"/>
    <w:rsid w:val="0292339B"/>
    <w:rsid w:val="02EE116F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6834C02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A33045"/>
    <w:rsid w:val="2DD27272"/>
    <w:rsid w:val="2DDC5888"/>
    <w:rsid w:val="2EE50BEB"/>
    <w:rsid w:val="2EFF1945"/>
    <w:rsid w:val="31A16699"/>
    <w:rsid w:val="31AB417C"/>
    <w:rsid w:val="32CB3626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4A11272"/>
    <w:rsid w:val="459E2E2D"/>
    <w:rsid w:val="45AC16F1"/>
    <w:rsid w:val="46624EAD"/>
    <w:rsid w:val="46F52C78"/>
    <w:rsid w:val="47CC5D51"/>
    <w:rsid w:val="48344318"/>
    <w:rsid w:val="48C8384B"/>
    <w:rsid w:val="49692F0B"/>
    <w:rsid w:val="49D310E0"/>
    <w:rsid w:val="49F277BC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1E42798"/>
    <w:rsid w:val="550D21E9"/>
    <w:rsid w:val="553E5415"/>
    <w:rsid w:val="5557338A"/>
    <w:rsid w:val="567231CD"/>
    <w:rsid w:val="56760D9B"/>
    <w:rsid w:val="578D0486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9E912AF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02252F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410284463894967"/>
                  <c:y val="0.0006213023521298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  <c:pt idx="2" c:formatCode="General">
                  <c:v>504.4</c:v>
                </c:pt>
                <c:pt idx="3" c:formatCode="General">
                  <c:v>629.9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50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50800" dir="17220000" algn="ctr" rotWithShape="0">
                <a:srgbClr val="000000">
                  <a:alpha val="43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  <c:pt idx="2">
                  <c:v>103.7</c:v>
                </c:pt>
                <c:pt idx="3">
                  <c:v>96.8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121084920891185"/>
                  <c:y val="0.04761904761904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  <c:pt idx="2" c:formatCode="General">
                  <c:v>21.6</c:v>
                </c:pt>
                <c:pt idx="3" c:formatCode="General">
                  <c:v>23.3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296317200507972"/>
                  <c:y val="0.073219436432216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2331028643996"/>
                  <c:y val="0.0099844686043931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  <c:pt idx="2">
                  <c:v>-1</c:v>
                </c:pt>
                <c:pt idx="3">
                  <c:v>2.1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  <c:pt idx="2">
                  <c:v>158</c:v>
                </c:pt>
                <c:pt idx="3">
                  <c:v>193.9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125284738041"/>
                  <c:y val="-0.0402594497875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05751708428246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4908883826879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  <c:pt idx="2">
                  <c:v>6.9</c:v>
                </c:pt>
                <c:pt idx="3">
                  <c:v>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57009345794393"/>
                  <c:y val="-0.007093875620714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02647932991084"/>
                  <c:y val="-0.003783102143757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  <c:pt idx="3">
                  <c:v>47.2</c:v>
                </c:pt>
                <c:pt idx="4">
                  <c:v>51.9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  <c:pt idx="3">
                  <c:v>4.6</c:v>
                </c:pt>
                <c:pt idx="4">
                  <c:v>3.3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200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2025-06-19T05:05:56Z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