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北京市卫生健康执法领域轻微违法行为不予行政处罚事项清单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val="0"/>
          <w:color w:val="auto"/>
          <w:sz w:val="44"/>
          <w:szCs w:val="44"/>
          <w:u w:val="none"/>
          <w:lang w:eastAsia="zh-CN"/>
        </w:rPr>
        <w:t>（</w:t>
      </w:r>
      <w:r>
        <w:rPr>
          <w:rFonts w:hint="eastAsia" w:ascii="方正小标宋简体" w:hAnsi="方正小标宋简体" w:eastAsia="方正小标宋简体" w:cs="方正小标宋简体"/>
          <w:b w:val="0"/>
          <w:bCs w:val="0"/>
          <w:color w:val="auto"/>
          <w:sz w:val="44"/>
          <w:szCs w:val="44"/>
          <w:u w:val="none"/>
          <w:lang w:val="en-US" w:eastAsia="zh-CN"/>
        </w:rPr>
        <w:t>医疗卫生专业</w:t>
      </w:r>
      <w:r>
        <w:rPr>
          <w:rFonts w:hint="eastAsia" w:ascii="方正小标宋简体" w:hAnsi="方正小标宋简体" w:eastAsia="方正小标宋简体" w:cs="方正小标宋简体"/>
          <w:b w:val="0"/>
          <w:bCs w:val="0"/>
          <w:color w:val="auto"/>
          <w:sz w:val="44"/>
          <w:szCs w:val="44"/>
          <w:u w:val="none"/>
          <w:lang w:eastAsia="zh-CN"/>
        </w:rPr>
        <w:t>）</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4"/>
        <w:gridCol w:w="1569"/>
        <w:gridCol w:w="2049"/>
        <w:gridCol w:w="3560"/>
        <w:gridCol w:w="2892"/>
        <w:gridCol w:w="1342"/>
        <w:gridCol w:w="791"/>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裁量基准编码</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违法行为</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处罚依据</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适用条件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管理措施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行使层级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序号1-13为《北京市卫生健康执法领域轻微违法行为不予行政处罚规则》中</w:t>
            </w:r>
          </w:p>
          <w:p>
            <w:pPr>
              <w:keepNext w:val="0"/>
              <w:keepLines w:val="0"/>
              <w:widowControl/>
              <w:suppressLineNumbers w:val="0"/>
              <w:spacing w:line="360" w:lineRule="exact"/>
              <w:jc w:val="center"/>
              <w:textAlignment w:val="center"/>
              <w:rPr>
                <w:rFonts w:hint="default"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0"/>
                <w:sz w:val="21"/>
                <w:szCs w:val="21"/>
                <w:u w:val="none"/>
                <w:lang w:val="en-US" w:eastAsia="zh-CN" w:bidi="ar"/>
              </w:rPr>
              <w:t>附件1《北京市卫生健康执法领域轻微违法行为不予行政处罚事项清单》内容。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 w:eastAsia="zh-CN" w:bidi="ar"/>
              </w:rPr>
            </w:pPr>
            <w:r>
              <w:rPr>
                <w:rFonts w:hint="default" w:ascii="宋体" w:hAnsi="宋体" w:eastAsia="宋体" w:cs="宋体"/>
                <w:i w:val="0"/>
                <w:color w:val="auto"/>
                <w:kern w:val="0"/>
                <w:sz w:val="21"/>
                <w:szCs w:val="21"/>
                <w:u w:val="none"/>
                <w:lang w:val="en" w:eastAsia="zh-CN" w:bidi="ar"/>
              </w:rPr>
              <w:t>1</w:t>
            </w:r>
            <w:r>
              <w:rPr>
                <w:rFonts w:hint="eastAsia" w:ascii="宋体" w:hAnsi="宋体" w:eastAsia="宋体" w:cs="宋体"/>
                <w:i w:val="0"/>
                <w:color w:val="auto"/>
                <w:kern w:val="0"/>
                <w:sz w:val="21"/>
                <w:szCs w:val="21"/>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C2827100C000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医疗卫生机构未制定、实施本机构护士在职培训计划，并保证护士接受培训的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《护士条例》第三十条 医疗卫生机构有下列情形之一的，由县级以上地方人民政府卫生主管部门依据职责分工责令限期改正，给予警告：（一）未制定、实施本机构护士在职培训计划或者未保证护士接受培训的；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1.违法行为轻微并及时改正，没有造成危害后果，医疗卫生机构制定但未实施本机构护士在职培训计划，</w:t>
            </w:r>
            <w:r>
              <w:rPr>
                <w:rFonts w:hint="eastAsia" w:ascii="宋体" w:hAnsi="宋体" w:eastAsia="宋体" w:cs="宋体"/>
                <w:i w:val="0"/>
                <w:color w:val="auto"/>
                <w:kern w:val="0"/>
                <w:sz w:val="21"/>
                <w:szCs w:val="21"/>
                <w:highlight w:val="none"/>
                <w:u w:val="none"/>
                <w:lang w:val="en-US" w:eastAsia="zh-CN" w:bidi="ar"/>
              </w:rPr>
              <w:t>违法行为持续时间不足30日，不涉及投诉举报、媒体负面报道、负面舆情。</w:t>
            </w:r>
          </w:p>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2.违法行为初次发生，且危害后果轻微，并能够及时改正，医疗卫生机构制定但未实施本机构护士在职培训计划，</w:t>
            </w:r>
            <w:r>
              <w:rPr>
                <w:rFonts w:hint="eastAsia" w:ascii="宋体" w:hAnsi="宋体" w:eastAsia="宋体" w:cs="宋体"/>
                <w:i w:val="0"/>
                <w:color w:val="auto"/>
                <w:kern w:val="0"/>
                <w:sz w:val="21"/>
                <w:szCs w:val="21"/>
                <w:highlight w:val="none"/>
                <w:u w:val="none"/>
                <w:lang w:val="en-US" w:eastAsia="zh-CN" w:bidi="ar"/>
              </w:rPr>
              <w:t>违法行为持续时间不足30日，不涉及投诉举报、媒体负面报道、负面舆情。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15</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C2827200C000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医疗卫生机构未履行护士管理职责的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SA"/>
              </w:rPr>
              <w:t>《护士条例》第三十条 医疗卫生机构有下列情形之一的，</w:t>
            </w:r>
            <w:r>
              <w:rPr>
                <w:rFonts w:hint="eastAsia" w:ascii="宋体" w:hAnsi="宋体" w:eastAsia="宋体" w:cs="宋体"/>
                <w:i w:val="0"/>
                <w:color w:val="auto"/>
                <w:kern w:val="0"/>
                <w:sz w:val="21"/>
                <w:szCs w:val="21"/>
                <w:u w:val="none"/>
                <w:lang w:val="en-US" w:eastAsia="zh-CN" w:bidi="ar"/>
              </w:rPr>
              <w:t>由县级以上地方人民政府卫生主管部门依据职责分工</w:t>
            </w:r>
            <w:r>
              <w:rPr>
                <w:rFonts w:hint="eastAsia" w:ascii="宋体" w:hAnsi="宋体" w:eastAsia="宋体" w:cs="宋体"/>
                <w:i w:val="0"/>
                <w:color w:val="auto"/>
                <w:kern w:val="0"/>
                <w:sz w:val="21"/>
                <w:szCs w:val="21"/>
                <w:u w:val="none"/>
                <w:lang w:val="en-US" w:eastAsia="zh-CN" w:bidi="ar-SA"/>
              </w:rPr>
              <w:t>责令限期改正，给予警告：（二）未依照本条例规定履行护士管理职责的。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，医疗卫生机构未建立护士岗位责任制并进行监督检查，不涉及投诉举报、媒体负面报道、负面舆情。</w:t>
            </w:r>
          </w:p>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2.违法行为初次发生，且危害后果轻微，并能够及时改正，医疗卫生机构未建立护士岗位责任制并进行监督检查，不涉及投诉举报、媒体负面报道、负面舆情。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16</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C2892600A010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未按照规定建立医疗器械临床使用管理工作制度的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《医疗器械临床使用管理办法》第四十五条</w:t>
            </w:r>
            <w:r>
              <w:rPr>
                <w:rStyle w:val="8"/>
                <w:rFonts w:hint="eastAsia" w:ascii="宋体" w:hAnsi="宋体" w:eastAsia="宋体" w:cs="宋体"/>
                <w:color w:val="auto"/>
                <w:sz w:val="21"/>
                <w:szCs w:val="21"/>
                <w:lang w:val="en-US" w:eastAsia="zh-CN" w:bidi="ar-SA"/>
              </w:rPr>
              <w:t>  </w:t>
            </w:r>
            <w:r>
              <w:rPr>
                <w:rStyle w:val="10"/>
                <w:rFonts w:hint="eastAsia" w:ascii="宋体" w:hAnsi="宋体" w:eastAsia="宋体" w:cs="宋体"/>
                <w:color w:val="auto"/>
                <w:sz w:val="21"/>
                <w:szCs w:val="21"/>
                <w:lang w:val="en-US" w:eastAsia="zh-CN" w:bidi="ar-SA"/>
              </w:rPr>
              <w:t>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pPr>
              <w:keepNext w:val="0"/>
              <w:keepLines w:val="0"/>
              <w:widowControl/>
              <w:numPr>
                <w:ilvl w:val="0"/>
                <w:numId w:val="0"/>
              </w:numPr>
              <w:suppressLineNumbers w:val="0"/>
              <w:spacing w:line="30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17</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C2893100A010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未按照规定设立医疗器械临床使用管理委员会或者配备专（兼）职人员负责本机构医疗器械临床使用管理工作的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临床使用管理办法》第四十五条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pPr>
              <w:keepNext w:val="0"/>
              <w:keepLines w:val="0"/>
              <w:widowControl/>
              <w:numPr>
                <w:ilvl w:val="0"/>
                <w:numId w:val="0"/>
              </w:numPr>
              <w:suppressLineNumbers w:val="0"/>
              <w:spacing w:line="340" w:lineRule="exact"/>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18</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C2884500A010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医疗器械使用单位未按照规定将大型医疗器械以及植入和介入类医疗器械的信息记载到病历等相关记录中的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《医疗器械监督管理条例》第九十条第（三）项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w:t>
            </w:r>
          </w:p>
          <w:p>
            <w:pPr>
              <w:keepNext w:val="0"/>
              <w:keepLines w:val="0"/>
              <w:widowControl/>
              <w:numPr>
                <w:ilvl w:val="0"/>
                <w:numId w:val="0"/>
              </w:numPr>
              <w:suppressLineNumbers w:val="0"/>
              <w:spacing w:line="340" w:lineRule="exact"/>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 w:eastAsia="zh-CN" w:bidi="ar"/>
              </w:rPr>
              <w:t>1</w:t>
            </w:r>
            <w:r>
              <w:rPr>
                <w:rFonts w:hint="eastAsia" w:ascii="宋体" w:hAnsi="宋体" w:eastAsia="宋体" w:cs="宋体"/>
                <w:i w:val="0"/>
                <w:color w:val="auto"/>
                <w:kern w:val="0"/>
                <w:sz w:val="21"/>
                <w:szCs w:val="21"/>
                <w:u w:val="none"/>
                <w:lang w:val="en-US" w:eastAsia="zh-CN" w:bidi="ar"/>
              </w:rPr>
              <w:t>.违法行为初次发生，</w:t>
            </w:r>
            <w:r>
              <w:rPr>
                <w:rFonts w:hint="eastAsia" w:ascii="宋体" w:hAnsi="宋体" w:eastAsia="宋体" w:cs="宋体"/>
                <w:i w:val="0"/>
                <w:color w:val="auto"/>
                <w:kern w:val="0"/>
                <w:sz w:val="21"/>
                <w:szCs w:val="21"/>
                <w:highlight w:val="none"/>
                <w:u w:val="none"/>
                <w:lang w:val="en-US" w:eastAsia="zh-CN" w:bidi="ar"/>
              </w:rPr>
              <w:t>且危害后果无或轻微，</w:t>
            </w:r>
            <w:r>
              <w:rPr>
                <w:rFonts w:hint="eastAsia" w:ascii="宋体" w:hAnsi="宋体" w:eastAsia="宋体" w:cs="宋体"/>
                <w:i w:val="0"/>
                <w:color w:val="auto"/>
                <w:kern w:val="0"/>
                <w:sz w:val="21"/>
                <w:szCs w:val="21"/>
                <w:u w:val="none"/>
                <w:lang w:val="en-US" w:eastAsia="zh-CN" w:bidi="ar"/>
              </w:rPr>
              <w:t>并能够及时改正，</w:t>
            </w:r>
            <w:r>
              <w:rPr>
                <w:rFonts w:hint="eastAsia" w:ascii="宋体" w:hAnsi="宋体" w:eastAsia="宋体" w:cs="宋体"/>
                <w:i w:val="0"/>
                <w:color w:val="auto"/>
                <w:kern w:val="0"/>
                <w:sz w:val="21"/>
                <w:szCs w:val="21"/>
                <w:highlight w:val="none"/>
                <w:u w:val="none"/>
                <w:lang w:val="en-US" w:eastAsia="zh-CN" w:bidi="ar-SA"/>
              </w:rPr>
              <w:t>医疗器械使用单位</w:t>
            </w:r>
            <w:r>
              <w:rPr>
                <w:rFonts w:hint="eastAsia" w:ascii="宋体" w:hAnsi="宋体" w:eastAsia="宋体" w:cs="宋体"/>
                <w:i w:val="0"/>
                <w:color w:val="auto"/>
                <w:kern w:val="0"/>
                <w:sz w:val="21"/>
                <w:szCs w:val="21"/>
                <w:highlight w:val="none"/>
                <w:u w:val="none"/>
                <w:lang w:val="en-US" w:eastAsia="zh-CN" w:bidi="ar"/>
              </w:rPr>
              <w:t>能通过相关记录证明确已合法使用</w:t>
            </w:r>
            <w:r>
              <w:rPr>
                <w:rFonts w:hint="eastAsia" w:ascii="宋体" w:hAnsi="宋体" w:eastAsia="宋体" w:cs="宋体"/>
                <w:i w:val="0"/>
                <w:color w:val="auto"/>
                <w:kern w:val="0"/>
                <w:sz w:val="21"/>
                <w:szCs w:val="21"/>
                <w:highlight w:val="none"/>
                <w:u w:val="none"/>
                <w:lang w:val="en-US" w:eastAsia="zh-CN" w:bidi="ar-SA"/>
              </w:rPr>
              <w:t>大型医疗器械、植入和介入类医疗器械</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19</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C2830800B010</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医疗机构无专职或者兼职人员负责本单位药品不良反应监测工作的</w:t>
            </w:r>
          </w:p>
        </w:tc>
        <w:tc>
          <w:tcPr>
            <w:tcW w:w="1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《药品不良反应报告和监测管理办法》第六十条 医疗机构有下列情形之一的，由所在地卫生行政部门给予警告，责令限期改正；逾期不改的，处3万元以下的罚款：（一）无专职或者兼职人员负责本单位药品不良反应监测工作的；</w:t>
            </w:r>
          </w:p>
        </w:tc>
        <w:tc>
          <w:tcPr>
            <w:tcW w:w="10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符合下列情形之一：</w:t>
            </w:r>
          </w:p>
          <w:p>
            <w:pPr>
              <w:keepNext w:val="0"/>
              <w:keepLines w:val="0"/>
              <w:widowControl/>
              <w:suppressLineNumbers w:val="0"/>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1.违法行为轻微并及时改正，没有造成危害后果，</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p>
            <w:pPr>
              <w:keepNext w:val="0"/>
              <w:keepLines w:val="0"/>
              <w:widowControl/>
              <w:numPr>
                <w:ilvl w:val="0"/>
                <w:numId w:val="0"/>
              </w:numPr>
              <w:suppressLineNumbers w:val="0"/>
              <w:spacing w:line="340" w:lineRule="exact"/>
              <w:ind w:left="0" w:leftChars="0" w:firstLine="0" w:firstLineChars="0"/>
              <w:jc w:val="left"/>
              <w:textAlignment w:val="center"/>
              <w:rPr>
                <w:rFonts w:hint="default" w:ascii="宋体" w:hAnsi="宋体" w:eastAsia="宋体" w:cs="宋体"/>
                <w:i w:val="0"/>
                <w:color w:val="auto"/>
                <w:kern w:val="0"/>
                <w:sz w:val="21"/>
                <w:szCs w:val="21"/>
                <w:u w:val="none"/>
                <w:lang w:val="en" w:eastAsia="zh-CN" w:bidi="ar"/>
              </w:rPr>
            </w:pPr>
            <w:r>
              <w:rPr>
                <w:rFonts w:hint="eastAsia" w:ascii="宋体" w:hAnsi="宋体" w:eastAsia="宋体" w:cs="宋体"/>
                <w:i w:val="0"/>
                <w:color w:val="auto"/>
                <w:kern w:val="0"/>
                <w:sz w:val="21"/>
                <w:szCs w:val="21"/>
                <w:u w:val="none"/>
                <w:lang w:val="en-US" w:eastAsia="zh-CN" w:bidi="ar"/>
              </w:rPr>
              <w:t>2.违法行为初次发生，且危害后果轻微，并能够及时改正，</w:t>
            </w:r>
            <w:r>
              <w:rPr>
                <w:rFonts w:hint="eastAsia" w:ascii="宋体" w:hAnsi="宋体" w:eastAsia="宋体" w:cs="宋体"/>
                <w:i w:val="0"/>
                <w:color w:val="auto"/>
                <w:kern w:val="0"/>
                <w:sz w:val="21"/>
                <w:szCs w:val="21"/>
                <w:highlight w:val="none"/>
                <w:u w:val="none"/>
                <w:lang w:val="en-US" w:eastAsia="zh-CN" w:bidi="ar"/>
              </w:rPr>
              <w:t>不涉及投诉举报、媒体负面报道、负面舆情。</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要求当事人改正违法行为，按照整改期限提交整改情况报告，签订《合法诚信承诺书》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市区两级</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auto"/>
                <w:kern w:val="2"/>
                <w:sz w:val="21"/>
                <w:szCs w:val="21"/>
                <w:u w:val="none"/>
                <w:lang w:val="en" w:eastAsia="zh-CN" w:bidi="ar-SA"/>
              </w:rPr>
            </w:pPr>
            <w:r>
              <w:rPr>
                <w:rFonts w:hint="eastAsia" w:ascii="宋体" w:hAnsi="宋体" w:eastAsia="宋体" w:cs="宋体"/>
                <w:i w:val="0"/>
                <w:color w:val="auto"/>
                <w:kern w:val="2"/>
                <w:sz w:val="21"/>
                <w:szCs w:val="21"/>
                <w:u w:val="none"/>
                <w:lang w:val="en" w:eastAsia="zh-CN" w:bidi="ar-SA"/>
              </w:rPr>
              <w:t>医疗</w:t>
            </w:r>
            <w:r>
              <w:rPr>
                <w:rFonts w:hint="eastAsia" w:ascii="宋体" w:hAnsi="宋体" w:eastAsia="宋体" w:cs="宋体"/>
                <w:i w:val="0"/>
                <w:color w:val="auto"/>
                <w:kern w:val="2"/>
                <w:sz w:val="21"/>
                <w:szCs w:val="21"/>
                <w:u w:val="none"/>
                <w:lang w:val="en-US" w:eastAsia="zh-CN" w:bidi="ar-SA"/>
              </w:rPr>
              <w:t xml:space="preserve"> </w:t>
            </w:r>
            <w:r>
              <w:rPr>
                <w:rFonts w:hint="eastAsia" w:ascii="宋体" w:hAnsi="宋体" w:eastAsia="宋体" w:cs="宋体"/>
                <w:i w:val="0"/>
                <w:color w:val="auto"/>
                <w:kern w:val="2"/>
                <w:sz w:val="21"/>
                <w:szCs w:val="21"/>
                <w:u w:val="none"/>
                <w:lang w:val="en" w:eastAsia="zh-CN" w:bidi="ar-SA"/>
              </w:rPr>
              <w:t>卫生</w:t>
            </w:r>
          </w:p>
        </w:tc>
      </w:tr>
    </w:tbl>
    <w:p>
      <w:pPr>
        <w:pStyle w:val="2"/>
        <w:ind w:left="0" w:leftChars="0" w:firstLine="0" w:firstLineChars="0"/>
        <w:rPr>
          <w:rFonts w:hint="eastAsia"/>
          <w:lang w:val="en-US" w:eastAsia="zh-CN"/>
        </w:rPr>
      </w:pPr>
    </w:p>
    <w:p>
      <w:bookmarkStart w:id="0" w:name="_GoBack"/>
      <w:bookmarkEnd w:id="0"/>
    </w:p>
    <w:sectPr>
      <w:headerReference r:id="rId3" w:type="default"/>
      <w:footerReference r:id="rId4" w:type="default"/>
      <w:footerReference r:id="rId5" w:type="even"/>
      <w:pgSz w:w="16838" w:h="11906" w:orient="landscape"/>
      <w:pgMar w:top="1588" w:right="1985"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PUA" w:eastAsia="宋体-PUA"/>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楷体_GB2312" w:cs="Times New Roman"/>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34E34"/>
    <w:rsid w:val="3DAE4C09"/>
    <w:rsid w:val="7DE3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51"/>
    <w:basedOn w:val="6"/>
    <w:qFormat/>
    <w:uiPriority w:val="0"/>
    <w:rPr>
      <w:rFonts w:ascii="DejaVu Sans" w:hAnsi="DejaVu Sans" w:eastAsia="DejaVu Sans" w:cs="DejaVu Sans"/>
      <w:color w:val="000000"/>
      <w:sz w:val="18"/>
      <w:szCs w:val="18"/>
      <w:u w:val="none"/>
    </w:rPr>
  </w:style>
  <w:style w:type="paragraph" w:customStyle="1" w:styleId="9">
    <w:name w:val=" Char"/>
    <w:basedOn w:val="1"/>
    <w:qFormat/>
    <w:uiPriority w:val="0"/>
    <w:rPr>
      <w:rFonts w:ascii="宋体" w:hAnsi="宋体" w:cs="Courier New"/>
      <w:sz w:val="32"/>
      <w:szCs w:val="32"/>
    </w:rPr>
  </w:style>
  <w:style w:type="character" w:customStyle="1" w:styleId="10">
    <w:name w:val="font9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2025-05-20T09:28:00Z</dcterms:created>
  <dc:creator>秉</dc:creator>
  <cp:lastModifiedBy>朱林</cp:lastModifiedBy>
  <dcterms:modified xsi:type="dcterms:W3CDTF">2026-06-30T06:39:52Z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ECD808A5FE4F472B8C395E4C8BB7F5A4_11</vt:lpwstr>
  </property>
  <property fmtid="{D5CDD505-2E9C-101B-9397-08002B2CF9AE}" pid="4" name="KSOTemplateDocerSaveRecord">
    <vt:lpwstr>eyJoZGlkIjoiZjVhODU4MDQwZjkzNDlhNmY5ZjRmZjI0N2EyMWE3ZTIiLCJ1c2VySWQiOiI1MjM0MjE0NjQifQ==</vt:lpwstr>
  </property>
</Properties>
</file>