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both"/>
        <w:rPr>
          <w:rFonts w:hint="default"/>
          <w:color w:val="auto"/>
          <w:highlight w:val="none"/>
          <w:lang w:val="en-US"/>
        </w:rPr>
      </w:pPr>
      <w:bookmarkStart w:id="363" w:name="_GoBack"/>
      <w:bookmarkEnd w:id="363"/>
      <w:r>
        <w:rPr>
          <w:rFonts w:hint="eastAsia" w:ascii="黑体" w:hAnsi="黑体" w:eastAsia="黑体" w:cs="黑体"/>
          <w:color w:val="auto"/>
          <w:sz w:val="28"/>
          <w:szCs w:val="28"/>
          <w:highlight w:val="none"/>
          <w:lang w:eastAsia="zh-CN"/>
        </w:rPr>
        <w:t>附件</w:t>
      </w:r>
      <w:r>
        <w:rPr>
          <w:rFonts w:hint="eastAsia" w:ascii="黑体" w:hAnsi="黑体" w:eastAsia="黑体" w:cs="黑体"/>
          <w:color w:val="auto"/>
          <w:sz w:val="28"/>
          <w:szCs w:val="28"/>
          <w:highlight w:val="none"/>
          <w:lang w:val="en-US" w:eastAsia="zh-CN"/>
        </w:rPr>
        <w:t>1</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北京市</w:t>
      </w:r>
      <w:r>
        <w:rPr>
          <w:rFonts w:hint="eastAsia" w:ascii="方正小标宋简体" w:hAnsi="方正小标宋简体" w:eastAsia="方正小标宋简体" w:cs="方正小标宋简体"/>
          <w:color w:val="auto"/>
          <w:sz w:val="44"/>
          <w:szCs w:val="44"/>
          <w:highlight w:val="none"/>
          <w:lang w:val="en-US" w:eastAsia="zh-CN"/>
        </w:rPr>
        <w:t>城市管理综合行政</w:t>
      </w:r>
      <w:r>
        <w:rPr>
          <w:rFonts w:hint="eastAsia" w:ascii="方正小标宋简体" w:hAnsi="方正小标宋简体" w:eastAsia="方正小标宋简体" w:cs="方正小标宋简体"/>
          <w:color w:val="auto"/>
          <w:sz w:val="44"/>
          <w:szCs w:val="44"/>
          <w:highlight w:val="none"/>
        </w:rPr>
        <w:t>执法</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eastAsia="zh-CN"/>
        </w:rPr>
        <w:t>行政</w:t>
      </w:r>
      <w:r>
        <w:rPr>
          <w:rFonts w:hint="eastAsia" w:ascii="方正小标宋简体" w:hAnsi="方正小标宋简体" w:eastAsia="方正小标宋简体" w:cs="方正小标宋简体"/>
          <w:color w:val="auto"/>
          <w:sz w:val="44"/>
          <w:szCs w:val="44"/>
          <w:highlight w:val="none"/>
        </w:rPr>
        <w:t>处罚裁量基准表</w:t>
      </w:r>
    </w:p>
    <w:p>
      <w:pPr>
        <w:bidi w:val="0"/>
        <w:jc w:val="center"/>
        <w:rPr>
          <w:rFonts w:hint="eastAsia" w:ascii="仿宋_GB2312" w:hAnsi="仿宋_GB2312" w:eastAsia="仿宋_GB2312" w:cs="仿宋_GB2312"/>
          <w:color w:val="auto"/>
          <w:sz w:val="32"/>
          <w:szCs w:val="32"/>
          <w:highlight w:val="none"/>
        </w:rPr>
      </w:pPr>
    </w:p>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_Toc1313145976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_Toc1313145976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_Toc757395256 </w:instrText>
      </w:r>
      <w:r>
        <w:rPr>
          <w:highlight w:val="none"/>
        </w:rPr>
        <w:fldChar w:fldCharType="separate"/>
      </w:r>
      <w:r>
        <w:rPr>
          <w:rFonts w:hint="eastAsia" w:ascii="宋体" w:hAnsi="宋体" w:eastAsia="宋体"/>
          <w:szCs w:val="21"/>
          <w:highlight w:val="none"/>
        </w:rPr>
        <w:t>《北京市市容环境卫生条例》案由56项</w:t>
      </w:r>
      <w:r>
        <w:tab/>
      </w:r>
      <w:r>
        <w:fldChar w:fldCharType="begin"/>
      </w:r>
      <w:r>
        <w:instrText xml:space="preserve"> PAGEREF _Toc757395256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_Toc686287855 </w:instrText>
      </w:r>
      <w:r>
        <w:rPr>
          <w:highlight w:val="none"/>
        </w:rPr>
        <w:fldChar w:fldCharType="separate"/>
      </w:r>
      <w:r>
        <w:rPr>
          <w:rFonts w:hint="eastAsia" w:ascii="宋体" w:hAnsi="宋体" w:eastAsia="宋体"/>
          <w:szCs w:val="21"/>
          <w:highlight w:val="none"/>
        </w:rPr>
        <w:t>《北京市生活垃圾管理条例》案由</w:t>
      </w:r>
      <w:r>
        <w:rPr>
          <w:rFonts w:ascii="宋体" w:hAnsi="宋体" w:eastAsia="宋体"/>
          <w:szCs w:val="21"/>
          <w:highlight w:val="none"/>
        </w:rPr>
        <w:t>36</w:t>
      </w:r>
      <w:r>
        <w:rPr>
          <w:rFonts w:hint="eastAsia" w:ascii="宋体" w:hAnsi="宋体" w:eastAsia="宋体"/>
          <w:szCs w:val="21"/>
          <w:highlight w:val="none"/>
        </w:rPr>
        <w:t>项</w:t>
      </w:r>
      <w:r>
        <w:tab/>
      </w:r>
      <w:r>
        <w:fldChar w:fldCharType="begin"/>
      </w:r>
      <w:r>
        <w:instrText xml:space="preserve"> PAGEREF _Toc686287855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_Toc1765670272 </w:instrText>
      </w:r>
      <w:r>
        <w:rPr>
          <w:highlight w:val="none"/>
        </w:rPr>
        <w:fldChar w:fldCharType="separate"/>
      </w:r>
      <w:r>
        <w:rPr>
          <w:rFonts w:hint="eastAsia" w:ascii="宋体" w:hAnsi="宋体" w:eastAsia="宋体"/>
          <w:szCs w:val="21"/>
          <w:highlight w:val="none"/>
        </w:rPr>
        <w:t>《城市生活垃圾管理办法》案由11项</w:t>
      </w:r>
      <w:r>
        <w:tab/>
      </w:r>
      <w:r>
        <w:fldChar w:fldCharType="begin"/>
      </w:r>
      <w:r>
        <w:instrText xml:space="preserve"> PAGEREF _Toc1765670272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_Toc206588106 </w:instrText>
      </w:r>
      <w:r>
        <w:rPr>
          <w:highlight w:val="none"/>
        </w:rPr>
        <w:fldChar w:fldCharType="separate"/>
      </w:r>
      <w:r>
        <w:rPr>
          <w:rFonts w:hint="eastAsia" w:ascii="宋体" w:hAnsi="宋体" w:eastAsia="宋体"/>
          <w:szCs w:val="21"/>
          <w:highlight w:val="none"/>
        </w:rPr>
        <w:t>《城市建筑垃圾管理规定》案由11项</w:t>
      </w:r>
      <w:r>
        <w:tab/>
      </w:r>
      <w:r>
        <w:fldChar w:fldCharType="begin"/>
      </w:r>
      <w:r>
        <w:instrText xml:space="preserve"> PAGEREF _Toc206588106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_Toc2048113795 </w:instrText>
      </w:r>
      <w:r>
        <w:rPr>
          <w:highlight w:val="none"/>
        </w:rPr>
        <w:fldChar w:fldCharType="separate"/>
      </w:r>
      <w:r>
        <w:rPr>
          <w:rFonts w:hint="eastAsia" w:ascii="宋体" w:hAnsi="宋体" w:eastAsia="宋体"/>
          <w:szCs w:val="21"/>
          <w:highlight w:val="none"/>
        </w:rPr>
        <w:t>《中华人民共和国固体废物污染环境防治法》案由</w:t>
      </w:r>
      <w:r>
        <w:rPr>
          <w:rFonts w:ascii="宋体" w:hAnsi="宋体" w:eastAsia="宋体"/>
          <w:szCs w:val="21"/>
          <w:highlight w:val="none"/>
        </w:rPr>
        <w:t>10</w:t>
      </w:r>
      <w:r>
        <w:rPr>
          <w:rFonts w:hint="eastAsia" w:ascii="宋体" w:hAnsi="宋体" w:eastAsia="宋体"/>
          <w:szCs w:val="21"/>
          <w:highlight w:val="none"/>
        </w:rPr>
        <w:t>项</w:t>
      </w:r>
      <w:r>
        <w:tab/>
      </w:r>
      <w:r>
        <w:fldChar w:fldCharType="begin"/>
      </w:r>
      <w:r>
        <w:instrText xml:space="preserve"> PAGEREF _Toc2048113795 \h </w:instrText>
      </w:r>
      <w:r>
        <w:fldChar w:fldCharType="separate"/>
      </w:r>
      <w:r>
        <w:t>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_Toc758126680 </w:instrText>
      </w:r>
      <w:r>
        <w:rPr>
          <w:highlight w:val="none"/>
        </w:rPr>
        <w:fldChar w:fldCharType="separate"/>
      </w:r>
      <w:r>
        <w:rPr>
          <w:rFonts w:hint="eastAsia" w:ascii="宋体" w:hAnsi="宋体" w:eastAsia="宋体"/>
          <w:szCs w:val="21"/>
          <w:highlight w:val="none"/>
        </w:rPr>
        <w:t>《北京市人民政府关于扫雪铲冰管理的规定》案由1项</w:t>
      </w:r>
      <w:r>
        <w:tab/>
      </w:r>
      <w:r>
        <w:fldChar w:fldCharType="begin"/>
      </w:r>
      <w:r>
        <w:instrText xml:space="preserve"> PAGEREF _Toc758126680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_Toc577705582 </w:instrText>
      </w:r>
      <w:r>
        <w:rPr>
          <w:highlight w:val="none"/>
        </w:rPr>
        <w:fldChar w:fldCharType="separate"/>
      </w:r>
      <w:r>
        <w:rPr>
          <w:rFonts w:hint="eastAsia" w:ascii="宋体" w:hAnsi="宋体" w:eastAsia="宋体"/>
          <w:szCs w:val="21"/>
          <w:highlight w:val="none"/>
        </w:rPr>
        <w:t>《北京市户外广告设施、牌匾标识和标语宣传品设置管理条例》案由14项</w:t>
      </w:r>
      <w:r>
        <w:tab/>
      </w:r>
      <w:r>
        <w:fldChar w:fldCharType="begin"/>
      </w:r>
      <w:r>
        <w:instrText xml:space="preserve"> PAGEREF _Toc577705582 \h </w:instrText>
      </w:r>
      <w:r>
        <w:fldChar w:fldCharType="separate"/>
      </w:r>
      <w:r>
        <w:t>31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_Toc1488943236 </w:instrText>
      </w:r>
      <w:r>
        <w:rPr>
          <w:highlight w:val="none"/>
        </w:rPr>
        <w:fldChar w:fldCharType="separate"/>
      </w:r>
      <w:r>
        <w:rPr>
          <w:rFonts w:hint="eastAsia" w:ascii="宋体" w:hAnsi="宋体" w:eastAsia="宋体"/>
          <w:szCs w:val="21"/>
          <w:highlight w:val="none"/>
        </w:rPr>
        <w:t>《北京市标语宣传品设置管理规定》案由6项</w:t>
      </w:r>
      <w:r>
        <w:tab/>
      </w:r>
      <w:r>
        <w:fldChar w:fldCharType="begin"/>
      </w:r>
      <w:r>
        <w:instrText xml:space="preserve"> PAGEREF _Toc1488943236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_Toc666726954 </w:instrText>
      </w:r>
      <w:r>
        <w:rPr>
          <w:highlight w:val="none"/>
        </w:rPr>
        <w:fldChar w:fldCharType="separate"/>
      </w:r>
      <w:r>
        <w:rPr>
          <w:rFonts w:hint="eastAsia" w:ascii="宋体" w:hAnsi="宋体" w:eastAsia="宋体"/>
          <w:szCs w:val="21"/>
          <w:highlight w:val="none"/>
        </w:rPr>
        <w:t>《北京市城市道路和公共场所环境卫生管理若干规定》案由7项</w:t>
      </w:r>
      <w:r>
        <w:tab/>
      </w:r>
      <w:r>
        <w:fldChar w:fldCharType="begin"/>
      </w:r>
      <w:r>
        <w:instrText xml:space="preserve"> PAGEREF _Toc666726954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_Toc938704773 </w:instrText>
      </w:r>
      <w:r>
        <w:rPr>
          <w:highlight w:val="none"/>
        </w:rPr>
        <w:fldChar w:fldCharType="separate"/>
      </w:r>
      <w:r>
        <w:rPr>
          <w:rFonts w:hint="eastAsia" w:ascii="宋体" w:hAnsi="宋体" w:eastAsia="宋体"/>
          <w:szCs w:val="21"/>
          <w:highlight w:val="none"/>
        </w:rPr>
        <w:t>《北京市建筑</w:t>
      </w:r>
      <w:r>
        <w:rPr>
          <w:rFonts w:ascii="宋体" w:hAnsi="宋体" w:eastAsia="宋体"/>
          <w:szCs w:val="21"/>
          <w:highlight w:val="none"/>
        </w:rPr>
        <w:t>垃圾处置管理规定</w:t>
      </w:r>
      <w:r>
        <w:rPr>
          <w:rFonts w:hint="eastAsia" w:ascii="宋体" w:hAnsi="宋体" w:eastAsia="宋体"/>
          <w:szCs w:val="21"/>
          <w:highlight w:val="none"/>
        </w:rPr>
        <w:t>》案由</w:t>
      </w:r>
      <w:r>
        <w:rPr>
          <w:rFonts w:ascii="宋体" w:hAnsi="宋体" w:eastAsia="宋体"/>
          <w:szCs w:val="21"/>
          <w:highlight w:val="none"/>
        </w:rPr>
        <w:t>24</w:t>
      </w:r>
      <w:r>
        <w:rPr>
          <w:rFonts w:hint="eastAsia" w:ascii="宋体" w:hAnsi="宋体" w:eastAsia="宋体"/>
          <w:szCs w:val="21"/>
          <w:highlight w:val="none"/>
        </w:rPr>
        <w:t>项</w:t>
      </w:r>
      <w:r>
        <w:tab/>
      </w:r>
      <w:r>
        <w:fldChar w:fldCharType="begin"/>
      </w:r>
      <w:r>
        <w:instrText xml:space="preserve"> PAGEREF _Toc938704773 \h </w:instrText>
      </w:r>
      <w:r>
        <w:fldChar w:fldCharType="separate"/>
      </w:r>
      <w:r>
        <w:t>36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_Toc354917189 </w:instrText>
      </w:r>
      <w:r>
        <w:rPr>
          <w:highlight w:val="none"/>
        </w:rPr>
        <w:fldChar w:fldCharType="separate"/>
      </w:r>
      <w:r>
        <w:rPr>
          <w:rFonts w:hint="eastAsia" w:ascii="宋体" w:hAnsi="宋体" w:eastAsia="宋体"/>
          <w:szCs w:val="21"/>
          <w:highlight w:val="none"/>
        </w:rPr>
        <w:t>《北京市养犬管理规定》案由1项</w:t>
      </w:r>
      <w:r>
        <w:tab/>
      </w:r>
      <w:r>
        <w:fldChar w:fldCharType="begin"/>
      </w:r>
      <w:r>
        <w:instrText xml:space="preserve"> PAGEREF _Toc354917189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_Toc65248453 </w:instrText>
      </w:r>
      <w:r>
        <w:rPr>
          <w:highlight w:val="none"/>
        </w:rPr>
        <w:fldChar w:fldCharType="separate"/>
      </w:r>
      <w:r>
        <w:rPr>
          <w:rFonts w:hint="eastAsia" w:ascii="宋体" w:hAnsi="宋体" w:eastAsia="宋体"/>
          <w:szCs w:val="21"/>
          <w:highlight w:val="none"/>
        </w:rPr>
        <w:t>《北京市长城保护管理办法》案由1项</w:t>
      </w:r>
      <w:r>
        <w:tab/>
      </w:r>
      <w:r>
        <w:fldChar w:fldCharType="begin"/>
      </w:r>
      <w:r>
        <w:instrText xml:space="preserve"> PAGEREF _Toc65248453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_Toc359698714 </w:instrText>
      </w:r>
      <w:r>
        <w:rPr>
          <w:highlight w:val="none"/>
        </w:rPr>
        <w:fldChar w:fldCharType="separate"/>
      </w:r>
      <w:r>
        <w:rPr>
          <w:rFonts w:hint="eastAsia" w:ascii="宋体" w:hAnsi="宋体" w:eastAsia="宋体"/>
          <w:szCs w:val="21"/>
          <w:highlight w:val="none"/>
        </w:rPr>
        <w:t>《北京历史文化名城保护条例》案由1项</w:t>
      </w:r>
      <w:r>
        <w:tab/>
      </w:r>
      <w:r>
        <w:fldChar w:fldCharType="begin"/>
      </w:r>
      <w:r>
        <w:instrText xml:space="preserve"> PAGEREF _Toc359698714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_Toc472363297 </w:instrText>
      </w:r>
      <w:r>
        <w:rPr>
          <w:highlight w:val="none"/>
        </w:rPr>
        <w:fldChar w:fldCharType="separate"/>
      </w:r>
      <w:r>
        <w:rPr>
          <w:rFonts w:hint="eastAsia" w:ascii="宋体" w:hAnsi="宋体" w:eastAsia="宋体"/>
          <w:szCs w:val="21"/>
          <w:highlight w:val="none"/>
        </w:rPr>
        <w:t>《北京市架空线管理若干规定》案由</w:t>
      </w:r>
      <w:r>
        <w:rPr>
          <w:rFonts w:ascii="宋体" w:hAnsi="宋体" w:eastAsia="宋体"/>
          <w:szCs w:val="21"/>
          <w:highlight w:val="none"/>
        </w:rPr>
        <w:t>7</w:t>
      </w:r>
      <w:r>
        <w:rPr>
          <w:rFonts w:hint="eastAsia" w:ascii="宋体" w:hAnsi="宋体" w:eastAsia="宋体"/>
          <w:szCs w:val="21"/>
          <w:highlight w:val="none"/>
        </w:rPr>
        <w:t>项</w:t>
      </w:r>
      <w:r>
        <w:tab/>
      </w:r>
      <w:r>
        <w:fldChar w:fldCharType="begin"/>
      </w:r>
      <w:r>
        <w:instrText xml:space="preserve"> PAGEREF _Toc472363297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_Toc1588431003 </w:instrText>
      </w:r>
      <w:r>
        <w:rPr>
          <w:highlight w:val="none"/>
        </w:rPr>
        <w:fldChar w:fldCharType="separate"/>
      </w:r>
      <w:r>
        <w:rPr>
          <w:rFonts w:hint="eastAsia" w:ascii="宋体" w:hAnsi="宋体" w:eastAsia="宋体"/>
          <w:szCs w:val="21"/>
          <w:highlight w:val="none"/>
        </w:rPr>
        <w:t>《城市照明管理规定》案由2项</w:t>
      </w:r>
      <w:r>
        <w:tab/>
      </w:r>
      <w:r>
        <w:fldChar w:fldCharType="begin"/>
      </w:r>
      <w:r>
        <w:instrText xml:space="preserve"> PAGEREF _Toc1588431003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_Toc740825924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物业管理条例</w:t>
      </w:r>
      <w:r>
        <w:rPr>
          <w:rFonts w:hint="eastAsia" w:ascii="宋体" w:hAnsi="宋体" w:eastAsia="宋体"/>
          <w:szCs w:val="21"/>
          <w:highlight w:val="none"/>
        </w:rPr>
        <w:t>》案由1项</w:t>
      </w:r>
      <w:r>
        <w:tab/>
      </w:r>
      <w:r>
        <w:fldChar w:fldCharType="begin"/>
      </w:r>
      <w:r>
        <w:instrText xml:space="preserve"> PAGEREF _Toc740825924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_Toc1915318786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_Toc1915318786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_Toc1959760423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_Toc1959760423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_Toc258925744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_Toc258925744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_Toc584148126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_Toc584148126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_Toc1871081357 </w:instrText>
      </w:r>
      <w:r>
        <w:rPr>
          <w:highlight w:val="none"/>
        </w:rPr>
        <w:fldChar w:fldCharType="separate"/>
      </w:r>
      <w:r>
        <w:rPr>
          <w:rFonts w:hint="eastAsia" w:ascii="宋体" w:hAnsi="宋体" w:eastAsia="宋体"/>
          <w:szCs w:val="21"/>
          <w:highlight w:val="none"/>
        </w:rPr>
        <w:t>《北京市地下设施检查井井盖管理规定》案由5项</w:t>
      </w:r>
      <w:r>
        <w:tab/>
      </w:r>
      <w:r>
        <w:fldChar w:fldCharType="begin"/>
      </w:r>
      <w:r>
        <w:instrText xml:space="preserve"> PAGEREF _Toc1871081357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_Toc603539653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_Toc603539653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_Toc51430679 </w:instrText>
      </w:r>
      <w:r>
        <w:rPr>
          <w:highlight w:val="none"/>
        </w:rPr>
        <w:fldChar w:fldCharType="separate"/>
      </w:r>
      <w:r>
        <w:rPr>
          <w:rFonts w:hint="eastAsia" w:ascii="宋体" w:hAnsi="宋体" w:eastAsia="宋体"/>
          <w:szCs w:val="21"/>
          <w:highlight w:val="none"/>
        </w:rPr>
        <w:t>《城镇燃气管理条例》案由30项</w:t>
      </w:r>
      <w:r>
        <w:tab/>
      </w:r>
      <w:r>
        <w:fldChar w:fldCharType="begin"/>
      </w:r>
      <w:r>
        <w:instrText xml:space="preserve"> PAGEREF _Toc51430679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_Toc2063405547 </w:instrText>
      </w:r>
      <w:r>
        <w:rPr>
          <w:highlight w:val="none"/>
        </w:rPr>
        <w:fldChar w:fldCharType="separate"/>
      </w:r>
      <w:r>
        <w:rPr>
          <w:rFonts w:hint="eastAsia" w:ascii="宋体" w:hAnsi="宋体" w:eastAsia="宋体"/>
          <w:szCs w:val="21"/>
          <w:highlight w:val="none"/>
        </w:rPr>
        <w:t>《北京市燃气管理条例》案由26项</w:t>
      </w:r>
      <w:r>
        <w:tab/>
      </w:r>
      <w:r>
        <w:fldChar w:fldCharType="begin"/>
      </w:r>
      <w:r>
        <w:instrText xml:space="preserve"> PAGEREF _Toc2063405547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_Toc303018879 </w:instrText>
      </w:r>
      <w:r>
        <w:rPr>
          <w:highlight w:val="none"/>
        </w:rPr>
        <w:fldChar w:fldCharType="separate"/>
      </w:r>
      <w:r>
        <w:rPr>
          <w:rFonts w:hint="eastAsia" w:ascii="宋体" w:hAnsi="宋体" w:eastAsia="宋体"/>
          <w:szCs w:val="21"/>
          <w:highlight w:val="none"/>
        </w:rPr>
        <w:t>《北京市消防条例》案由1项</w:t>
      </w:r>
      <w:r>
        <w:tab/>
      </w:r>
      <w:r>
        <w:fldChar w:fldCharType="begin"/>
      </w:r>
      <w:r>
        <w:instrText xml:space="preserve"> PAGEREF _Toc303018879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_Toc598911105 </w:instrText>
      </w:r>
      <w:r>
        <w:rPr>
          <w:highlight w:val="none"/>
        </w:rPr>
        <w:fldChar w:fldCharType="separate"/>
      </w:r>
      <w:r>
        <w:rPr>
          <w:rFonts w:hint="eastAsia" w:ascii="宋体" w:hAnsi="宋体" w:eastAsia="宋体"/>
          <w:szCs w:val="21"/>
          <w:highlight w:val="none"/>
        </w:rPr>
        <w:t>《北京市清洁燃料车辆加气站管理规定》案由7项</w:t>
      </w:r>
      <w:r>
        <w:tab/>
      </w:r>
      <w:r>
        <w:fldChar w:fldCharType="begin"/>
      </w:r>
      <w:r>
        <w:instrText xml:space="preserve"> PAGEREF _Toc598911105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_Toc247653558 </w:instrText>
      </w:r>
      <w:r>
        <w:rPr>
          <w:highlight w:val="none"/>
        </w:rPr>
        <w:fldChar w:fldCharType="separate"/>
      </w:r>
      <w:r>
        <w:rPr>
          <w:rFonts w:hint="eastAsia" w:ascii="宋体" w:hAnsi="宋体" w:eastAsia="宋体"/>
          <w:szCs w:val="21"/>
          <w:highlight w:val="none"/>
        </w:rPr>
        <w:t>《</w:t>
      </w:r>
      <w:r>
        <w:rPr>
          <w:rFonts w:ascii="宋体" w:hAnsi="宋体" w:eastAsia="宋体"/>
          <w:szCs w:val="21"/>
          <w:highlight w:val="none"/>
        </w:rPr>
        <w:t>北京市供热采暖管理办法</w:t>
      </w:r>
      <w:r>
        <w:rPr>
          <w:rFonts w:hint="eastAsia" w:ascii="宋体" w:hAnsi="宋体" w:eastAsia="宋体"/>
          <w:szCs w:val="21"/>
          <w:highlight w:val="none"/>
        </w:rPr>
        <w:t>》案由19项</w:t>
      </w:r>
      <w:r>
        <w:tab/>
      </w:r>
      <w:r>
        <w:fldChar w:fldCharType="begin"/>
      </w:r>
      <w:r>
        <w:instrText xml:space="preserve"> PAGEREF _Toc247653558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_Toc745697621 </w:instrText>
      </w:r>
      <w:r>
        <w:rPr>
          <w:highlight w:val="none"/>
        </w:rPr>
        <w:fldChar w:fldCharType="separate"/>
      </w:r>
      <w:r>
        <w:rPr>
          <w:rFonts w:hint="eastAsia" w:ascii="宋体" w:hAnsi="宋体" w:eastAsia="宋体"/>
          <w:szCs w:val="21"/>
          <w:highlight w:val="none"/>
        </w:rPr>
        <w:t>《北京市民用建筑节能管理办法》案由2项</w:t>
      </w:r>
      <w:r>
        <w:tab/>
      </w:r>
      <w:r>
        <w:fldChar w:fldCharType="begin"/>
      </w:r>
      <w:r>
        <w:instrText xml:space="preserve"> PAGEREF _Toc745697621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_Toc1458478113 </w:instrText>
      </w:r>
      <w:r>
        <w:rPr>
          <w:highlight w:val="none"/>
        </w:rPr>
        <w:fldChar w:fldCharType="separate"/>
      </w:r>
      <w:r>
        <w:rPr>
          <w:rFonts w:hint="eastAsia" w:ascii="宋体" w:hAnsi="宋体" w:eastAsia="宋体" w:cs="宋体"/>
          <w:szCs w:val="21"/>
          <w:highlight w:val="none"/>
          <w:lang w:val="en-US" w:eastAsia="zh-CN"/>
        </w:rPr>
        <w:t>《北京市建筑绿色发展条例》案由1项</w:t>
      </w:r>
      <w:r>
        <w:tab/>
      </w:r>
      <w:r>
        <w:fldChar w:fldCharType="begin"/>
      </w:r>
      <w:r>
        <w:instrText xml:space="preserve"> PAGEREF _Toc1458478113 \h </w:instrText>
      </w:r>
      <w:r>
        <w:fldChar w:fldCharType="separate"/>
      </w:r>
      <w:r>
        <w:t>79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_Toc357269991 </w:instrText>
      </w:r>
      <w:r>
        <w:rPr>
          <w:highlight w:val="none"/>
        </w:rPr>
        <w:fldChar w:fldCharType="separate"/>
      </w:r>
      <w:r>
        <w:rPr>
          <w:rFonts w:hint="eastAsia" w:ascii="宋体" w:hAnsi="宋体" w:eastAsia="宋体"/>
          <w:szCs w:val="21"/>
          <w:highlight w:val="none"/>
        </w:rPr>
        <w:t>《北京市单用途预付卡管理条例》案由7项</w:t>
      </w:r>
      <w:r>
        <w:tab/>
      </w:r>
      <w:r>
        <w:fldChar w:fldCharType="begin"/>
      </w:r>
      <w:r>
        <w:instrText xml:space="preserve"> PAGEREF _Toc357269991 \h </w:instrText>
      </w:r>
      <w:r>
        <w:fldChar w:fldCharType="separate"/>
      </w:r>
      <w:r>
        <w:t>79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_Toc2058843597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_Toc2058843597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_Toc68389721 </w:instrText>
      </w:r>
      <w:r>
        <w:rPr>
          <w:highlight w:val="none"/>
        </w:rPr>
        <w:fldChar w:fldCharType="separate"/>
      </w:r>
      <w:r>
        <w:rPr>
          <w:rFonts w:hint="eastAsia" w:ascii="宋体" w:hAnsi="宋体" w:eastAsia="宋体"/>
          <w:szCs w:val="21"/>
          <w:highlight w:val="none"/>
        </w:rPr>
        <w:t>《北京市绿化条例》案由16项</w:t>
      </w:r>
      <w:r>
        <w:tab/>
      </w:r>
      <w:r>
        <w:fldChar w:fldCharType="begin"/>
      </w:r>
      <w:r>
        <w:instrText xml:space="preserve"> PAGEREF _Toc68389721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_Toc1043557846 </w:instrText>
      </w:r>
      <w:r>
        <w:rPr>
          <w:highlight w:val="none"/>
        </w:rPr>
        <w:fldChar w:fldCharType="separate"/>
      </w:r>
      <w:r>
        <w:rPr>
          <w:rFonts w:hint="eastAsia" w:ascii="宋体" w:hAnsi="宋体" w:eastAsia="宋体"/>
          <w:szCs w:val="21"/>
          <w:highlight w:val="none"/>
        </w:rPr>
        <w:t>《北京市物业</w:t>
      </w:r>
      <w:r>
        <w:rPr>
          <w:rFonts w:ascii="宋体" w:hAnsi="宋体" w:eastAsia="宋体"/>
          <w:szCs w:val="21"/>
          <w:highlight w:val="none"/>
        </w:rPr>
        <w:t>管理条例</w:t>
      </w:r>
      <w:r>
        <w:rPr>
          <w:rFonts w:hint="eastAsia" w:ascii="宋体" w:hAnsi="宋体" w:eastAsia="宋体"/>
          <w:szCs w:val="21"/>
          <w:highlight w:val="none"/>
        </w:rPr>
        <w:t>》案由1项</w:t>
      </w:r>
      <w:r>
        <w:tab/>
      </w:r>
      <w:r>
        <w:fldChar w:fldCharType="begin"/>
      </w:r>
      <w:r>
        <w:instrText xml:space="preserve"> PAGEREF _Toc1043557846 \h </w:instrText>
      </w:r>
      <w:r>
        <w:fldChar w:fldCharType="separate"/>
      </w:r>
      <w:r>
        <w:t>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_Toc1677030221 </w:instrText>
      </w:r>
      <w:r>
        <w:rPr>
          <w:highlight w:val="none"/>
        </w:rPr>
        <w:fldChar w:fldCharType="separate"/>
      </w:r>
      <w:r>
        <w:rPr>
          <w:rFonts w:hint="eastAsia" w:ascii="宋体" w:hAnsi="宋体" w:eastAsia="宋体" w:cs="宋体"/>
          <w:szCs w:val="21"/>
          <w:highlight w:val="none"/>
        </w:rPr>
        <w:t>《古树名木保护条例》案由11项</w:t>
      </w:r>
      <w:r>
        <w:tab/>
      </w:r>
      <w:r>
        <w:fldChar w:fldCharType="begin"/>
      </w:r>
      <w:r>
        <w:instrText xml:space="preserve"> PAGEREF _Toc1677030221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_Toc274977827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_Toc274977827 \h </w:instrText>
      </w:r>
      <w:r>
        <w:fldChar w:fldCharType="separate"/>
      </w:r>
      <w:r>
        <w:t>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_Toc944187993 </w:instrText>
      </w:r>
      <w:r>
        <w:rPr>
          <w:highlight w:val="none"/>
        </w:rPr>
        <w:fldChar w:fldCharType="separate"/>
      </w:r>
      <w:r>
        <w:rPr>
          <w:rFonts w:hint="eastAsia" w:ascii="宋体" w:hAnsi="宋体" w:eastAsia="宋体"/>
          <w:szCs w:val="21"/>
          <w:highlight w:val="none"/>
        </w:rPr>
        <w:t>《北京市公园条例》案由</w:t>
      </w:r>
      <w:r>
        <w:rPr>
          <w:rFonts w:ascii="宋体" w:hAnsi="宋体" w:eastAsia="宋体"/>
          <w:szCs w:val="21"/>
          <w:highlight w:val="none"/>
        </w:rPr>
        <w:t xml:space="preserve"> 18</w:t>
      </w:r>
      <w:r>
        <w:rPr>
          <w:rFonts w:hint="eastAsia" w:ascii="宋体" w:hAnsi="宋体" w:eastAsia="宋体"/>
          <w:szCs w:val="21"/>
          <w:highlight w:val="none"/>
        </w:rPr>
        <w:t>项</w:t>
      </w:r>
      <w:r>
        <w:tab/>
      </w:r>
      <w:r>
        <w:fldChar w:fldCharType="begin"/>
      </w:r>
      <w:r>
        <w:instrText xml:space="preserve"> PAGEREF _Toc944187993 \h </w:instrText>
      </w:r>
      <w:r>
        <w:fldChar w:fldCharType="separate"/>
      </w:r>
      <w:r>
        <w:t>89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_Toc287673253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_Toc287673253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_Toc852683409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_Toc852683409 \h </w:instrText>
      </w:r>
      <w:r>
        <w:fldChar w:fldCharType="separate"/>
      </w:r>
      <w:r>
        <w:t>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_Toc285647581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_Toc285647581 \h </w:instrText>
      </w:r>
      <w:r>
        <w:fldChar w:fldCharType="separate"/>
      </w:r>
      <w:r>
        <w:t>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_Toc954400207 </w:instrText>
      </w:r>
      <w:r>
        <w:rPr>
          <w:highlight w:val="none"/>
        </w:rPr>
        <w:fldChar w:fldCharType="separate"/>
      </w:r>
      <w:r>
        <w:rPr>
          <w:rFonts w:hint="eastAsia" w:ascii="宋体" w:hAnsi="宋体" w:eastAsia="宋体"/>
          <w:szCs w:val="21"/>
          <w:highlight w:val="none"/>
        </w:rPr>
        <w:t>《北京市环境噪声污染防治办法》案由</w:t>
      </w:r>
      <w:r>
        <w:rPr>
          <w:rFonts w:hint="eastAsia" w:ascii="宋体" w:hAnsi="宋体" w:eastAsia="宋体"/>
          <w:szCs w:val="21"/>
          <w:highlight w:val="none"/>
          <w:lang w:val="en-US" w:eastAsia="zh-CN"/>
        </w:rPr>
        <w:t>1</w:t>
      </w:r>
      <w:r>
        <w:rPr>
          <w:rFonts w:hint="eastAsia" w:ascii="宋体" w:hAnsi="宋体" w:eastAsia="宋体"/>
          <w:szCs w:val="21"/>
          <w:highlight w:val="none"/>
        </w:rPr>
        <w:t>项</w:t>
      </w:r>
      <w:r>
        <w:tab/>
      </w:r>
      <w:r>
        <w:fldChar w:fldCharType="begin"/>
      </w:r>
      <w:r>
        <w:instrText xml:space="preserve"> PAGEREF _Toc954400207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_Toc1791388183 </w:instrText>
      </w:r>
      <w:r>
        <w:rPr>
          <w:highlight w:val="none"/>
        </w:rPr>
        <w:fldChar w:fldCharType="separate"/>
      </w:r>
      <w:r>
        <w:rPr>
          <w:rFonts w:hint="eastAsia" w:ascii="宋体" w:hAnsi="宋体" w:eastAsia="宋体"/>
          <w:szCs w:val="21"/>
          <w:highlight w:val="none"/>
        </w:rPr>
        <w:t>《中华人民共和国噪声污染防治法》案由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_Toc1791388183 \h </w:instrText>
      </w:r>
      <w:r>
        <w:fldChar w:fldCharType="separate"/>
      </w:r>
      <w:r>
        <w:t>96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_Toc640564770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_Toc640564770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_Toc1019648660 </w:instrText>
      </w:r>
      <w:r>
        <w:rPr>
          <w:highlight w:val="none"/>
        </w:rPr>
        <w:fldChar w:fldCharType="separate"/>
      </w:r>
      <w:r>
        <w:rPr>
          <w:rFonts w:hint="eastAsia" w:ascii="宋体" w:hAnsi="宋体" w:eastAsia="宋体"/>
          <w:szCs w:val="21"/>
          <w:highlight w:val="none"/>
        </w:rPr>
        <w:t>《北京市大气污染防治条例》施工现场执法案由16项</w:t>
      </w:r>
      <w:r>
        <w:tab/>
      </w:r>
      <w:r>
        <w:fldChar w:fldCharType="begin"/>
      </w:r>
      <w:r>
        <w:instrText xml:space="preserve"> PAGEREF _Toc1019648660 \h </w:instrText>
      </w:r>
      <w:r>
        <w:fldChar w:fldCharType="separate"/>
      </w:r>
      <w:r>
        <w:t>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_Toc3603249 </w:instrText>
      </w:r>
      <w:r>
        <w:rPr>
          <w:highlight w:val="none"/>
        </w:rPr>
        <w:fldChar w:fldCharType="separate"/>
      </w:r>
      <w:r>
        <w:rPr>
          <w:rFonts w:hint="eastAsia" w:ascii="宋体" w:hAnsi="宋体" w:eastAsia="宋体"/>
          <w:szCs w:val="21"/>
          <w:highlight w:val="none"/>
        </w:rPr>
        <w:t>《北京市建设工程施工现场管理办法》案由13项</w:t>
      </w:r>
      <w:r>
        <w:tab/>
      </w:r>
      <w:r>
        <w:fldChar w:fldCharType="begin"/>
      </w:r>
      <w:r>
        <w:instrText xml:space="preserve"> PAGEREF _Toc3603249 \h </w:instrText>
      </w:r>
      <w:r>
        <w:fldChar w:fldCharType="separate"/>
      </w:r>
      <w:r>
        <w:t>100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_Toc1112928068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_Toc1112928068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_Toc460596015 </w:instrText>
      </w:r>
      <w:r>
        <w:rPr>
          <w:highlight w:val="none"/>
        </w:rPr>
        <w:fldChar w:fldCharType="separate"/>
      </w:r>
      <w:r>
        <w:rPr>
          <w:rFonts w:hint="eastAsia" w:ascii="宋体" w:hAnsi="宋体" w:eastAsia="宋体"/>
          <w:szCs w:val="21"/>
          <w:highlight w:val="none"/>
        </w:rPr>
        <w:t>《北京市机动车停车管理办法》案由13项</w:t>
      </w:r>
      <w:r>
        <w:tab/>
      </w:r>
      <w:r>
        <w:fldChar w:fldCharType="begin"/>
      </w:r>
      <w:r>
        <w:instrText xml:space="preserve"> PAGEREF _Toc460596015 \h </w:instrText>
      </w:r>
      <w:r>
        <w:fldChar w:fldCharType="separate"/>
      </w:r>
      <w:r>
        <w:t>103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_Toc744429173 </w:instrText>
      </w:r>
      <w:r>
        <w:rPr>
          <w:highlight w:val="none"/>
        </w:rPr>
        <w:fldChar w:fldCharType="separate"/>
      </w:r>
      <w:r>
        <w:rPr>
          <w:rFonts w:hint="eastAsia" w:ascii="宋体" w:hAnsi="宋体" w:eastAsia="宋体"/>
          <w:szCs w:val="21"/>
          <w:highlight w:val="none"/>
        </w:rPr>
        <w:t>《北京市</w:t>
      </w:r>
      <w:r>
        <w:rPr>
          <w:rFonts w:ascii="宋体" w:hAnsi="宋体" w:eastAsia="宋体"/>
          <w:szCs w:val="21"/>
          <w:highlight w:val="none"/>
        </w:rPr>
        <w:t>机动车停车条例</w:t>
      </w:r>
      <w:r>
        <w:rPr>
          <w:rFonts w:hint="eastAsia" w:ascii="宋体" w:hAnsi="宋体" w:eastAsia="宋体"/>
          <w:szCs w:val="21"/>
          <w:highlight w:val="none"/>
        </w:rPr>
        <w:t>》案由6项</w:t>
      </w:r>
      <w:r>
        <w:tab/>
      </w:r>
      <w:r>
        <w:fldChar w:fldCharType="begin"/>
      </w:r>
      <w:r>
        <w:instrText xml:space="preserve"> PAGEREF _Toc744429173 \h </w:instrText>
      </w:r>
      <w:r>
        <w:fldChar w:fldCharType="separate"/>
      </w:r>
      <w:r>
        <w:t>105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_Toc880763206 </w:instrText>
      </w:r>
      <w:r>
        <w:rPr>
          <w:highlight w:val="none"/>
        </w:rPr>
        <w:fldChar w:fldCharType="separate"/>
      </w:r>
      <w:r>
        <w:rPr>
          <w:rFonts w:hint="eastAsia" w:ascii="宋体" w:hAnsi="宋体" w:eastAsia="宋体"/>
          <w:szCs w:val="21"/>
          <w:highlight w:val="none"/>
        </w:rPr>
        <w:t>《北京市非机动车停车管理办法》《北京市</w:t>
      </w:r>
      <w:r>
        <w:rPr>
          <w:rFonts w:ascii="宋体" w:hAnsi="宋体" w:eastAsia="宋体"/>
          <w:szCs w:val="21"/>
          <w:highlight w:val="none"/>
        </w:rPr>
        <w:t>非机动车</w:t>
      </w:r>
      <w:r>
        <w:rPr>
          <w:rFonts w:hint="eastAsia" w:ascii="宋体" w:hAnsi="宋体" w:eastAsia="宋体"/>
          <w:szCs w:val="21"/>
          <w:highlight w:val="none"/>
        </w:rPr>
        <w:t>管理</w:t>
      </w:r>
      <w:r>
        <w:rPr>
          <w:rFonts w:ascii="宋体" w:hAnsi="宋体" w:eastAsia="宋体"/>
          <w:szCs w:val="21"/>
          <w:highlight w:val="none"/>
        </w:rPr>
        <w:t>条例</w:t>
      </w:r>
      <w:r>
        <w:rPr>
          <w:rFonts w:hint="eastAsia" w:ascii="宋体" w:hAnsi="宋体" w:eastAsia="宋体"/>
          <w:szCs w:val="21"/>
          <w:highlight w:val="none"/>
        </w:rPr>
        <w:t>》案由</w:t>
      </w:r>
      <w:r>
        <w:rPr>
          <w:rFonts w:hint="eastAsia" w:ascii="宋体" w:hAnsi="宋体" w:eastAsia="宋体"/>
          <w:szCs w:val="21"/>
          <w:highlight w:val="none"/>
          <w:lang w:val="en-US" w:eastAsia="zh-CN"/>
        </w:rPr>
        <w:t>6</w:t>
      </w:r>
      <w:r>
        <w:rPr>
          <w:rFonts w:hint="eastAsia" w:ascii="宋体" w:hAnsi="宋体" w:eastAsia="宋体"/>
          <w:szCs w:val="21"/>
          <w:highlight w:val="none"/>
        </w:rPr>
        <w:t>项</w:t>
      </w:r>
      <w:r>
        <w:tab/>
      </w:r>
      <w:r>
        <w:fldChar w:fldCharType="begin"/>
      </w:r>
      <w:r>
        <w:instrText xml:space="preserve"> PAGEREF _Toc880763206 \h </w:instrText>
      </w:r>
      <w:r>
        <w:fldChar w:fldCharType="separate"/>
      </w:r>
      <w:r>
        <w:t>106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_Toc272872790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_Toc272872790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_Toc1003354917 </w:instrText>
      </w:r>
      <w:r>
        <w:rPr>
          <w:highlight w:val="none"/>
        </w:rPr>
        <w:fldChar w:fldCharType="separate"/>
      </w:r>
      <w:r>
        <w:rPr>
          <w:rFonts w:hint="eastAsia" w:ascii="宋体" w:hAnsi="宋体" w:eastAsia="宋体"/>
          <w:bCs/>
          <w:strike w:val="0"/>
          <w:dstrike w:val="0"/>
          <w:szCs w:val="21"/>
          <w:highlight w:val="none"/>
        </w:rPr>
        <w:t>《巡游出租汽车经营服务管理规定》案由1项</w:t>
      </w:r>
      <w:r>
        <w:tab/>
      </w:r>
      <w:r>
        <w:fldChar w:fldCharType="begin"/>
      </w:r>
      <w:r>
        <w:instrText xml:space="preserve"> PAGEREF _Toc1003354917 \h </w:instrText>
      </w:r>
      <w:r>
        <w:fldChar w:fldCharType="separate"/>
      </w:r>
      <w:r>
        <w:t>109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_Toc1464911332 </w:instrText>
      </w:r>
      <w:r>
        <w:rPr>
          <w:highlight w:val="none"/>
        </w:rPr>
        <w:fldChar w:fldCharType="separate"/>
      </w:r>
      <w:r>
        <w:rPr>
          <w:rFonts w:hint="eastAsia" w:ascii="宋体" w:hAnsi="宋体" w:eastAsia="宋体"/>
          <w:szCs w:val="21"/>
          <w:highlight w:val="none"/>
        </w:rPr>
        <w:t>《北京市查处非法客运若干规定》案由2项</w:t>
      </w:r>
      <w:r>
        <w:tab/>
      </w:r>
      <w:r>
        <w:fldChar w:fldCharType="begin"/>
      </w:r>
      <w:r>
        <w:instrText xml:space="preserve"> PAGEREF _Toc1464911332 \h </w:instrText>
      </w:r>
      <w:r>
        <w:fldChar w:fldCharType="separate"/>
      </w:r>
      <w:r>
        <w:t>109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_Toc2143954148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_Toc2143954148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_Toc1606894570 </w:instrText>
      </w:r>
      <w:r>
        <w:rPr>
          <w:highlight w:val="none"/>
        </w:rPr>
        <w:fldChar w:fldCharType="separate"/>
      </w:r>
      <w:r>
        <w:rPr>
          <w:rFonts w:hint="eastAsia" w:ascii="宋体" w:hAnsi="宋体" w:eastAsia="宋体"/>
          <w:szCs w:val="21"/>
          <w:highlight w:val="none"/>
        </w:rPr>
        <w:t>《无证</w:t>
      </w:r>
      <w:r>
        <w:rPr>
          <w:rFonts w:ascii="宋体" w:hAnsi="宋体" w:eastAsia="宋体"/>
          <w:szCs w:val="21"/>
          <w:highlight w:val="none"/>
        </w:rPr>
        <w:t>无照经营查处办法</w:t>
      </w:r>
      <w:r>
        <w:rPr>
          <w:rFonts w:hint="eastAsia" w:ascii="宋体" w:hAnsi="宋体" w:eastAsia="宋体"/>
          <w:szCs w:val="21"/>
          <w:highlight w:val="none"/>
        </w:rPr>
        <w:t>》案由3项</w:t>
      </w:r>
      <w:r>
        <w:tab/>
      </w:r>
      <w:r>
        <w:fldChar w:fldCharType="begin"/>
      </w:r>
      <w:r>
        <w:instrText xml:space="preserve"> PAGEREF _Toc1606894570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_Toc1516342011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_Toc1516342011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_Toc2059876047 </w:instrText>
      </w:r>
      <w:r>
        <w:rPr>
          <w:highlight w:val="none"/>
        </w:rPr>
        <w:fldChar w:fldCharType="separate"/>
      </w:r>
      <w:r>
        <w:rPr>
          <w:rFonts w:hint="eastAsia" w:ascii="宋体" w:hAnsi="宋体" w:eastAsia="宋体"/>
          <w:szCs w:val="21"/>
          <w:highlight w:val="none"/>
        </w:rPr>
        <w:t>《中华人民共和国城乡规划法》《北京市城乡规划条例》</w:t>
      </w:r>
      <w:r>
        <w:rPr>
          <w:rFonts w:hint="eastAsia" w:ascii="宋体" w:hAnsi="宋体" w:eastAsia="宋体"/>
          <w:szCs w:val="21"/>
          <w:highlight w:val="none"/>
          <w:lang w:val="en-US" w:eastAsia="zh-CN"/>
        </w:rPr>
        <w:t xml:space="preserve"> </w:t>
      </w:r>
      <w:r>
        <w:rPr>
          <w:rFonts w:hint="eastAsia" w:ascii="宋体" w:hAnsi="宋体" w:eastAsia="宋体"/>
          <w:szCs w:val="21"/>
          <w:highlight w:val="none"/>
        </w:rPr>
        <w:t>案由2项</w:t>
      </w:r>
      <w:r>
        <w:tab/>
      </w:r>
      <w:r>
        <w:fldChar w:fldCharType="begin"/>
      </w:r>
      <w:r>
        <w:instrText xml:space="preserve"> PAGEREF _Toc2059876047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_Toc1909913449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_Toc1909913449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_Toc2115253117 </w:instrText>
      </w:r>
      <w:r>
        <w:rPr>
          <w:highlight w:val="none"/>
        </w:rPr>
        <w:fldChar w:fldCharType="separate"/>
      </w:r>
      <w:r>
        <w:rPr>
          <w:rFonts w:hint="eastAsia" w:ascii="宋体" w:hAnsi="宋体" w:eastAsia="宋体"/>
          <w:szCs w:val="21"/>
          <w:highlight w:val="none"/>
        </w:rPr>
        <w:t>《中华人民共和国旅游法》案由1项</w:t>
      </w:r>
      <w:r>
        <w:tab/>
      </w:r>
      <w:r>
        <w:fldChar w:fldCharType="begin"/>
      </w:r>
      <w:r>
        <w:instrText xml:space="preserve"> PAGEREF _Toc2115253117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_Toc160045957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_Toc160045957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_Toc508127422 </w:instrText>
      </w:r>
      <w:r>
        <w:rPr>
          <w:highlight w:val="none"/>
        </w:rPr>
        <w:fldChar w:fldCharType="separate"/>
      </w:r>
      <w:r>
        <w:rPr>
          <w:rFonts w:hint="eastAsia" w:ascii="宋体" w:hAnsi="宋体" w:eastAsia="宋体"/>
          <w:szCs w:val="21"/>
          <w:highlight w:val="none"/>
        </w:rPr>
        <w:t>《北京市小规模食品生产经营管理规定》案由23项</w:t>
      </w:r>
      <w:r>
        <w:tab/>
      </w:r>
      <w:r>
        <w:fldChar w:fldCharType="begin"/>
      </w:r>
      <w:r>
        <w:instrText xml:space="preserve"> PAGEREF _Toc508127422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_Toc1426247582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_Toc1426247582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_Toc517315949 </w:instrText>
      </w:r>
      <w:r>
        <w:rPr>
          <w:highlight w:val="none"/>
        </w:rPr>
        <w:fldChar w:fldCharType="separate"/>
      </w:r>
      <w:r>
        <w:rPr>
          <w:rFonts w:hint="eastAsia" w:ascii="宋体" w:hAnsi="宋体" w:eastAsia="宋体"/>
          <w:szCs w:val="21"/>
          <w:highlight w:val="none"/>
        </w:rPr>
        <w:t>《中华人民共和国煤炭法》案由</w:t>
      </w:r>
      <w:r>
        <w:rPr>
          <w:rFonts w:ascii="宋体" w:hAnsi="宋体" w:eastAsia="宋体"/>
          <w:szCs w:val="21"/>
          <w:highlight w:val="none"/>
        </w:rPr>
        <w:t>3</w:t>
      </w:r>
      <w:r>
        <w:rPr>
          <w:rFonts w:hint="eastAsia" w:ascii="宋体" w:hAnsi="宋体" w:eastAsia="宋体"/>
          <w:szCs w:val="21"/>
          <w:highlight w:val="none"/>
        </w:rPr>
        <w:t>项</w:t>
      </w:r>
      <w:r>
        <w:tab/>
      </w:r>
      <w:r>
        <w:fldChar w:fldCharType="begin"/>
      </w:r>
      <w:r>
        <w:instrText xml:space="preserve"> PAGEREF _Toc517315949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_Toc419487371 </w:instrText>
      </w:r>
      <w:r>
        <w:rPr>
          <w:highlight w:val="none"/>
        </w:rPr>
        <w:fldChar w:fldCharType="separate"/>
      </w:r>
      <w:r>
        <w:rPr>
          <w:rFonts w:hint="eastAsia" w:ascii="宋体" w:hAnsi="宋体" w:eastAsia="宋体"/>
          <w:szCs w:val="21"/>
          <w:highlight w:val="none"/>
        </w:rPr>
        <w:t>《中华人民共和国可再生能源法》案由2项</w:t>
      </w:r>
      <w:r>
        <w:tab/>
      </w:r>
      <w:r>
        <w:fldChar w:fldCharType="begin"/>
      </w:r>
      <w:r>
        <w:instrText xml:space="preserve"> PAGEREF _Toc419487371 \h </w:instrText>
      </w:r>
      <w:r>
        <w:fldChar w:fldCharType="separate"/>
      </w:r>
      <w:r>
        <w:t>117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_Toc1494637303 </w:instrText>
      </w:r>
      <w:r>
        <w:rPr>
          <w:highlight w:val="none"/>
        </w:rPr>
        <w:fldChar w:fldCharType="separate"/>
      </w:r>
      <w:r>
        <w:rPr>
          <w:rFonts w:hint="eastAsia" w:ascii="宋体" w:hAnsi="宋体" w:eastAsia="宋体"/>
          <w:szCs w:val="21"/>
          <w:highlight w:val="none"/>
        </w:rPr>
        <w:t>《中华人民共和国电力法》《电力供应与使用条例》案由</w:t>
      </w:r>
      <w:r>
        <w:rPr>
          <w:rFonts w:ascii="宋体" w:hAnsi="宋体" w:eastAsia="宋体"/>
          <w:szCs w:val="21"/>
          <w:highlight w:val="none"/>
        </w:rPr>
        <w:t>6</w:t>
      </w:r>
      <w:r>
        <w:rPr>
          <w:rFonts w:hint="eastAsia" w:ascii="宋体" w:hAnsi="宋体" w:eastAsia="宋体"/>
          <w:szCs w:val="21"/>
          <w:highlight w:val="none"/>
        </w:rPr>
        <w:t>项</w:t>
      </w:r>
      <w:r>
        <w:tab/>
      </w:r>
      <w:r>
        <w:fldChar w:fldCharType="begin"/>
      </w:r>
      <w:r>
        <w:instrText xml:space="preserve"> PAGEREF _Toc1494637303 \h </w:instrText>
      </w:r>
      <w:r>
        <w:fldChar w:fldCharType="separate"/>
      </w:r>
      <w:r>
        <w:t>118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_Toc1560873795 </w:instrText>
      </w:r>
      <w:r>
        <w:rPr>
          <w:highlight w:val="none"/>
        </w:rPr>
        <w:fldChar w:fldCharType="separate"/>
      </w:r>
      <w:r>
        <w:rPr>
          <w:rFonts w:hint="eastAsia" w:ascii="宋体" w:hAnsi="宋体" w:eastAsia="宋体"/>
          <w:szCs w:val="21"/>
          <w:highlight w:val="none"/>
        </w:rPr>
        <w:t>《电力设施保护条例》《电力设施保护条例实施细则》案由5项</w:t>
      </w:r>
      <w:r>
        <w:tab/>
      </w:r>
      <w:r>
        <w:fldChar w:fldCharType="begin"/>
      </w:r>
      <w:r>
        <w:instrText xml:space="preserve"> PAGEREF _Toc1560873795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_Toc2096517592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_Toc2096517592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_Toc1769615131 </w:instrText>
      </w:r>
      <w:r>
        <w:rPr>
          <w:highlight w:val="none"/>
        </w:rPr>
        <w:fldChar w:fldCharType="separate"/>
      </w:r>
      <w:r>
        <w:rPr>
          <w:rFonts w:hint="eastAsia" w:ascii="宋体" w:hAnsi="宋体" w:eastAsia="宋体" w:cs="宋体"/>
          <w:szCs w:val="21"/>
          <w:highlight w:val="none"/>
          <w:lang w:val="en-US" w:eastAsia="zh-CN"/>
        </w:rPr>
        <w:t xml:space="preserve">《中华人民共和国石油天然气管道保护法》案由22项  </w:t>
      </w:r>
      <w:r>
        <w:tab/>
      </w:r>
      <w:r>
        <w:fldChar w:fldCharType="begin"/>
      </w:r>
      <w:r>
        <w:instrText xml:space="preserve"> PAGEREF _Toc1769615131 \h </w:instrText>
      </w:r>
      <w:r>
        <w:fldChar w:fldCharType="separate"/>
      </w:r>
      <w:r>
        <w:t>120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_Toc357578141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_Toc357578141 \h </w:instrText>
      </w:r>
      <w:r>
        <w:fldChar w:fldCharType="separate"/>
      </w:r>
      <w:r>
        <w:t>124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_Toc236707198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_Toc236707198 \h </w:instrText>
      </w:r>
      <w:r>
        <w:fldChar w:fldCharType="separate"/>
      </w:r>
      <w:r>
        <w:t>124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_Toc474814892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_Toc474814892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_Toc643225722 </w:instrText>
      </w:r>
      <w:r>
        <w:rPr>
          <w:highlight w:val="none"/>
        </w:rPr>
        <w:fldChar w:fldCharType="separate"/>
      </w:r>
      <w:r>
        <w:rPr>
          <w:rFonts w:hint="eastAsia" w:ascii="宋体" w:hAnsi="宋体" w:eastAsia="宋体" w:cs="宋体"/>
          <w:szCs w:val="21"/>
          <w:highlight w:val="none"/>
          <w:lang w:eastAsia="zh-Hans"/>
        </w:rPr>
        <w:t>《中华人民共和国安全生产法》</w:t>
      </w:r>
      <w:r>
        <w:rPr>
          <w:rFonts w:hint="eastAsia" w:ascii="宋体" w:hAnsi="宋体" w:eastAsia="宋体" w:cs="宋体"/>
          <w:szCs w:val="21"/>
          <w:highlight w:val="none"/>
        </w:rPr>
        <w:t>《北京市安全生产条例》</w:t>
      </w:r>
      <w:r>
        <w:rPr>
          <w:rFonts w:hint="eastAsia" w:ascii="宋体" w:hAnsi="宋体" w:eastAsia="宋体" w:cs="宋体"/>
          <w:szCs w:val="21"/>
          <w:highlight w:val="none"/>
          <w:lang w:eastAsia="zh-Hans"/>
        </w:rPr>
        <w:t>案由</w:t>
      </w:r>
      <w:r>
        <w:rPr>
          <w:rFonts w:hint="eastAsia" w:ascii="宋体" w:hAnsi="宋体" w:eastAsia="宋体" w:cs="宋体"/>
          <w:bCs w:val="0"/>
          <w:szCs w:val="21"/>
          <w:highlight w:val="none"/>
          <w:lang w:val="en-US" w:eastAsia="zh-CN"/>
        </w:rPr>
        <w:t>4</w:t>
      </w:r>
      <w:r>
        <w:rPr>
          <w:rFonts w:hint="default" w:ascii="宋体" w:hAnsi="宋体" w:eastAsia="宋体" w:cs="宋体"/>
          <w:bCs w:val="0"/>
          <w:szCs w:val="21"/>
          <w:highlight w:val="none"/>
          <w:lang w:val="en-US" w:eastAsia="zh-CN"/>
        </w:rPr>
        <w:t>3</w:t>
      </w:r>
      <w:r>
        <w:rPr>
          <w:rFonts w:hint="eastAsia" w:ascii="宋体" w:hAnsi="宋体" w:eastAsia="宋体" w:cs="宋体"/>
          <w:szCs w:val="21"/>
          <w:highlight w:val="none"/>
          <w:lang w:eastAsia="zh-Hans"/>
        </w:rPr>
        <w:t>项</w:t>
      </w:r>
      <w:r>
        <w:tab/>
      </w:r>
      <w:r>
        <w:fldChar w:fldCharType="begin"/>
      </w:r>
      <w:r>
        <w:instrText xml:space="preserve"> PAGEREF _Toc643225722 \h </w:instrText>
      </w:r>
      <w:r>
        <w:fldChar w:fldCharType="separate"/>
      </w:r>
      <w:r>
        <w:t>125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_Toc1191107405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_Toc1191107405 \h </w:instrText>
      </w:r>
      <w:r>
        <w:fldChar w:fldCharType="separate"/>
      </w:r>
      <w:r>
        <w:t>140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_Toc118719427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_Toc118719427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_Toc1283790493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_Toc1283790493 \h </w:instrText>
      </w:r>
      <w:r>
        <w:fldChar w:fldCharType="separate"/>
      </w:r>
      <w:r>
        <w:t>142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_Toc63272418 </w:instrText>
      </w:r>
      <w:r>
        <w:rPr>
          <w:highlight w:val="none"/>
        </w:rPr>
        <w:fldChar w:fldCharType="separate"/>
      </w:r>
      <w:r>
        <w:rPr>
          <w:rFonts w:hint="eastAsia" w:ascii="宋体" w:hAnsi="宋体" w:eastAsia="宋体" w:cs="宋体"/>
          <w:bCs/>
          <w:kern w:val="0"/>
          <w:szCs w:val="21"/>
          <w:highlight w:val="none"/>
        </w:rPr>
        <w:t>《中华人民共和国水法》《节约用水条例》案由4项</w:t>
      </w:r>
      <w:r>
        <w:tab/>
      </w:r>
      <w:r>
        <w:fldChar w:fldCharType="begin"/>
      </w:r>
      <w:r>
        <w:instrText xml:space="preserve"> PAGEREF _Toc63272418 \h </w:instrText>
      </w:r>
      <w:r>
        <w:fldChar w:fldCharType="separate"/>
      </w:r>
      <w:r>
        <w:t>142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_Toc122322676 </w:instrText>
      </w:r>
      <w:r>
        <w:rPr>
          <w:highlight w:val="none"/>
        </w:rPr>
        <w:fldChar w:fldCharType="separate"/>
      </w:r>
      <w:r>
        <w:rPr>
          <w:rFonts w:hint="eastAsia" w:ascii="宋体" w:hAnsi="宋体" w:eastAsia="宋体" w:cs="宋体"/>
          <w:bCs/>
          <w:kern w:val="0"/>
          <w:szCs w:val="21"/>
          <w:highlight w:val="none"/>
        </w:rPr>
        <w:t>《城市房屋便器水箱应用监督管理办法》案由4项</w:t>
      </w:r>
      <w:r>
        <w:tab/>
      </w:r>
      <w:r>
        <w:fldChar w:fldCharType="begin"/>
      </w:r>
      <w:r>
        <w:instrText xml:space="preserve"> PAGEREF _Toc122322676 \h </w:instrText>
      </w:r>
      <w:r>
        <w:fldChar w:fldCharType="separate"/>
      </w:r>
      <w:r>
        <w:t>144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_Toc249234913 </w:instrText>
      </w:r>
      <w:r>
        <w:rPr>
          <w:highlight w:val="none"/>
        </w:rPr>
        <w:fldChar w:fldCharType="separate"/>
      </w:r>
      <w:r>
        <w:rPr>
          <w:rFonts w:hint="eastAsia" w:ascii="宋体" w:hAnsi="宋体" w:eastAsia="宋体" w:cs="宋体"/>
          <w:bCs/>
          <w:kern w:val="0"/>
          <w:szCs w:val="21"/>
          <w:highlight w:val="none"/>
        </w:rPr>
        <w:t>《北京市节水条例》《北京市水污染防治条例》案由14项</w:t>
      </w:r>
      <w:r>
        <w:tab/>
      </w:r>
      <w:r>
        <w:fldChar w:fldCharType="begin"/>
      </w:r>
      <w:r>
        <w:instrText xml:space="preserve"> PAGEREF _Toc249234913 \h </w:instrText>
      </w:r>
      <w:r>
        <w:fldChar w:fldCharType="separate"/>
      </w:r>
      <w:r>
        <w:t>145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_Toc523868433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_Toc523868433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_Toc866751849 </w:instrText>
      </w:r>
      <w:r>
        <w:rPr>
          <w:highlight w:val="none"/>
        </w:rPr>
        <w:fldChar w:fldCharType="separate"/>
      </w:r>
      <w:r>
        <w:rPr>
          <w:rFonts w:hint="eastAsia" w:ascii="宋体" w:hAnsi="宋体" w:eastAsia="宋体" w:cs="宋体"/>
          <w:bCs/>
          <w:kern w:val="0"/>
          <w:szCs w:val="21"/>
          <w:highlight w:val="none"/>
        </w:rPr>
        <w:t>《中华人民共和国水法》案由2项</w:t>
      </w:r>
      <w:r>
        <w:tab/>
      </w:r>
      <w:r>
        <w:fldChar w:fldCharType="begin"/>
      </w:r>
      <w:r>
        <w:instrText xml:space="preserve"> PAGEREF _Toc866751849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_Toc1129998119 </w:instrText>
      </w:r>
      <w:r>
        <w:rPr>
          <w:highlight w:val="none"/>
        </w:rPr>
        <w:fldChar w:fldCharType="separate"/>
      </w:r>
      <w:r>
        <w:rPr>
          <w:rFonts w:hint="eastAsia" w:ascii="宋体" w:hAnsi="宋体" w:eastAsia="宋体" w:cs="宋体"/>
          <w:bCs/>
          <w:kern w:val="0"/>
          <w:szCs w:val="21"/>
          <w:highlight w:val="none"/>
        </w:rPr>
        <w:t>《取水许可和水资源费征收管理条例》《地下水管理条例》案由9项</w:t>
      </w:r>
      <w:r>
        <w:tab/>
      </w:r>
      <w:r>
        <w:fldChar w:fldCharType="begin"/>
      </w:r>
      <w:r>
        <w:instrText xml:space="preserve"> PAGEREF _Toc1129998119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_Toc796741224 </w:instrText>
      </w:r>
      <w:r>
        <w:rPr>
          <w:highlight w:val="none"/>
        </w:rPr>
        <w:fldChar w:fldCharType="separate"/>
      </w:r>
      <w:r>
        <w:rPr>
          <w:rFonts w:hint="eastAsia" w:ascii="宋体" w:hAnsi="宋体" w:eastAsia="宋体" w:cs="宋体"/>
          <w:bCs/>
          <w:kern w:val="0"/>
          <w:szCs w:val="21"/>
          <w:highlight w:val="none"/>
        </w:rPr>
        <w:t>《地下水管理条例》案由6项</w:t>
      </w:r>
      <w:r>
        <w:tab/>
      </w:r>
      <w:r>
        <w:fldChar w:fldCharType="begin"/>
      </w:r>
      <w:r>
        <w:instrText xml:space="preserve"> PAGEREF _Toc796741224 \h </w:instrText>
      </w:r>
      <w:r>
        <w:fldChar w:fldCharType="separate"/>
      </w:r>
      <w:r>
        <w:t>152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_Toc1870106766 </w:instrText>
      </w:r>
      <w:r>
        <w:rPr>
          <w:highlight w:val="none"/>
        </w:rPr>
        <w:fldChar w:fldCharType="separate"/>
      </w:r>
      <w:r>
        <w:rPr>
          <w:rFonts w:hint="eastAsia" w:ascii="宋体" w:hAnsi="宋体" w:eastAsia="宋体" w:cs="宋体"/>
          <w:bCs/>
          <w:kern w:val="0"/>
          <w:szCs w:val="21"/>
          <w:highlight w:val="none"/>
        </w:rPr>
        <w:t>《取水许可管理办法》案由3项</w:t>
      </w:r>
      <w:r>
        <w:tab/>
      </w:r>
      <w:r>
        <w:fldChar w:fldCharType="begin"/>
      </w:r>
      <w:r>
        <w:instrText xml:space="preserve"> PAGEREF _Toc1870106766 \h </w:instrText>
      </w:r>
      <w:r>
        <w:fldChar w:fldCharType="separate"/>
      </w:r>
      <w:r>
        <w:t>153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_Toc447425803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中华人民共和国水法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办法》案由1项</w:t>
      </w:r>
      <w:r>
        <w:tab/>
      </w:r>
      <w:r>
        <w:fldChar w:fldCharType="begin"/>
      </w:r>
      <w:r>
        <w:instrText xml:space="preserve"> PAGEREF _Toc447425803 \h </w:instrText>
      </w:r>
      <w:r>
        <w:fldChar w:fldCharType="separate"/>
      </w:r>
      <w:r>
        <w:t>154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_Toc793211724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_Toc793211724 \h </w:instrText>
      </w:r>
      <w:r>
        <w:fldChar w:fldCharType="separate"/>
      </w:r>
      <w:r>
        <w:t>154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_Toc1329517689 </w:instrText>
      </w:r>
      <w:r>
        <w:rPr>
          <w:highlight w:val="none"/>
        </w:rPr>
        <w:fldChar w:fldCharType="separate"/>
      </w:r>
      <w:r>
        <w:rPr>
          <w:rFonts w:hint="eastAsia" w:ascii="宋体" w:hAnsi="宋体" w:eastAsia="宋体" w:cs="宋体"/>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_Toc1329517689 \h </w:instrText>
      </w:r>
      <w:r>
        <w:fldChar w:fldCharType="separate"/>
      </w:r>
      <w:r>
        <w:t>154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_Toc1963767815 </w:instrText>
      </w:r>
      <w:r>
        <w:rPr>
          <w:highlight w:val="none"/>
        </w:rPr>
        <w:fldChar w:fldCharType="separate"/>
      </w:r>
      <w:r>
        <w:rPr>
          <w:rFonts w:hint="eastAsia" w:ascii="宋体" w:hAnsi="宋体" w:eastAsia="宋体" w:cs="宋体"/>
          <w:bCs/>
          <w:kern w:val="0"/>
          <w:szCs w:val="21"/>
          <w:highlight w:val="none"/>
        </w:rPr>
        <w:t>《城镇排水与污水处理条例》《北京市排水和再生水管理办法》案由12项</w:t>
      </w:r>
      <w:r>
        <w:tab/>
      </w:r>
      <w:r>
        <w:fldChar w:fldCharType="begin"/>
      </w:r>
      <w:r>
        <w:instrText xml:space="preserve"> PAGEREF _Toc1963767815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_Toc705604123 </w:instrText>
      </w:r>
      <w:r>
        <w:rPr>
          <w:highlight w:val="none"/>
        </w:rPr>
        <w:fldChar w:fldCharType="separate"/>
      </w:r>
      <w:r>
        <w:rPr>
          <w:rFonts w:hint="eastAsia" w:ascii="宋体" w:hAnsi="宋体" w:eastAsia="宋体" w:cs="宋体"/>
          <w:bCs/>
          <w:kern w:val="0"/>
          <w:szCs w:val="21"/>
          <w:highlight w:val="none"/>
        </w:rPr>
        <w:t>《城镇污水排入排水管网许可管理办法》《城镇排水与污水处理条例》案由10项</w:t>
      </w:r>
      <w:r>
        <w:tab/>
      </w:r>
      <w:r>
        <w:fldChar w:fldCharType="begin"/>
      </w:r>
      <w:r>
        <w:instrText xml:space="preserve"> PAGEREF _Toc705604123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_Toc1091947490 </w:instrText>
      </w:r>
      <w:r>
        <w:rPr>
          <w:highlight w:val="none"/>
        </w:rPr>
        <w:fldChar w:fldCharType="separate"/>
      </w:r>
      <w:r>
        <w:rPr>
          <w:rFonts w:hint="eastAsia" w:ascii="宋体" w:hAnsi="宋体" w:eastAsia="宋体" w:cs="宋体"/>
          <w:bCs/>
          <w:kern w:val="0"/>
          <w:szCs w:val="21"/>
          <w:highlight w:val="none"/>
        </w:rPr>
        <w:t>《北京市水污染防治条例》案由1项</w:t>
      </w:r>
      <w:r>
        <w:tab/>
      </w:r>
      <w:r>
        <w:fldChar w:fldCharType="begin"/>
      </w:r>
      <w:r>
        <w:instrText xml:space="preserve"> PAGEREF _Toc1091947490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_Toc1931537284 </w:instrText>
      </w:r>
      <w:r>
        <w:rPr>
          <w:highlight w:val="none"/>
        </w:rPr>
        <w:fldChar w:fldCharType="separate"/>
      </w:r>
      <w:r>
        <w:rPr>
          <w:rFonts w:hint="eastAsia" w:ascii="宋体" w:hAnsi="宋体" w:eastAsia="宋体" w:cs="宋体"/>
          <w:bCs/>
          <w:kern w:val="0"/>
          <w:szCs w:val="21"/>
          <w:highlight w:val="none"/>
        </w:rPr>
        <w:t>《北京市排水和再生水管理办法》案由9项</w:t>
      </w:r>
      <w:r>
        <w:tab/>
      </w:r>
      <w:r>
        <w:fldChar w:fldCharType="begin"/>
      </w:r>
      <w:r>
        <w:instrText xml:space="preserve"> PAGEREF _Toc1931537284 \h </w:instrText>
      </w:r>
      <w:r>
        <w:fldChar w:fldCharType="separate"/>
      </w:r>
      <w:r>
        <w:t>163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_Toc865650080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_Toc865650080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_Toc1600074913 </w:instrText>
      </w:r>
      <w:r>
        <w:rPr>
          <w:highlight w:val="none"/>
        </w:rPr>
        <w:fldChar w:fldCharType="separate"/>
      </w:r>
      <w:r>
        <w:rPr>
          <w:rFonts w:hint="eastAsia" w:ascii="宋体" w:hAnsi="宋体" w:eastAsia="宋体" w:cs="宋体"/>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_Toc1600074913 \h </w:instrText>
      </w:r>
      <w:r>
        <w:fldChar w:fldCharType="separate"/>
      </w:r>
      <w:r>
        <w:t>165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_Toc1210301218 </w:instrText>
      </w:r>
      <w:r>
        <w:rPr>
          <w:highlight w:val="none"/>
        </w:rPr>
        <w:fldChar w:fldCharType="separate"/>
      </w:r>
      <w:r>
        <w:rPr>
          <w:rFonts w:hint="eastAsia" w:ascii="宋体" w:hAnsi="宋体" w:eastAsia="宋体" w:cs="宋体"/>
          <w:bCs/>
          <w:kern w:val="0"/>
          <w:szCs w:val="21"/>
          <w:highlight w:val="none"/>
        </w:rPr>
        <w:t>《城市供水条例》《建设工程质量管理条例》《北京市城市公共供水管理办法》案由4项</w:t>
      </w:r>
      <w:r>
        <w:tab/>
      </w:r>
      <w:r>
        <w:fldChar w:fldCharType="begin"/>
      </w:r>
      <w:r>
        <w:instrText xml:space="preserve"> PAGEREF _Toc1210301218 \h </w:instrText>
      </w:r>
      <w:r>
        <w:fldChar w:fldCharType="separate"/>
      </w:r>
      <w:r>
        <w:t>166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_Toc1382966029 </w:instrText>
      </w:r>
      <w:r>
        <w:rPr>
          <w:highlight w:val="none"/>
        </w:rPr>
        <w:fldChar w:fldCharType="separate"/>
      </w:r>
      <w:r>
        <w:rPr>
          <w:rFonts w:hint="eastAsia" w:ascii="宋体" w:hAnsi="宋体" w:eastAsia="宋体" w:cs="宋体"/>
          <w:bCs/>
          <w:kern w:val="0"/>
          <w:szCs w:val="21"/>
          <w:highlight w:val="none"/>
        </w:rPr>
        <w:t>《城市供水水质管理规定》案由9项</w:t>
      </w:r>
      <w:r>
        <w:tab/>
      </w:r>
      <w:r>
        <w:fldChar w:fldCharType="begin"/>
      </w:r>
      <w:r>
        <w:instrText xml:space="preserve"> PAGEREF _Toc1382966029 \h </w:instrText>
      </w:r>
      <w:r>
        <w:fldChar w:fldCharType="separate"/>
      </w:r>
      <w:r>
        <w:t>167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_Toc2019562284 </w:instrText>
      </w:r>
      <w:r>
        <w:rPr>
          <w:highlight w:val="none"/>
        </w:rPr>
        <w:fldChar w:fldCharType="separate"/>
      </w:r>
      <w:r>
        <w:rPr>
          <w:rFonts w:hint="eastAsia" w:ascii="宋体" w:hAnsi="宋体" w:eastAsia="宋体" w:cs="宋体"/>
          <w:bCs/>
          <w:kern w:val="0"/>
          <w:szCs w:val="21"/>
          <w:highlight w:val="none"/>
        </w:rPr>
        <w:t>《生活饮用水卫生监督管理办法》案由2项</w:t>
      </w:r>
      <w:r>
        <w:tab/>
      </w:r>
      <w:r>
        <w:fldChar w:fldCharType="begin"/>
      </w:r>
      <w:r>
        <w:instrText xml:space="preserve"> PAGEREF _Toc2019562284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_Toc557454873 </w:instrText>
      </w:r>
      <w:r>
        <w:rPr>
          <w:highlight w:val="none"/>
        </w:rPr>
        <w:fldChar w:fldCharType="separate"/>
      </w:r>
      <w:r>
        <w:rPr>
          <w:rFonts w:hint="eastAsia" w:ascii="宋体" w:hAnsi="宋体" w:eastAsia="宋体" w:cs="宋体"/>
          <w:bCs/>
          <w:kern w:val="0"/>
          <w:szCs w:val="21"/>
          <w:highlight w:val="none"/>
        </w:rPr>
        <w:t>《北京市节水条例》案由7项</w:t>
      </w:r>
      <w:r>
        <w:tab/>
      </w:r>
      <w:r>
        <w:fldChar w:fldCharType="begin"/>
      </w:r>
      <w:r>
        <w:instrText xml:space="preserve"> PAGEREF _Toc557454873 \h </w:instrText>
      </w:r>
      <w:r>
        <w:fldChar w:fldCharType="separate"/>
      </w:r>
      <w:r>
        <w:t>169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_Toc796356177 </w:instrText>
      </w:r>
      <w:r>
        <w:rPr>
          <w:highlight w:val="none"/>
        </w:rPr>
        <w:fldChar w:fldCharType="separate"/>
      </w:r>
      <w:r>
        <w:rPr>
          <w:rFonts w:hint="eastAsia" w:ascii="宋体" w:hAnsi="宋体" w:eastAsia="宋体" w:cs="宋体"/>
          <w:bCs/>
          <w:kern w:val="0"/>
          <w:szCs w:val="21"/>
          <w:highlight w:val="none"/>
        </w:rPr>
        <w:t>《北京市物业管理条例》案由1项</w:t>
      </w:r>
      <w:r>
        <w:tab/>
      </w:r>
      <w:r>
        <w:fldChar w:fldCharType="begin"/>
      </w:r>
      <w:r>
        <w:instrText xml:space="preserve"> PAGEREF _Toc796356177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_Toc1968596229 </w:instrText>
      </w:r>
      <w:r>
        <w:rPr>
          <w:highlight w:val="none"/>
        </w:rPr>
        <w:fldChar w:fldCharType="separate"/>
      </w:r>
      <w:r>
        <w:rPr>
          <w:rFonts w:hint="eastAsia" w:ascii="宋体" w:hAnsi="宋体" w:eastAsia="宋体" w:cs="宋体"/>
          <w:bCs/>
          <w:kern w:val="0"/>
          <w:szCs w:val="21"/>
          <w:highlight w:val="none"/>
        </w:rPr>
        <w:t>《北京市城市公共供水管理办法》案由7项</w:t>
      </w:r>
      <w:r>
        <w:tab/>
      </w:r>
      <w:r>
        <w:fldChar w:fldCharType="begin"/>
      </w:r>
      <w:r>
        <w:instrText xml:space="preserve"> PAGEREF _Toc1968596229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_Toc179586356 </w:instrText>
      </w:r>
      <w:r>
        <w:rPr>
          <w:highlight w:val="none"/>
        </w:rPr>
        <w:fldChar w:fldCharType="separate"/>
      </w:r>
      <w:r>
        <w:rPr>
          <w:rFonts w:hint="eastAsia" w:ascii="宋体" w:hAnsi="宋体" w:eastAsia="宋体" w:cs="宋体"/>
          <w:bCs/>
          <w:kern w:val="0"/>
          <w:szCs w:val="21"/>
          <w:highlight w:val="none"/>
        </w:rPr>
        <w:t>《北京市自建设施供水管理办法》《城市供水条例》案由3项</w:t>
      </w:r>
      <w:r>
        <w:tab/>
      </w:r>
      <w:r>
        <w:fldChar w:fldCharType="begin"/>
      </w:r>
      <w:r>
        <w:instrText xml:space="preserve"> PAGEREF _Toc179586356 \h </w:instrText>
      </w:r>
      <w:r>
        <w:fldChar w:fldCharType="separate"/>
      </w:r>
      <w:r>
        <w:t>173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_Toc1153934318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_Toc1153934318 \h </w:instrText>
      </w:r>
      <w:r>
        <w:fldChar w:fldCharType="separate"/>
      </w:r>
      <w:r>
        <w:t>174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_Toc57819779 </w:instrText>
      </w:r>
      <w:r>
        <w:rPr>
          <w:highlight w:val="none"/>
        </w:rPr>
        <w:fldChar w:fldCharType="separate"/>
      </w:r>
      <w:r>
        <w:rPr>
          <w:rFonts w:hint="eastAsia" w:ascii="宋体" w:hAnsi="宋体" w:eastAsia="宋体" w:cs="宋体"/>
          <w:bCs/>
          <w:kern w:val="0"/>
          <w:szCs w:val="21"/>
          <w:highlight w:val="none"/>
        </w:rPr>
        <w:t>《中华人民共和国防洪法》《中华人民共和国水法》《北京市河湖保护管理条例》案由2项</w:t>
      </w:r>
      <w:r>
        <w:tab/>
      </w:r>
      <w:r>
        <w:fldChar w:fldCharType="begin"/>
      </w:r>
      <w:r>
        <w:instrText xml:space="preserve"> PAGEREF _Toc57819779 \h </w:instrText>
      </w:r>
      <w:r>
        <w:fldChar w:fldCharType="separate"/>
      </w:r>
      <w:r>
        <w:t>174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_Toc654401249 </w:instrText>
      </w:r>
      <w:r>
        <w:rPr>
          <w:highlight w:val="none"/>
        </w:rPr>
        <w:fldChar w:fldCharType="separate"/>
      </w:r>
      <w:r>
        <w:rPr>
          <w:rFonts w:hint="eastAsia" w:ascii="宋体" w:hAnsi="宋体" w:eastAsia="宋体" w:cs="宋体"/>
          <w:bCs/>
          <w:kern w:val="0"/>
          <w:szCs w:val="21"/>
          <w:highlight w:val="none"/>
        </w:rPr>
        <w:t>《中华人民共和国水污染防治法》案由1项</w:t>
      </w:r>
      <w:r>
        <w:tab/>
      </w:r>
      <w:r>
        <w:fldChar w:fldCharType="begin"/>
      </w:r>
      <w:r>
        <w:instrText xml:space="preserve"> PAGEREF _Toc654401249 \h </w:instrText>
      </w:r>
      <w:r>
        <w:fldChar w:fldCharType="separate"/>
      </w:r>
      <w:r>
        <w:t>175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_Toc1797160040 </w:instrText>
      </w:r>
      <w:r>
        <w:rPr>
          <w:highlight w:val="none"/>
        </w:rPr>
        <w:fldChar w:fldCharType="separate"/>
      </w:r>
      <w:r>
        <w:rPr>
          <w:rFonts w:hint="eastAsia" w:ascii="宋体" w:hAnsi="宋体" w:eastAsia="宋体" w:cs="宋体"/>
          <w:bCs/>
          <w:kern w:val="0"/>
          <w:szCs w:val="21"/>
          <w:highlight w:val="none"/>
        </w:rPr>
        <w:t>《中华人民共和国河道管理条例》《北京市河湖保护管理条例》案由2项</w:t>
      </w:r>
      <w:r>
        <w:tab/>
      </w:r>
      <w:r>
        <w:fldChar w:fldCharType="begin"/>
      </w:r>
      <w:r>
        <w:instrText xml:space="preserve"> PAGEREF _Toc1797160040 \h </w:instrText>
      </w:r>
      <w:r>
        <w:fldChar w:fldCharType="separate"/>
      </w:r>
      <w:r>
        <w:t>175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_Toc1248927184 </w:instrText>
      </w:r>
      <w:r>
        <w:rPr>
          <w:highlight w:val="none"/>
        </w:rPr>
        <w:fldChar w:fldCharType="separate"/>
      </w:r>
      <w:r>
        <w:rPr>
          <w:rFonts w:hint="eastAsia" w:ascii="宋体" w:hAnsi="宋体" w:eastAsia="宋体" w:cs="宋体"/>
          <w:bCs/>
          <w:kern w:val="0"/>
          <w:szCs w:val="21"/>
          <w:highlight w:val="none"/>
        </w:rPr>
        <w:t>《公路安全保护条例》案由1项</w:t>
      </w:r>
      <w:r>
        <w:tab/>
      </w:r>
      <w:r>
        <w:fldChar w:fldCharType="begin"/>
      </w:r>
      <w:r>
        <w:instrText xml:space="preserve"> PAGEREF _Toc1248927184 \h </w:instrText>
      </w:r>
      <w:r>
        <w:fldChar w:fldCharType="separate"/>
      </w:r>
      <w:r>
        <w:t>176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_Toc773120676 </w:instrText>
      </w:r>
      <w:r>
        <w:rPr>
          <w:highlight w:val="none"/>
        </w:rPr>
        <w:fldChar w:fldCharType="separate"/>
      </w:r>
      <w:r>
        <w:rPr>
          <w:rFonts w:hint="eastAsia" w:ascii="宋体" w:hAnsi="宋体" w:eastAsia="宋体" w:cs="宋体"/>
          <w:bCs/>
          <w:kern w:val="0"/>
          <w:szCs w:val="21"/>
          <w:highlight w:val="none"/>
        </w:rPr>
        <w:t>《北京市河湖保护管理条例》案由4项</w:t>
      </w:r>
      <w:r>
        <w:tab/>
      </w:r>
      <w:r>
        <w:fldChar w:fldCharType="begin"/>
      </w:r>
      <w:r>
        <w:instrText xml:space="preserve"> PAGEREF _Toc773120676 \h </w:instrText>
      </w:r>
      <w:r>
        <w:fldChar w:fldCharType="separate"/>
      </w:r>
      <w:r>
        <w:t>176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_Toc933466885 </w:instrText>
      </w:r>
      <w:r>
        <w:rPr>
          <w:highlight w:val="none"/>
        </w:rPr>
        <w:fldChar w:fldCharType="separate"/>
      </w:r>
      <w:r>
        <w:rPr>
          <w:rFonts w:hint="eastAsia" w:ascii="宋体" w:hAnsi="宋体" w:eastAsia="宋体" w:cs="宋体"/>
          <w:bCs/>
          <w:kern w:val="0"/>
          <w:szCs w:val="21"/>
          <w:highlight w:val="none"/>
        </w:rPr>
        <w:t>《北京市湿地保护条例》案由8项</w:t>
      </w:r>
      <w:r>
        <w:tab/>
      </w:r>
      <w:r>
        <w:fldChar w:fldCharType="begin"/>
      </w:r>
      <w:r>
        <w:instrText xml:space="preserve"> PAGEREF _Toc933466885 \h </w:instrText>
      </w:r>
      <w:r>
        <w:fldChar w:fldCharType="separate"/>
      </w:r>
      <w:r>
        <w:t>177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_Toc1312199602 </w:instrText>
      </w:r>
      <w:r>
        <w:rPr>
          <w:highlight w:val="none"/>
        </w:rPr>
        <w:fldChar w:fldCharType="separate"/>
      </w:r>
      <w:r>
        <w:rPr>
          <w:rFonts w:hint="eastAsia" w:ascii="宋体" w:hAnsi="宋体" w:eastAsia="宋体" w:cs="宋体"/>
          <w:bCs/>
          <w:kern w:val="0"/>
          <w:szCs w:val="21"/>
          <w:highlight w:val="none"/>
        </w:rPr>
        <w:t>《北京市水污染防治条例》案由2项</w:t>
      </w:r>
      <w:r>
        <w:tab/>
      </w:r>
      <w:r>
        <w:fldChar w:fldCharType="begin"/>
      </w:r>
      <w:r>
        <w:instrText xml:space="preserve"> PAGEREF _Toc1312199602 \h </w:instrText>
      </w:r>
      <w:r>
        <w:fldChar w:fldCharType="separate"/>
      </w:r>
      <w:r>
        <w:t>181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_Toc895443353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_Toc895443353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_Toc1182701798 </w:instrText>
      </w:r>
      <w:r>
        <w:rPr>
          <w:highlight w:val="none"/>
        </w:rPr>
        <w:fldChar w:fldCharType="separate"/>
      </w:r>
      <w:r>
        <w:rPr>
          <w:rFonts w:hint="eastAsia" w:ascii="宋体" w:hAnsi="宋体" w:eastAsia="宋体" w:cs="宋体"/>
          <w:bCs/>
          <w:kern w:val="0"/>
          <w:szCs w:val="21"/>
          <w:highlight w:val="none"/>
        </w:rPr>
        <w:t>《中华人民共和国水土保持法》案由9项</w:t>
      </w:r>
      <w:r>
        <w:tab/>
      </w:r>
      <w:r>
        <w:fldChar w:fldCharType="begin"/>
      </w:r>
      <w:r>
        <w:instrText xml:space="preserve"> PAGEREF _Toc1182701798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_Toc1836068036 </w:instrText>
      </w:r>
      <w:r>
        <w:rPr>
          <w:highlight w:val="none"/>
        </w:rPr>
        <w:fldChar w:fldCharType="separate"/>
      </w:r>
      <w:r>
        <w:rPr>
          <w:rFonts w:hint="eastAsia" w:ascii="宋体" w:hAnsi="宋体" w:eastAsia="宋体" w:cs="宋体"/>
          <w:bCs/>
          <w:kern w:val="0"/>
          <w:szCs w:val="21"/>
          <w:highlight w:val="none"/>
        </w:rPr>
        <w:t>《北京市水土保持条例》案由9项</w:t>
      </w:r>
      <w:r>
        <w:tab/>
      </w:r>
      <w:r>
        <w:fldChar w:fldCharType="begin"/>
      </w:r>
      <w:r>
        <w:instrText xml:space="preserve"> PAGEREF _Toc1836068036 \h </w:instrText>
      </w:r>
      <w:r>
        <w:fldChar w:fldCharType="separate"/>
      </w:r>
      <w:r>
        <w:t>183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_Toc1762195202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_Toc1762195202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_Toc165216269 </w:instrText>
      </w:r>
      <w:r>
        <w:rPr>
          <w:highlight w:val="none"/>
        </w:rPr>
        <w:fldChar w:fldCharType="separate"/>
      </w:r>
      <w:r>
        <w:rPr>
          <w:rFonts w:hint="eastAsia" w:ascii="宋体" w:hAnsi="宋体" w:eastAsia="宋体" w:cs="宋体"/>
          <w:bCs/>
          <w:kern w:val="0"/>
          <w:szCs w:val="21"/>
          <w:highlight w:val="none"/>
        </w:rPr>
        <w:t>《中华人民共和国水法》《中华人民共和国河道管理条例》《南水北调工程供用水管理条例》案由10项</w:t>
      </w:r>
      <w:r>
        <w:tab/>
      </w:r>
      <w:r>
        <w:fldChar w:fldCharType="begin"/>
      </w:r>
      <w:r>
        <w:instrText xml:space="preserve"> PAGEREF _Toc165216269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_Toc485325612 </w:instrText>
      </w:r>
      <w:r>
        <w:rPr>
          <w:highlight w:val="none"/>
        </w:rPr>
        <w:fldChar w:fldCharType="separate"/>
      </w:r>
      <w:r>
        <w:rPr>
          <w:rFonts w:hint="eastAsia" w:ascii="宋体" w:hAnsi="宋体" w:eastAsia="宋体" w:cs="宋体"/>
          <w:bCs/>
          <w:kern w:val="0"/>
          <w:szCs w:val="21"/>
          <w:highlight w:val="none"/>
        </w:rPr>
        <w:t>《中华人民共和国防洪法》案由7项</w:t>
      </w:r>
      <w:r>
        <w:tab/>
      </w:r>
      <w:r>
        <w:fldChar w:fldCharType="begin"/>
      </w:r>
      <w:r>
        <w:instrText xml:space="preserve"> PAGEREF _Toc485325612 \h </w:instrText>
      </w:r>
      <w:r>
        <w:fldChar w:fldCharType="separate"/>
      </w:r>
      <w:r>
        <w:t>188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_Toc1484818321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_Toc1484818321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_Toc612642073 </w:instrText>
      </w:r>
      <w:r>
        <w:rPr>
          <w:highlight w:val="none"/>
        </w:rPr>
        <w:fldChar w:fldCharType="separate"/>
      </w:r>
      <w:r>
        <w:rPr>
          <w:rFonts w:hint="eastAsia" w:ascii="宋体" w:hAnsi="宋体" w:eastAsia="宋体" w:cs="宋体"/>
          <w:bCs/>
          <w:kern w:val="0"/>
          <w:szCs w:val="21"/>
          <w:highlight w:val="none"/>
        </w:rPr>
        <w:t>《水库大坝注册登记办法》案由1项</w:t>
      </w:r>
      <w:r>
        <w:tab/>
      </w:r>
      <w:r>
        <w:fldChar w:fldCharType="begin"/>
      </w:r>
      <w:r>
        <w:instrText xml:space="preserve"> PAGEREF _Toc612642073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_Toc1278537336 </w:instrText>
      </w:r>
      <w:r>
        <w:rPr>
          <w:highlight w:val="none"/>
        </w:rPr>
        <w:fldChar w:fldCharType="separate"/>
      </w:r>
      <w:r>
        <w:rPr>
          <w:rFonts w:hint="eastAsia" w:ascii="宋体" w:hAnsi="宋体" w:eastAsia="宋体" w:cs="宋体"/>
          <w:bCs/>
          <w:kern w:val="0"/>
          <w:szCs w:val="21"/>
          <w:highlight w:val="none"/>
        </w:rPr>
        <w:t>《北京市河湖保护管理条例》《中华人民共和国河道管理条例》案由10项</w:t>
      </w:r>
      <w:r>
        <w:tab/>
      </w:r>
      <w:r>
        <w:fldChar w:fldCharType="begin"/>
      </w:r>
      <w:r>
        <w:instrText xml:space="preserve"> PAGEREF _Toc1278537336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_Toc666852362 </w:instrText>
      </w:r>
      <w:r>
        <w:rPr>
          <w:highlight w:val="none"/>
        </w:rPr>
        <w:fldChar w:fldCharType="separate"/>
      </w:r>
      <w:r>
        <w:rPr>
          <w:rFonts w:hint="eastAsia" w:ascii="宋体" w:hAnsi="宋体" w:eastAsia="宋体" w:cs="宋体"/>
          <w:bCs/>
          <w:kern w:val="0"/>
          <w:szCs w:val="21"/>
          <w:highlight w:val="none"/>
        </w:rPr>
        <w:t>《北京市湿地保护条例》案由1项</w:t>
      </w:r>
      <w:r>
        <w:tab/>
      </w:r>
      <w:r>
        <w:fldChar w:fldCharType="begin"/>
      </w:r>
      <w:r>
        <w:instrText xml:space="preserve"> PAGEREF _Toc666852362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_Toc428926240 </w:instrText>
      </w:r>
      <w:r>
        <w:rPr>
          <w:highlight w:val="none"/>
        </w:rPr>
        <w:fldChar w:fldCharType="separate"/>
      </w:r>
      <w:r>
        <w:rPr>
          <w:rFonts w:hint="eastAsia" w:ascii="宋体" w:hAnsi="宋体" w:eastAsia="宋体" w:cs="宋体"/>
          <w:bCs/>
          <w:kern w:val="0"/>
          <w:szCs w:val="21"/>
          <w:highlight w:val="none"/>
        </w:rPr>
        <w:t>《北京市南水北调工程保护办法》案由7项</w:t>
      </w:r>
      <w:r>
        <w:tab/>
      </w:r>
      <w:r>
        <w:fldChar w:fldCharType="begin"/>
      </w:r>
      <w:r>
        <w:instrText xml:space="preserve"> PAGEREF _Toc428926240 \h </w:instrText>
      </w:r>
      <w:r>
        <w:fldChar w:fldCharType="separate"/>
      </w:r>
      <w:r>
        <w:t>193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_Toc1984141459 </w:instrText>
      </w:r>
      <w:r>
        <w:rPr>
          <w:highlight w:val="none"/>
        </w:rPr>
        <w:fldChar w:fldCharType="separate"/>
      </w:r>
      <w:r>
        <w:rPr>
          <w:rFonts w:hint="eastAsia" w:ascii="宋体" w:hAnsi="宋体" w:eastAsia="宋体" w:cs="宋体"/>
          <w:bCs/>
          <w:kern w:val="0"/>
          <w:szCs w:val="21"/>
          <w:highlight w:val="none"/>
        </w:rPr>
        <w:t>《北京市实施</w:t>
      </w:r>
      <w:r>
        <w:rPr>
          <w:rFonts w:hint="eastAsia" w:ascii="仿宋" w:hAnsi="仿宋" w:eastAsia="仿宋" w:cs="仿宋"/>
          <w:bCs/>
          <w:kern w:val="0"/>
          <w:szCs w:val="21"/>
          <w:highlight w:val="none"/>
        </w:rPr>
        <w:t>&lt;</w:t>
      </w:r>
      <w:r>
        <w:rPr>
          <w:rFonts w:hint="eastAsia" w:ascii="宋体" w:hAnsi="宋体" w:eastAsia="宋体" w:cs="宋体"/>
          <w:bCs/>
          <w:kern w:val="0"/>
          <w:szCs w:val="21"/>
          <w:highlight w:val="none"/>
        </w:rPr>
        <w:t>中华人民共和国防洪法</w:t>
      </w:r>
      <w:r>
        <w:rPr>
          <w:rFonts w:hint="eastAsia" w:ascii="仿宋" w:hAnsi="仿宋" w:eastAsia="仿宋" w:cs="仿宋"/>
          <w:bCs/>
          <w:kern w:val="0"/>
          <w:szCs w:val="21"/>
          <w:highlight w:val="none"/>
        </w:rPr>
        <w:t>&gt;</w:t>
      </w:r>
      <w:r>
        <w:rPr>
          <w:rFonts w:hint="eastAsia" w:ascii="宋体" w:hAnsi="宋体" w:eastAsia="宋体" w:cs="宋体"/>
          <w:bCs/>
          <w:kern w:val="0"/>
          <w:szCs w:val="21"/>
          <w:highlight w:val="none"/>
        </w:rPr>
        <w:t>办法》案由2项</w:t>
      </w:r>
      <w:r>
        <w:tab/>
      </w:r>
      <w:r>
        <w:fldChar w:fldCharType="begin"/>
      </w:r>
      <w:r>
        <w:instrText xml:space="preserve"> PAGEREF _Toc1984141459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_Toc1758799852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_Toc1758799852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_Toc212979876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_Toc212979876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_Toc702307891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_Toc702307891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_Toc1211391117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_Toc1211391117 \h </w:instrText>
      </w:r>
      <w:r>
        <w:fldChar w:fldCharType="separate"/>
      </w:r>
      <w:r>
        <w:t>196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_Toc1423281094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_Toc1423281094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_Toc2085273921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_Toc2085273921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_Toc1083469754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_Toc1083469754 \h </w:instrText>
      </w:r>
      <w:r>
        <w:fldChar w:fldCharType="separate"/>
      </w:r>
      <w:r>
        <w:t>198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_Toc1980735967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_Toc1980735967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_Toc734146450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_Toc734146450 \h </w:instrText>
      </w:r>
      <w:r>
        <w:fldChar w:fldCharType="separate"/>
      </w:r>
      <w:r>
        <w:t>199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_Toc904582335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_Toc904582335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_Toc12838676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_Toc12838676 \h </w:instrText>
      </w:r>
      <w:r>
        <w:fldChar w:fldCharType="separate"/>
      </w:r>
      <w:r>
        <w:t>199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_Toc1888080768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_Toc1888080768 \h </w:instrText>
      </w:r>
      <w:r>
        <w:fldChar w:fldCharType="separate"/>
      </w:r>
      <w:r>
        <w:t>200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_Toc962402114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_Toc962402114 \h </w:instrText>
      </w:r>
      <w:r>
        <w:fldChar w:fldCharType="separate"/>
      </w:r>
      <w:r>
        <w:t>202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_Toc667239925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_Toc667239925 \h </w:instrText>
      </w:r>
      <w:r>
        <w:fldChar w:fldCharType="separate"/>
      </w:r>
      <w:r>
        <w:t>202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_Toc1537757160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_Toc1537757160 \h </w:instrText>
      </w:r>
      <w:r>
        <w:fldChar w:fldCharType="separate"/>
      </w:r>
      <w:r>
        <w:t>202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_Toc63845650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_Toc63845650 \h </w:instrText>
      </w:r>
      <w:r>
        <w:fldChar w:fldCharType="separate"/>
      </w:r>
      <w:r>
        <w:t>202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_Toc1440360601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_Toc1440360601 \h </w:instrText>
      </w:r>
      <w:r>
        <w:fldChar w:fldCharType="separate"/>
      </w:r>
      <w:r>
        <w:t>203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_Toc323740398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_Toc323740398 \h </w:instrText>
      </w:r>
      <w:r>
        <w:fldChar w:fldCharType="separate"/>
      </w:r>
      <w:r>
        <w:t>203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_Toc1376045253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_Toc1376045253 \h </w:instrText>
      </w:r>
      <w:r>
        <w:fldChar w:fldCharType="separate"/>
      </w:r>
      <w:r>
        <w:t>203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_Toc188320306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_Toc188320306 \h </w:instrText>
      </w:r>
      <w:r>
        <w:fldChar w:fldCharType="separate"/>
      </w:r>
      <w:r>
        <w:t>206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_Toc1506442196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_Toc1506442196 \h </w:instrText>
      </w:r>
      <w:r>
        <w:fldChar w:fldCharType="separate"/>
      </w:r>
      <w:r>
        <w:t>208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_Toc1064629641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_Toc1064629641 \h </w:instrText>
      </w:r>
      <w:r>
        <w:fldChar w:fldCharType="separate"/>
      </w:r>
      <w:r>
        <w:t>208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_Toc1950515509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_Toc1950515509 \h </w:instrText>
      </w:r>
      <w:r>
        <w:fldChar w:fldCharType="separate"/>
      </w:r>
      <w:r>
        <w:t>209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_Toc1671658466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_Toc1671658466 \h </w:instrText>
      </w:r>
      <w:r>
        <w:fldChar w:fldCharType="separate"/>
      </w:r>
      <w:r>
        <w:t>210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_Toc1549955253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_Toc1549955253 \h </w:instrText>
      </w:r>
      <w:r>
        <w:fldChar w:fldCharType="separate"/>
      </w:r>
      <w:r>
        <w:t>211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_Toc1287850182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_Toc1287850182 \h </w:instrText>
      </w:r>
      <w:r>
        <w:fldChar w:fldCharType="separate"/>
      </w:r>
      <w:r>
        <w:t>213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_Toc136816891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_Toc136816891 \h </w:instrText>
      </w:r>
      <w:r>
        <w:fldChar w:fldCharType="separate"/>
      </w:r>
      <w:r>
        <w:t>214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_Toc681008941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_Toc681008941 \h </w:instrText>
      </w:r>
      <w:r>
        <w:fldChar w:fldCharType="separate"/>
      </w:r>
      <w:r>
        <w:t>214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_Toc1954702544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_Toc1954702544 \h </w:instrText>
      </w:r>
      <w:r>
        <w:fldChar w:fldCharType="separate"/>
      </w:r>
      <w:r>
        <w:t>214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_Toc565743131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_Toc565743131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_Toc517666752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_Toc517666752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_Toc1566018748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_Toc1566018748 \h </w:instrText>
      </w:r>
      <w:r>
        <w:fldChar w:fldCharType="separate"/>
      </w:r>
      <w:r>
        <w:t>223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_Toc778723007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_Toc778723007 \h </w:instrText>
      </w:r>
      <w:r>
        <w:fldChar w:fldCharType="separate"/>
      </w:r>
      <w:r>
        <w:t>225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_Toc1219974643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_Toc1219974643 \h </w:instrText>
      </w:r>
      <w:r>
        <w:fldChar w:fldCharType="separate"/>
      </w:r>
      <w:r>
        <w:t>225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_Toc629926218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_Toc629926218 \h </w:instrText>
      </w:r>
      <w:r>
        <w:fldChar w:fldCharType="separate"/>
      </w:r>
      <w:r>
        <w:t>226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_Toc54520453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_Toc54520453 \h </w:instrText>
      </w:r>
      <w:r>
        <w:fldChar w:fldCharType="separate"/>
      </w:r>
      <w:r>
        <w:t>226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_Toc1157764916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_Toc1157764916 \h </w:instrText>
      </w:r>
      <w:r>
        <w:fldChar w:fldCharType="separate"/>
      </w:r>
      <w:r>
        <w:t>232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_Toc1713395972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_Toc1713395972 \h </w:instrText>
      </w:r>
      <w:r>
        <w:fldChar w:fldCharType="separate"/>
      </w:r>
      <w:r>
        <w:t>232</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720" w:num="1"/>
          <w:rtlGutter w:val="0"/>
          <w:docGrid w:linePitch="634" w:charSpace="0"/>
        </w:sectPr>
      </w:pPr>
    </w:p>
    <w:p>
      <w:pPr>
        <w:pStyle w:val="22"/>
        <w:rPr>
          <w:rFonts w:hint="eastAsia"/>
          <w:color w:val="auto"/>
          <w:highlight w:val="none"/>
        </w:rPr>
      </w:pPr>
    </w:p>
    <w:tbl>
      <w:tblPr>
        <w:tblStyle w:val="23"/>
        <w:tblW w:w="15116"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89"/>
        <w:gridCol w:w="851"/>
        <w:gridCol w:w="840"/>
        <w:gridCol w:w="3426"/>
        <w:gridCol w:w="4"/>
        <w:gridCol w:w="1871"/>
        <w:gridCol w:w="10"/>
        <w:gridCol w:w="1972"/>
        <w:gridCol w:w="1"/>
        <w:gridCol w:w="896"/>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trHeight w:val="90" w:hRule="atLeast"/>
          <w:tblHeader/>
        </w:trPr>
        <w:tc>
          <w:tcPr>
            <w:tcW w:w="61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c>
          <w:tcPr>
            <w:tcW w:w="897" w:type="dxa"/>
            <w:gridSpan w:val="2"/>
            <w:noWrap w:val="0"/>
            <w:vAlign w:val="center"/>
          </w:tcPr>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行使</w:t>
            </w:r>
          </w:p>
          <w:p>
            <w:pPr>
              <w:keepNext w:val="0"/>
              <w:keepLines w:val="0"/>
              <w:widowControl/>
              <w:suppressLineNumbers w:val="0"/>
              <w:spacing w:before="0" w:beforeAutospacing="0" w:after="0" w:afterAutospacing="0" w:line="0" w:lineRule="atLeast"/>
              <w:ind w:left="0" w:right="0"/>
              <w:jc w:val="center"/>
              <w:rPr>
                <w:rFonts w:hint="eastAsia" w:ascii="黑体" w:hAnsi="宋体" w:eastAsia="黑体" w:cs="宋体"/>
                <w:b/>
                <w:bCs/>
                <w:color w:val="auto"/>
                <w:kern w:val="0"/>
                <w:sz w:val="24"/>
                <w:highlight w:val="none"/>
                <w:lang w:eastAsia="zh-CN"/>
              </w:rPr>
            </w:pPr>
            <w:r>
              <w:rPr>
                <w:rFonts w:hint="eastAsia" w:ascii="黑体" w:hAnsi="宋体" w:eastAsia="黑体" w:cs="宋体"/>
                <w:b/>
                <w:bCs/>
                <w:color w:val="auto"/>
                <w:kern w:val="0"/>
                <w:sz w:val="24"/>
                <w:highlight w:val="none"/>
                <w:lang w:eastAsia="zh-CN"/>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4"/>
            <w:noWrap w:val="0"/>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313145976"/>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 w:hRule="atLeast"/>
        </w:trPr>
        <w:tc>
          <w:tcPr>
            <w:tcW w:w="15100" w:type="dxa"/>
            <w:gridSpan w:val="14"/>
            <w:noWrap w:val="0"/>
            <w:vAlign w:val="center"/>
          </w:tcPr>
          <w:p>
            <w:pPr>
              <w:pStyle w:val="3"/>
              <w:widowControl w:val="0"/>
              <w:spacing w:line="232" w:lineRule="exact"/>
              <w:jc w:val="center"/>
              <w:rPr>
                <w:rFonts w:ascii="宋体" w:hAnsi="宋体" w:eastAsia="宋体"/>
                <w:color w:val="auto"/>
                <w:sz w:val="22"/>
                <w:szCs w:val="22"/>
                <w:highlight w:val="none"/>
              </w:rPr>
            </w:pPr>
            <w:bookmarkStart w:id="3" w:name="_Toc1944272260"/>
            <w:bookmarkStart w:id="4" w:name="_Toc757395256"/>
            <w:bookmarkStart w:id="5" w:name="_Toc110851436"/>
            <w:r>
              <w:rPr>
                <w:rFonts w:hint="eastAsia" w:ascii="宋体" w:hAnsi="宋体" w:eastAsia="宋体"/>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bookmarkStart w:id="6" w:name="OLE_LINK1"/>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未按要求履行维护市容环境卫生责任</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【农村地区】</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（注：单位：</w:t>
            </w:r>
            <w:r>
              <w:rPr>
                <w:rFonts w:hint="eastAsia" w:ascii="宋体" w:hAnsi="宋体" w:eastAsia="宋体" w:cs="宋体"/>
                <w:bCs/>
                <w:color w:val="auto"/>
                <w:kern w:val="0"/>
                <w:sz w:val="15"/>
                <w:szCs w:val="15"/>
                <w:highlight w:val="none"/>
              </w:rPr>
              <w:t>元，下同</w:t>
            </w:r>
            <w:r>
              <w:rPr>
                <w:rFonts w:hint="eastAsia"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擅自在临街的建筑物上设置装饰物品</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建筑物顶部、外走廊等未保持整洁或堆物堆料</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规定区域内建筑物顶部、阳台外和窗外设置不符合容貌景观标准的设施</w:t>
            </w:r>
          </w:p>
        </w:tc>
        <w:tc>
          <w:tcPr>
            <w:tcW w:w="2789"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造成社会不良影响的，变系数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40" w:lineRule="exact"/>
              <w:rPr>
                <w:rFonts w:ascii="宋体" w:hAnsi="宋体" w:eastAsia="宋体" w:cs="宋体"/>
                <w:strike/>
                <w:dstrike w:val="0"/>
                <w:color w:val="auto"/>
                <w:kern w:val="0"/>
                <w:sz w:val="15"/>
                <w:szCs w:val="15"/>
                <w:highlight w:val="none"/>
                <w:u w:val="singl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规定区域内建筑物顶部、阳台外和窗外吊挂、晾晒、摆放物品</w:t>
            </w:r>
          </w:p>
        </w:tc>
        <w:tc>
          <w:tcPr>
            <w:tcW w:w="2789"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规定区域内建筑物平台、阳台内堆放物品超出护栏高度</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5-9。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设施处工程造价1倍的罚款。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300元／㎡</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（建筑物）</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N</w:t>
            </w:r>
            <w:r>
              <w:rPr>
                <w:rFonts w:hint="eastAsia" w:ascii="宋体" w:hAnsi="宋体" w:eastAsia="宋体" w:cs="仿宋_GB2312"/>
                <w:color w:val="auto"/>
                <w:kern w:val="0"/>
                <w:sz w:val="15"/>
                <w:szCs w:val="15"/>
                <w:highlight w:val="none"/>
              </w:rPr>
              <w:t>为违法建筑面积</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造价</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（构筑物、设施）</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按照法规规定执行。</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未按规定管护井盖雨箅</w:t>
            </w:r>
          </w:p>
        </w:tc>
        <w:tc>
          <w:tcPr>
            <w:tcW w:w="2789"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违反条款：第三十一条第一款；处罚条款：第三十一条第二款，责令改正，并可处200元以上2000元以下罚款。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3；延后4小时，系数4；延后5小时，系数5；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1" w:hRule="atLeast"/>
        </w:trPr>
        <w:tc>
          <w:tcPr>
            <w:tcW w:w="610" w:type="dxa"/>
            <w:noWrap w:val="0"/>
            <w:vAlign w:val="center"/>
          </w:tcPr>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未经批准或未按照批准要求在公共场所设置设施</w:t>
            </w:r>
          </w:p>
        </w:tc>
        <w:tc>
          <w:tcPr>
            <w:tcW w:w="2789" w:type="dxa"/>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pStyle w:val="7"/>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875"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p>
        </w:tc>
        <w:tc>
          <w:tcPr>
            <w:tcW w:w="1982" w:type="dxa"/>
            <w:gridSpan w:val="2"/>
            <w:noWrap w:val="0"/>
            <w:vAlign w:val="center"/>
          </w:tcPr>
          <w:p>
            <w:pPr>
              <w:pStyle w:val="7"/>
              <w:spacing w:line="212" w:lineRule="exact"/>
              <w:jc w:val="both"/>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非罚款处罚。</w:t>
            </w:r>
          </w:p>
        </w:tc>
        <w:tc>
          <w:tcPr>
            <w:tcW w:w="897" w:type="dxa"/>
            <w:gridSpan w:val="2"/>
            <w:noWrap w:val="0"/>
            <w:vAlign w:val="center"/>
          </w:tcPr>
          <w:p>
            <w:pPr>
              <w:pStyle w:val="7"/>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pStyle w:val="7"/>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未按规定管护公共设施</w:t>
            </w:r>
          </w:p>
        </w:tc>
        <w:tc>
          <w:tcPr>
            <w:tcW w:w="2789"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违反、处罚条款：第三十四条，责令限期改正，并可处500元以上5000元以下罚款。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未按照要求</w:t>
            </w:r>
            <w:r>
              <w:rPr>
                <w:rFonts w:hint="eastAsia" w:ascii="宋体" w:hAnsi="宋体" w:eastAsia="宋体" w:cs="宋体"/>
                <w:color w:val="auto"/>
                <w:kern w:val="0"/>
                <w:sz w:val="15"/>
                <w:szCs w:val="15"/>
                <w:highlight w:val="none"/>
              </w:rPr>
              <w:t>维修、更换、清洗或者补设</w:t>
            </w:r>
            <w:r>
              <w:rPr>
                <w:rFonts w:hint="eastAsia" w:ascii="宋体" w:hAnsi="宋体" w:eastAsia="宋体" w:cs="宋体"/>
                <w:color w:val="auto"/>
                <w:kern w:val="0"/>
                <w:sz w:val="15"/>
                <w:szCs w:val="15"/>
                <w:highlight w:val="none"/>
                <w:lang w:eastAsia="zh-CN"/>
              </w:rPr>
              <w:t>，影响设施正常使用或者造成其他严重影响，系数</w:t>
            </w:r>
            <w:r>
              <w:rPr>
                <w:rFonts w:hint="eastAsia" w:ascii="宋体" w:hAnsi="宋体" w:eastAsia="宋体" w:cs="宋体"/>
                <w:color w:val="auto"/>
                <w:kern w:val="0"/>
                <w:sz w:val="15"/>
                <w:szCs w:val="15"/>
                <w:highlight w:val="none"/>
                <w:lang w:val="en-US" w:eastAsia="zh-CN"/>
              </w:rPr>
              <w:t>5-9。</w:t>
            </w:r>
            <w:r>
              <w:rPr>
                <w:rFonts w:hint="default" w:ascii="宋体" w:hAnsi="宋体" w:eastAsia="宋体" w:cs="宋体"/>
                <w:color w:val="auto"/>
                <w:kern w:val="0"/>
                <w:sz w:val="15"/>
                <w:szCs w:val="15"/>
                <w:highlight w:val="none"/>
                <w:lang w:val="en-US"/>
              </w:rPr>
              <w:t>2.存在基准2.1.3规定情形的，系数按照相关规定确定。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擅自摆摊设点</w:t>
            </w:r>
          </w:p>
        </w:tc>
        <w:tc>
          <w:tcPr>
            <w:tcW w:w="2789" w:type="dxa"/>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0" w:lineRule="exact"/>
              <w:rPr>
                <w:color w:val="auto"/>
                <w:highlight w:val="none"/>
                <w:lang w:val="en-US" w:eastAsia="zh-CN"/>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占用过街桥、地下过街通道的，系数1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公共场所，面积较大，系数1</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.占用无障碍设施或者机动车道的，系数</w:t>
            </w:r>
            <w:r>
              <w:rPr>
                <w:rFonts w:hint="eastAsia" w:ascii="宋体" w:hAnsi="宋体" w:eastAsia="宋体" w:cs="宋体"/>
                <w:b w:val="0"/>
                <w:bCs w:val="0"/>
                <w:color w:val="auto"/>
                <w:kern w:val="0"/>
                <w:sz w:val="15"/>
                <w:szCs w:val="15"/>
                <w:highlight w:val="none"/>
                <w:lang w:val="en-US" w:eastAsia="zh-CN"/>
              </w:rPr>
              <w:t>4-6</w:t>
            </w:r>
            <w:r>
              <w:rPr>
                <w:rFonts w:hint="eastAsia" w:ascii="宋体" w:hAnsi="宋体" w:eastAsia="宋体" w:cs="宋体"/>
                <w:b w:val="0"/>
                <w:bCs w:val="0"/>
                <w:color w:val="auto"/>
                <w:kern w:val="0"/>
                <w:sz w:val="15"/>
                <w:szCs w:val="15"/>
                <w:highlight w:val="none"/>
                <w:lang w:eastAsia="zh-CN"/>
              </w:rPr>
              <w:t>；</w:t>
            </w:r>
            <w:r>
              <w:rPr>
                <w:rFonts w:hint="default" w:ascii="宋体" w:hAnsi="宋体" w:eastAsia="宋体" w:cs="宋体"/>
                <w:b w:val="0"/>
                <w:bCs w:val="0"/>
                <w:color w:val="auto"/>
                <w:kern w:val="0"/>
                <w:sz w:val="15"/>
                <w:szCs w:val="15"/>
                <w:highlight w:val="none"/>
                <w:lang w:val="en-US"/>
              </w:rPr>
              <w:t>4</w:t>
            </w:r>
            <w:r>
              <w:rPr>
                <w:rFonts w:hint="eastAsia" w:ascii="宋体" w:hAnsi="宋体" w:eastAsia="宋体" w:cs="宋体"/>
                <w:b w:val="0"/>
                <w:bCs w:val="0"/>
                <w:color w:val="auto"/>
                <w:kern w:val="0"/>
                <w:sz w:val="15"/>
                <w:szCs w:val="15"/>
                <w:highlight w:val="none"/>
              </w:rPr>
              <w:t>.使用畜力车、农用运输车及</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机动车、电动车为工具的，</w:t>
            </w:r>
            <w:r>
              <w:rPr>
                <w:rFonts w:hint="eastAsia" w:ascii="宋体" w:hAnsi="宋体" w:eastAsia="宋体" w:cs="宋体"/>
                <w:b w:val="0"/>
                <w:bCs w:val="0"/>
                <w:strike w:val="0"/>
                <w:dstrike w:val="0"/>
                <w:color w:val="auto"/>
                <w:kern w:val="0"/>
                <w:sz w:val="15"/>
                <w:szCs w:val="15"/>
                <w:highlight w:val="none"/>
                <w:lang w:val="en-US" w:eastAsia="zh-CN"/>
              </w:rPr>
              <w:t>系数1-3</w:t>
            </w:r>
            <w:r>
              <w:rPr>
                <w:rFonts w:hint="eastAsia" w:ascii="宋体" w:hAnsi="宋体" w:eastAsia="宋体" w:cs="宋体"/>
                <w:b w:val="0"/>
                <w:bCs w:val="0"/>
                <w:color w:val="auto"/>
                <w:kern w:val="0"/>
                <w:sz w:val="15"/>
                <w:szCs w:val="15"/>
                <w:highlight w:val="none"/>
              </w:rPr>
              <w:t>；</w:t>
            </w:r>
            <w:r>
              <w:rPr>
                <w:rFonts w:hint="default"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使用液化石油气瓶</w:t>
            </w:r>
            <w:r>
              <w:rPr>
                <w:rFonts w:hint="eastAsia" w:ascii="宋体" w:hAnsi="宋体" w:eastAsia="宋体" w:cs="宋体"/>
                <w:b w:val="0"/>
                <w:bCs w:val="0"/>
                <w:color w:val="auto"/>
                <w:kern w:val="0"/>
                <w:sz w:val="15"/>
                <w:szCs w:val="15"/>
                <w:highlight w:val="none"/>
              </w:rPr>
              <w:t>现场加工制作食品的，系数</w:t>
            </w:r>
            <w:r>
              <w:rPr>
                <w:rFonts w:hint="default" w:ascii="宋体" w:hAnsi="宋体" w:eastAsia="宋体" w:cs="宋体"/>
                <w:b w:val="0"/>
                <w:bCs w:val="0"/>
                <w:color w:val="auto"/>
                <w:kern w:val="0"/>
                <w:sz w:val="15"/>
                <w:szCs w:val="15"/>
                <w:highlight w:val="none"/>
                <w:lang w:val="en-US" w:eastAsia="zh-CN"/>
              </w:rPr>
              <w:t>5-9</w:t>
            </w:r>
            <w:r>
              <w:rPr>
                <w:rFonts w:hint="eastAsia" w:ascii="宋体" w:hAnsi="宋体" w:eastAsia="宋体" w:cs="宋体"/>
                <w:b w:val="0"/>
                <w:bCs w:val="0"/>
                <w:color w:val="auto"/>
                <w:kern w:val="0"/>
                <w:sz w:val="15"/>
                <w:szCs w:val="15"/>
                <w:highlight w:val="none"/>
              </w:rPr>
              <w:t>；6</w:t>
            </w:r>
            <w:r>
              <w:rPr>
                <w:rFonts w:hint="eastAsia" w:ascii="宋体" w:hAnsi="宋体" w:eastAsia="宋体" w:cs="宋体"/>
                <w:color w:val="auto"/>
                <w:kern w:val="0"/>
                <w:sz w:val="15"/>
                <w:szCs w:val="15"/>
                <w:highlight w:val="none"/>
              </w:rPr>
              <w:t>.造成交通秩序、市容秩序严重混乱的，系数5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；7.摆设摊点经营违禁品的，系数9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pStyle w:val="22"/>
              <w:spacing w:after="0" w:line="230" w:lineRule="exact"/>
              <w:ind w:firstLine="300"/>
              <w:rPr>
                <w:rFonts w:ascii="宋体" w:hAnsi="宋体" w:eastAsia="宋体" w:cs="宋体"/>
                <w:color w:val="auto"/>
                <w:kern w:val="0"/>
                <w:sz w:val="15"/>
                <w:szCs w:val="15"/>
                <w:highlight w:val="none"/>
              </w:rPr>
            </w:pPr>
          </w:p>
          <w:p>
            <w:pPr>
              <w:pStyle w:val="22"/>
              <w:spacing w:after="0" w:line="230" w:lineRule="exact"/>
              <w:ind w:firstLine="300"/>
              <w:rPr>
                <w:rFonts w:ascii="宋体" w:hAnsi="宋体" w:eastAsia="宋体" w:cs="宋体"/>
                <w:color w:val="auto"/>
                <w:kern w:val="0"/>
                <w:sz w:val="15"/>
                <w:szCs w:val="15"/>
                <w:highlight w:val="none"/>
              </w:rPr>
            </w:pPr>
          </w:p>
          <w:p>
            <w:pPr>
              <w:spacing w:line="23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0"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1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乱堆物料</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default" w:ascii="宋体" w:hAnsi="宋体" w:eastAsia="宋体" w:cs="宋体"/>
                <w:b w:val="0"/>
                <w:bCs w:val="0"/>
                <w:color w:val="auto"/>
                <w:kern w:val="0"/>
                <w:sz w:val="15"/>
                <w:szCs w:val="15"/>
                <w:highlight w:val="none"/>
                <w:lang w:val="en-US"/>
              </w:rPr>
              <w:t>1.占用过街桥、地下过街通道的，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1-3；2.占用非机动车道或者</w:t>
            </w:r>
            <w:r>
              <w:rPr>
                <w:rFonts w:hint="eastAsia" w:ascii="宋体" w:hAnsi="宋体" w:eastAsia="宋体" w:cs="宋体"/>
                <w:b w:val="0"/>
                <w:bCs w:val="0"/>
                <w:color w:val="auto"/>
                <w:kern w:val="0"/>
                <w:sz w:val="15"/>
                <w:szCs w:val="15"/>
                <w:highlight w:val="none"/>
                <w:lang w:val="en-US" w:eastAsia="zh-CN"/>
              </w:rPr>
              <w:t>其他</w:t>
            </w:r>
            <w:r>
              <w:rPr>
                <w:rFonts w:hint="default" w:ascii="宋体" w:hAnsi="宋体" w:eastAsia="宋体" w:cs="宋体"/>
                <w:b w:val="0"/>
                <w:bCs w:val="0"/>
                <w:color w:val="auto"/>
                <w:kern w:val="0"/>
                <w:sz w:val="15"/>
                <w:szCs w:val="15"/>
                <w:highlight w:val="none"/>
                <w:lang w:val="en-US"/>
              </w:rPr>
              <w:t>公共场所，面积较大，</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1-3；3.占用无障碍设施或者机动车道的，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4-6；4.在公共绿地、燃气、热力等保护范围、管理范围堆放的，系数4-6；5.堆放易燃易爆等危险物品的，</w:t>
            </w:r>
            <w:r>
              <w:rPr>
                <w:rFonts w:hint="eastAsia" w:ascii="宋体" w:hAnsi="宋体" w:eastAsia="宋体" w:cs="宋体"/>
                <w:b w:val="0"/>
                <w:bCs w:val="0"/>
                <w:color w:val="auto"/>
                <w:kern w:val="0"/>
                <w:sz w:val="15"/>
                <w:szCs w:val="15"/>
                <w:highlight w:val="none"/>
                <w:lang w:val="en-US" w:eastAsia="zh-CN"/>
              </w:rPr>
              <w:t>系数</w:t>
            </w:r>
            <w:r>
              <w:rPr>
                <w:rFonts w:hint="default" w:ascii="宋体" w:hAnsi="宋体" w:eastAsia="宋体" w:cs="宋体"/>
                <w:b w:val="0"/>
                <w:bCs w:val="0"/>
                <w:color w:val="auto"/>
                <w:kern w:val="0"/>
                <w:sz w:val="15"/>
                <w:szCs w:val="15"/>
                <w:highlight w:val="none"/>
                <w:lang w:val="en-US"/>
              </w:rPr>
              <w:t>5-9；6.造成交通秩序、市容秩序严重混乱的，系数5-9；7.造成人员伤亡的，系数7-9</w:t>
            </w:r>
            <w:r>
              <w:rPr>
                <w:rFonts w:hint="eastAsia" w:ascii="宋体" w:hAnsi="宋体" w:eastAsia="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8</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未按规定举办活动</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处罚条款：第三十五条第五款：责令改正，并可处1000元以上1万元以下的罚款。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default" w:ascii="宋体" w:hAnsi="宋体" w:eastAsia="宋体" w:cs="宋体"/>
                <w:b w:val="0"/>
                <w:bCs w:val="0"/>
                <w:color w:val="auto"/>
                <w:kern w:val="0"/>
                <w:sz w:val="15"/>
                <w:szCs w:val="15"/>
                <w:highlight w:val="none"/>
                <w:lang w:val="en-US"/>
              </w:rPr>
              <w:t>1.</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占用过街桥、地下过街通道的，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占用非机动车道或者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公共场所，面积较大，</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擅自</w:t>
            </w:r>
            <w:r>
              <w:rPr>
                <w:rFonts w:hint="eastAsia" w:ascii="宋体" w:hAnsi="宋体" w:eastAsia="宋体" w:cs="宋体"/>
                <w:b w:val="0"/>
                <w:bCs w:val="0"/>
                <w:color w:val="auto"/>
                <w:kern w:val="0"/>
                <w:sz w:val="15"/>
                <w:szCs w:val="15"/>
                <w:highlight w:val="none"/>
              </w:rPr>
              <w:t>占用无障碍设施或者机动车道的，</w:t>
            </w:r>
            <w:r>
              <w:rPr>
                <w:rFonts w:hint="eastAsia" w:ascii="宋体" w:hAnsi="宋体" w:eastAsia="宋体" w:cs="宋体"/>
                <w:b w:val="0"/>
                <w:bCs w:val="0"/>
                <w:color w:val="auto"/>
                <w:kern w:val="0"/>
                <w:sz w:val="15"/>
                <w:szCs w:val="15"/>
                <w:highlight w:val="none"/>
                <w:lang w:eastAsia="zh-CN"/>
              </w:rPr>
              <w:t>系数</w:t>
            </w:r>
            <w:r>
              <w:rPr>
                <w:rFonts w:hint="eastAsia" w:ascii="宋体" w:hAnsi="宋体" w:eastAsia="宋体" w:cs="宋体"/>
                <w:b w:val="0"/>
                <w:bCs w:val="0"/>
                <w:color w:val="auto"/>
                <w:kern w:val="0"/>
                <w:sz w:val="15"/>
                <w:szCs w:val="15"/>
                <w:highlight w:val="none"/>
              </w:rPr>
              <w:t>4-6</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造成交通秩序、市容秩序严重混乱的，系数5</w:t>
            </w:r>
            <w:r>
              <w:rPr>
                <w:rFonts w:hint="eastAsia" w:ascii="宋体" w:hAnsi="宋体" w:eastAsia="宋体" w:cs="宋体"/>
                <w:b w:val="0"/>
                <w:bCs w:val="0"/>
                <w:color w:val="auto"/>
                <w:kern w:val="0"/>
                <w:sz w:val="15"/>
                <w:szCs w:val="15"/>
                <w:highlight w:val="none"/>
                <w:lang w:val="en-US" w:eastAsia="zh-CN"/>
              </w:rPr>
              <w:t>-9；5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店外经营</w:t>
            </w:r>
          </w:p>
        </w:tc>
        <w:tc>
          <w:tcPr>
            <w:tcW w:w="2789"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违反条款：第三十五条第三款；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处罚条款：第三十五条第五款：责令改正，并可处300元以上3000元以下的罚款。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1.占用非机动车道或者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w:t>
            </w:r>
            <w:r>
              <w:rPr>
                <w:rFonts w:hint="eastAsia" w:ascii="宋体" w:hAnsi="宋体" w:eastAsia="宋体" w:cs="宋体"/>
                <w:b w:val="0"/>
                <w:bCs w:val="0"/>
                <w:color w:val="auto"/>
                <w:kern w:val="0"/>
                <w:sz w:val="15"/>
                <w:szCs w:val="15"/>
                <w:highlight w:val="none"/>
              </w:rPr>
              <w:t>较大，系数1</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;2.</w:t>
            </w:r>
            <w:r>
              <w:rPr>
                <w:rFonts w:hint="eastAsia" w:ascii="宋体" w:hAnsi="宋体" w:eastAsia="宋体" w:cs="宋体"/>
                <w:color w:val="auto"/>
                <w:kern w:val="0"/>
                <w:sz w:val="15"/>
                <w:szCs w:val="15"/>
                <w:highlight w:val="none"/>
              </w:rPr>
              <w:t>占用无障碍设施或者机动车道、</w:t>
            </w:r>
            <w:r>
              <w:rPr>
                <w:rFonts w:hint="eastAsia" w:ascii="宋体" w:hAnsi="宋体" w:eastAsia="宋体" w:cs="宋体"/>
                <w:b w:val="0"/>
                <w:bCs w:val="0"/>
                <w:color w:val="auto"/>
                <w:kern w:val="0"/>
                <w:sz w:val="15"/>
                <w:szCs w:val="15"/>
                <w:highlight w:val="none"/>
                <w:u w:val="none"/>
              </w:rPr>
              <w:t>绿地的</w:t>
            </w:r>
            <w:r>
              <w:rPr>
                <w:rFonts w:hint="eastAsia" w:ascii="宋体" w:hAnsi="宋体" w:eastAsia="宋体" w:cs="宋体"/>
                <w:color w:val="auto"/>
                <w:kern w:val="0"/>
                <w:sz w:val="15"/>
                <w:szCs w:val="15"/>
                <w:highlight w:val="none"/>
              </w:rPr>
              <w:t>，</w:t>
            </w:r>
            <w:r>
              <w:rPr>
                <w:rFonts w:hint="eastAsia" w:ascii="宋体" w:hAnsi="宋体" w:eastAsia="宋体" w:cs="宋体"/>
                <w:b w:val="0"/>
                <w:bCs w:val="0"/>
                <w:strike w:val="0"/>
                <w:dstrike w:val="0"/>
                <w:color w:val="auto"/>
                <w:kern w:val="0"/>
                <w:sz w:val="15"/>
                <w:szCs w:val="15"/>
                <w:highlight w:val="none"/>
                <w:lang w:val="en-US" w:eastAsia="zh-CN"/>
              </w:rPr>
              <w:t>系数4-6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.经营违禁品的，系数9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在城市道路及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公共场所晾晒衣物、吊挂物品</w:t>
            </w:r>
          </w:p>
        </w:tc>
        <w:tc>
          <w:tcPr>
            <w:tcW w:w="2789" w:type="dxa"/>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违反条款：第三十六条第一款；</w:t>
            </w:r>
          </w:p>
          <w:p>
            <w:pPr>
              <w:spacing w:line="21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处罚条款：第三十六条第二款：责令改正，并可处20元以上50元以下罚款。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p>
        </w:tc>
        <w:tc>
          <w:tcPr>
            <w:tcW w:w="3426" w:type="dxa"/>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按照简易程序执行</w:t>
            </w: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违反规划设置户外广告设施</w:t>
            </w:r>
          </w:p>
        </w:tc>
        <w:tc>
          <w:tcPr>
            <w:tcW w:w="2789"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pacing w:val="-3"/>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w:t>
            </w:r>
            <w:r>
              <w:rPr>
                <w:rFonts w:hint="eastAsia" w:ascii="宋体" w:hAnsi="宋体" w:eastAsia="宋体" w:cs="宋体"/>
                <w:b w:val="0"/>
                <w:bCs w:val="0"/>
                <w:color w:val="auto"/>
                <w:kern w:val="0"/>
                <w:sz w:val="15"/>
                <w:szCs w:val="15"/>
                <w:highlight w:val="none"/>
                <w:lang w:val="en-US" w:eastAsia="zh-CN"/>
              </w:rPr>
              <w:t>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pStyle w:val="8"/>
              <w:rPr>
                <w:rFonts w:hint="eastAsia"/>
                <w:color w:val="auto"/>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宋体" w:hAnsi="宋体" w:eastAsia="宋体"/>
                <w:color w:val="auto"/>
                <w:sz w:val="15"/>
                <w:szCs w:val="15"/>
                <w:highlight w:val="none"/>
              </w:rPr>
            </w:pPr>
          </w:p>
        </w:tc>
        <w:tc>
          <w:tcPr>
            <w:tcW w:w="897" w:type="dxa"/>
            <w:gridSpan w:val="2"/>
            <w:noWrap w:val="0"/>
            <w:vAlign w:val="center"/>
          </w:tcPr>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设置户外广告设施不符合安全技术标准</w:t>
            </w:r>
          </w:p>
        </w:tc>
        <w:tc>
          <w:tcPr>
            <w:tcW w:w="2789" w:type="dxa"/>
            <w:noWrap w:val="0"/>
            <w:vAlign w:val="center"/>
          </w:tcPr>
          <w:p>
            <w:pPr>
              <w:spacing w:line="210" w:lineRule="exact"/>
              <w:rPr>
                <w:rFonts w:ascii="宋体" w:hAnsi="宋体" w:eastAsia="宋体" w:cs="宋体"/>
                <w:color w:val="auto"/>
                <w:kern w:val="0"/>
                <w:sz w:val="15"/>
                <w:szCs w:val="15"/>
                <w:highlight w:val="none"/>
              </w:rPr>
            </w:pPr>
          </w:p>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违反条款：第三十八条第一款；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处罚条款：第三十八条第二款 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w:t>
            </w:r>
          </w:p>
        </w:tc>
        <w:tc>
          <w:tcPr>
            <w:tcW w:w="1982" w:type="dxa"/>
            <w:gridSpan w:val="2"/>
            <w:noWrap w:val="0"/>
            <w:vAlign w:val="center"/>
          </w:tcPr>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p>
            <w:pPr>
              <w:pStyle w:val="22"/>
              <w:spacing w:after="0" w:line="232" w:lineRule="exact"/>
              <w:ind w:left="0" w:leftChars="0" w:firstLine="0" w:firstLineChars="0"/>
              <w:jc w:val="left"/>
              <w:rPr>
                <w:rFonts w:hint="eastAsia" w:ascii="宋体" w:hAnsi="宋体" w:eastAsia="宋体" w:cs="宋体"/>
                <w:strike w:val="0"/>
                <w:dstrike w:val="0"/>
                <w:color w:val="auto"/>
                <w:kern w:val="0"/>
                <w:sz w:val="15"/>
                <w:szCs w:val="15"/>
                <w:highlight w:val="none"/>
              </w:rPr>
            </w:pPr>
          </w:p>
          <w:p>
            <w:pPr>
              <w:spacing w:line="232" w:lineRule="exact"/>
              <w:rPr>
                <w:rFonts w:ascii="宋体" w:hAnsi="宋体" w:eastAsia="宋体" w:cs="宋体"/>
                <w:strike/>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未按规定设置牌匾标识</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第一款 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color w:val="auto"/>
                <w:highlight w:val="none"/>
                <w:lang w:val="en-US"/>
              </w:rPr>
            </w:pPr>
            <w:r>
              <w:rPr>
                <w:rFonts w:hint="eastAsia" w:ascii="宋体" w:hAnsi="宋体" w:eastAsia="宋体"/>
                <w:color w:val="auto"/>
                <w:sz w:val="15"/>
                <w:szCs w:val="15"/>
                <w:highlight w:val="none"/>
              </w:rPr>
              <w:t>1.违法设置大型固定式牌匾标识的，系数2；2.违法设置距地十米以上的固定式牌匾标识的，系数2；3.违法设置2处牌匾标识的，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大型固定式牌匾标识，是指任意边长大于等于四米，或者面积大于等于十平方米的牌匾标识。</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未按规定管护牌匾标识</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违反、处罚条款：第三十九</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第二款 责令停止使用，限期修复，并可处500元以上5000元以下罚款。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color w:val="auto"/>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在环路、高（快）速路两侧，或者车站、机场、居民小区、医院、学校、体育场馆、影剧院、繁华商业街区、旅游景区等人口集中地区的，系数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5-9；2.存在重大隐患或者造成人员伤亡的，系数9；3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擅自（散发、悬挂、张贴、刻画、涂写、喷涂）宣传品、广告</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2.张贴、悬挂，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因散发、悬挂等行为影响交通通行的，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2.张贴、喷涂等污损名胜古迹的，或者严重污损市政、环卫、电信等设施、城市道路、墙体的，系数5；</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1.一类地区小广告违法行为，按照此档处罚；特殊情况下需给予1000元以下罚款的，报经案审会审核。</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u w:val="single"/>
              </w:rPr>
            </w:pPr>
            <w:r>
              <w:rPr>
                <w:rFonts w:hint="eastAsia" w:ascii="宋体" w:hAnsi="宋体" w:eastAsia="宋体" w:cs="宋体"/>
                <w:color w:val="auto"/>
                <w:kern w:val="0"/>
                <w:sz w:val="15"/>
                <w:szCs w:val="15"/>
                <w:highlight w:val="none"/>
              </w:rPr>
              <w:t>擅自利用或者组织（张贴、涂写、刻画、喷涂、散发）（标语、宣传品、广告）进行宣传</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1.散发，</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2.张贴，</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3.刻画、涂写、喷涂，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u w:val="singl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u w:val="singl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0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100000（情节严重）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上述情形适用，具体以基准2.1.3的具体规定为准。</w:t>
            </w:r>
          </w:p>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组织利用</w:t>
            </w:r>
            <w:r>
              <w:rPr>
                <w:rFonts w:ascii="宋体" w:hAnsi="宋体" w:eastAsia="宋体" w:cs="宋体"/>
                <w:color w:val="auto"/>
                <w:kern w:val="0"/>
                <w:sz w:val="15"/>
                <w:szCs w:val="15"/>
                <w:highlight w:val="none"/>
              </w:rPr>
              <w:t>不满十周岁的未成年</w:t>
            </w:r>
            <w:r>
              <w:rPr>
                <w:rFonts w:hint="eastAsia" w:ascii="宋体" w:hAnsi="宋体" w:eastAsia="宋体" w:cs="宋体"/>
                <w:color w:val="auto"/>
                <w:kern w:val="0"/>
                <w:sz w:val="15"/>
                <w:szCs w:val="15"/>
                <w:highlight w:val="none"/>
              </w:rPr>
              <w:t>人进行宣传的；组织利用三名以上（含三名）</w:t>
            </w:r>
            <w:r>
              <w:rPr>
                <w:rFonts w:ascii="宋体" w:hAnsi="宋体" w:eastAsia="宋体" w:cs="宋体"/>
                <w:color w:val="auto"/>
                <w:kern w:val="0"/>
                <w:sz w:val="15"/>
                <w:szCs w:val="15"/>
                <w:highlight w:val="none"/>
              </w:rPr>
              <w:t>十周岁以上的</w:t>
            </w:r>
            <w:r>
              <w:rPr>
                <w:rFonts w:hint="eastAsia" w:ascii="宋体" w:hAnsi="宋体" w:eastAsia="宋体" w:cs="宋体"/>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严重危害情节的，可视为情节严重。</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未按规划要求设置夜景照明设施</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违反条款：第四十三条第一款；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未经审核实施夜景照明方案</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未按照许可要求设置夜景照明设施</w:t>
            </w:r>
          </w:p>
        </w:tc>
        <w:tc>
          <w:tcPr>
            <w:tcW w:w="2789" w:type="dxa"/>
            <w:noWrap w:val="0"/>
            <w:vAlign w:val="center"/>
          </w:tcPr>
          <w:p>
            <w:pPr>
              <w:spacing w:line="250" w:lineRule="exact"/>
              <w:rPr>
                <w:rFonts w:ascii="宋体" w:hAnsi="宋体" w:eastAsia="宋体" w:cs="宋体"/>
                <w:b/>
                <w:color w:val="auto"/>
                <w:kern w:val="0"/>
                <w:sz w:val="15"/>
                <w:szCs w:val="15"/>
                <w:highlight w:val="none"/>
              </w:rPr>
            </w:pPr>
            <w:r>
              <w:rPr>
                <w:rFonts w:hint="eastAsia" w:ascii="宋体" w:hAnsi="宋体" w:eastAsia="宋体" w:cs="宋体"/>
                <w:color w:val="auto"/>
                <w:kern w:val="0"/>
                <w:sz w:val="15"/>
                <w:szCs w:val="15"/>
                <w:highlight w:val="none"/>
              </w:rPr>
              <w:t>违反条款：第四十三条第四款；处罚条款：第四十三条第四款 责令限期改正，逾期不改正的，处500元以上5000元以下罚款。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未按规定管护照明设施</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未按规定开闭照明设施</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违反、处罚条款：第四十四条第二款 责令限期改正；逾期不改正的，可处500元以上1000元以下罚款。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1.存在较大隐患或者造成较大社会影响的，系数1；2.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逾期不改正的情形，不</w:t>
            </w:r>
            <w:r>
              <w:rPr>
                <w:rFonts w:hint="eastAsia" w:ascii="宋体" w:hAnsi="宋体" w:eastAsia="宋体" w:cs="宋体"/>
                <w:strike w:val="0"/>
                <w:dstrike w:val="0"/>
                <w:color w:val="auto"/>
                <w:kern w:val="0"/>
                <w:sz w:val="15"/>
                <w:szCs w:val="15"/>
                <w:highlight w:val="none"/>
                <w:lang w:eastAsia="zh-CN"/>
              </w:rPr>
              <w:t>计入</w:t>
            </w:r>
            <w:r>
              <w:rPr>
                <w:rFonts w:hint="eastAsia" w:ascii="宋体" w:hAnsi="宋体" w:eastAsia="宋体" w:cs="宋体"/>
                <w:strike w:val="0"/>
                <w:dstrike w:val="0"/>
                <w:color w:val="auto"/>
                <w:kern w:val="0"/>
                <w:sz w:val="15"/>
                <w:szCs w:val="15"/>
                <w:highlight w:val="none"/>
              </w:rPr>
              <w:t>本案由</w:t>
            </w:r>
            <w:r>
              <w:rPr>
                <w:rFonts w:hint="eastAsia" w:ascii="宋体" w:hAnsi="宋体" w:eastAsia="宋体" w:cs="宋体"/>
                <w:strike w:val="0"/>
                <w:dstrike w:val="0"/>
                <w:color w:val="auto"/>
                <w:kern w:val="0"/>
                <w:sz w:val="15"/>
                <w:szCs w:val="15"/>
                <w:highlight w:val="none"/>
                <w:lang w:eastAsia="zh-CN"/>
              </w:rPr>
              <w:t>情节系数</w:t>
            </w:r>
            <w:r>
              <w:rPr>
                <w:rFonts w:hint="eastAsia" w:ascii="宋体" w:hAnsi="宋体" w:eastAsia="宋体" w:cs="宋体"/>
                <w:strike w:val="0"/>
                <w:dstrike w:val="0"/>
                <w:color w:val="auto"/>
                <w:kern w:val="0"/>
                <w:sz w:val="15"/>
                <w:szCs w:val="15"/>
                <w:highlight w:val="none"/>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未按规定清扫保洁</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违反、处罚条款：第四十五条 责令改正，并可处100元以上1000元以下罚款。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建设工程未按规定设置围挡、临时厕所和垃圾收集设施</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olor w:val="auto"/>
                <w:sz w:val="15"/>
                <w:szCs w:val="15"/>
                <w:highlight w:val="none"/>
              </w:rPr>
              <w:t>1.未按规定</w:t>
            </w:r>
            <w:r>
              <w:rPr>
                <w:rFonts w:hint="eastAsia" w:ascii="宋体" w:hAnsi="宋体" w:eastAsia="宋体"/>
                <w:color w:val="auto"/>
                <w:sz w:val="15"/>
                <w:szCs w:val="15"/>
                <w:highlight w:val="none"/>
                <w:lang w:eastAsia="zh-CN"/>
              </w:rPr>
              <w:t>设置</w:t>
            </w:r>
            <w:r>
              <w:rPr>
                <w:rFonts w:hint="eastAsia" w:ascii="宋体" w:hAnsi="宋体" w:eastAsia="宋体"/>
                <w:color w:val="auto"/>
                <w:sz w:val="15"/>
                <w:szCs w:val="15"/>
                <w:highlight w:val="none"/>
              </w:rPr>
              <w:t>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建设工程未按规定采取防尘措施</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bottom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建设工程现场污水流溢</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建筑垃圾未日产日清</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2.逾期不清的，逾期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olor w:val="auto"/>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未及时清除施工弃物弃料或者临时设施</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违反、处罚条款：第四十六条 责令限期改正，并处2000元以上2万元以下罚款。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1.废料占地面积10㎡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w:t>
            </w:r>
            <w:r>
              <w:rPr>
                <w:rFonts w:hint="eastAsia" w:ascii="宋体" w:hAnsi="宋体" w:eastAsia="宋体" w:cs="宋体"/>
                <w:color w:val="auto"/>
                <w:kern w:val="0"/>
                <w:sz w:val="15"/>
                <w:szCs w:val="15"/>
                <w:highlight w:val="none"/>
              </w:rPr>
              <w:t>数1；16－20㎡</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strike w:val="0"/>
                <w:dstrike w:val="0"/>
                <w:color w:val="auto"/>
                <w:kern w:val="0"/>
                <w:sz w:val="15"/>
                <w:szCs w:val="15"/>
                <w:highlight w:val="none"/>
                <w:lang w:eastAsia="zh-CN"/>
              </w:rPr>
              <w:t>经责令改正</w:t>
            </w:r>
            <w:r>
              <w:rPr>
                <w:rFonts w:hint="eastAsia" w:ascii="宋体" w:hAnsi="宋体" w:eastAsia="宋体" w:cs="宋体"/>
                <w:strike w:val="0"/>
                <w:dstrike w:val="0"/>
                <w:color w:val="auto"/>
                <w:kern w:val="0"/>
                <w:sz w:val="15"/>
                <w:szCs w:val="15"/>
                <w:highlight w:val="none"/>
              </w:rPr>
              <w:t>逾期不清除临时设施的，逾期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4天的，系数2；逾期达6天的，系数3；逾期达8天的，系数4；逾期达10天的，系数5；以此类推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1"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33</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公共设施管护作业未按规定清除废弃物</w:t>
            </w:r>
            <w:r>
              <w:rPr>
                <w:rFonts w:hint="eastAsia" w:ascii="宋体" w:hAnsi="宋体" w:eastAsia="宋体"/>
                <w:b w:val="0"/>
                <w:bCs w:val="0"/>
                <w:color w:val="auto"/>
                <w:sz w:val="15"/>
                <w:szCs w:val="15"/>
                <w:highlight w:val="none"/>
              </w:rPr>
              <w:t xml:space="preserve"> </w:t>
            </w:r>
          </w:p>
        </w:tc>
        <w:tc>
          <w:tcPr>
            <w:tcW w:w="2789"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违反、处罚条款：第四十七条 责令限期清理，并可处500元以上5000元以下罚款。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22"/>
              <w:ind w:left="0" w:leftChars="0" w:firstLine="0" w:firstLineChars="0"/>
              <w:rPr>
                <w:color w:val="auto"/>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34</w:t>
            </w:r>
          </w:p>
        </w:tc>
        <w:tc>
          <w:tcPr>
            <w:tcW w:w="1830" w:type="dxa"/>
            <w:gridSpan w:val="3"/>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城市绿地管理养护单位未保持绿地整洁</w:t>
            </w:r>
          </w:p>
        </w:tc>
        <w:tc>
          <w:tcPr>
            <w:tcW w:w="2789"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绿化作业未按规定清除废弃物</w:t>
            </w:r>
          </w:p>
        </w:tc>
        <w:tc>
          <w:tcPr>
            <w:tcW w:w="2789"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违反、处罚条款：第四十八条 责令限期改正，并可处500元以上5000元以下罚款。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占用公共场所从事车辆清洗、维修业务</w:t>
            </w:r>
          </w:p>
        </w:tc>
        <w:tc>
          <w:tcPr>
            <w:tcW w:w="2789"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违反条款：第五十条第一款；</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第三款 责令改正，并处50元以上300元以下罚款；情节严重的，处300元以上3000元以下罚款。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7" w:hRule="atLeast"/>
        </w:trPr>
        <w:tc>
          <w:tcPr>
            <w:tcW w:w="610" w:type="dxa"/>
            <w:vMerge w:val="continue"/>
            <w:noWrap w:val="0"/>
            <w:vAlign w:val="center"/>
          </w:tcPr>
          <w:p>
            <w:pPr>
              <w:spacing w:line="232" w:lineRule="exact"/>
              <w:jc w:val="center"/>
              <w:rPr>
                <w:rFonts w:ascii="宋体" w:hAnsi="宋体" w:eastAsia="宋体" w:cs="宋体"/>
                <w:b/>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b/>
                <w:color w:val="auto"/>
                <w:kern w:val="0"/>
                <w:sz w:val="15"/>
                <w:szCs w:val="15"/>
                <w:highlight w:val="none"/>
              </w:rPr>
            </w:pPr>
          </w:p>
        </w:tc>
        <w:tc>
          <w:tcPr>
            <w:tcW w:w="2789" w:type="dxa"/>
            <w:vMerge w:val="continue"/>
            <w:noWrap w:val="0"/>
            <w:vAlign w:val="center"/>
          </w:tcPr>
          <w:p>
            <w:pPr>
              <w:spacing w:line="220" w:lineRule="exact"/>
              <w:rPr>
                <w:rFonts w:ascii="宋体" w:hAnsi="宋体" w:eastAsia="宋体" w:cs="宋体"/>
                <w:b/>
                <w:color w:val="auto"/>
                <w:kern w:val="0"/>
                <w:sz w:val="15"/>
                <w:szCs w:val="15"/>
                <w:highlight w:val="none"/>
              </w:rPr>
            </w:pP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1.占用非机动车道或者占用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公共场所面积较大，或者造成通行秩序、市容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秩序混乱的</w:t>
            </w:r>
            <w:r>
              <w:rPr>
                <w:rFonts w:hint="eastAsia" w:ascii="宋体" w:hAnsi="宋体" w:eastAsia="宋体" w:cs="宋体"/>
                <w:strike w:val="0"/>
                <w:dstrike w:val="0"/>
                <w:color w:val="auto"/>
                <w:kern w:val="0"/>
                <w:sz w:val="15"/>
                <w:szCs w:val="15"/>
                <w:highlight w:val="none"/>
              </w:rPr>
              <w:t>，</w:t>
            </w:r>
            <w:r>
              <w:rPr>
                <w:rFonts w:hint="eastAsia" w:ascii="宋体" w:hAnsi="宋体" w:eastAsia="宋体" w:cs="宋体"/>
                <w:strike w:val="0"/>
                <w:dstrike w:val="0"/>
                <w:color w:val="auto"/>
                <w:kern w:val="0"/>
                <w:sz w:val="15"/>
                <w:szCs w:val="15"/>
                <w:highlight w:val="none"/>
                <w:lang w:eastAsia="zh-CN"/>
              </w:rPr>
              <w:t>系数</w:t>
            </w:r>
            <w:r>
              <w:rPr>
                <w:rFonts w:hint="eastAsia" w:ascii="宋体" w:hAnsi="宋体" w:eastAsia="宋体" w:cs="宋体"/>
                <w:strike w:val="0"/>
                <w:dstrike w:val="0"/>
                <w:color w:val="auto"/>
                <w:kern w:val="0"/>
                <w:sz w:val="15"/>
                <w:szCs w:val="15"/>
                <w:highlight w:val="none"/>
                <w:lang w:val="en-US" w:eastAsia="zh-CN"/>
              </w:rPr>
              <w:t>0-3</w:t>
            </w:r>
            <w:r>
              <w:rPr>
                <w:rFonts w:hint="eastAsia" w:ascii="宋体" w:hAnsi="宋体" w:eastAsia="宋体" w:cs="宋体"/>
                <w:strike w:val="0"/>
                <w:dstrike w:val="0"/>
                <w:color w:val="auto"/>
                <w:kern w:val="0"/>
                <w:sz w:val="15"/>
                <w:szCs w:val="15"/>
                <w:highlight w:val="none"/>
              </w:rPr>
              <w:t>；2.</w:t>
            </w:r>
            <w:r>
              <w:rPr>
                <w:rFonts w:hint="eastAsia" w:ascii="宋体" w:hAnsi="宋体" w:eastAsia="宋体" w:cs="宋体"/>
                <w:color w:val="auto"/>
                <w:kern w:val="0"/>
                <w:sz w:val="15"/>
                <w:szCs w:val="15"/>
                <w:highlight w:val="none"/>
              </w:rPr>
              <w:t>占用无障碍设施、机动车道、绿地的，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4-6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.造成交通秩序、市容</w:t>
            </w:r>
            <w:r>
              <w:rPr>
                <w:rFonts w:hint="eastAsia" w:ascii="宋体" w:hAnsi="宋体" w:eastAsia="宋体" w:cs="宋体"/>
                <w:color w:val="auto"/>
                <w:kern w:val="0"/>
                <w:sz w:val="15"/>
                <w:szCs w:val="15"/>
                <w:highlight w:val="none"/>
                <w:lang w:eastAsia="zh-CN"/>
              </w:rPr>
              <w:t>环境</w:t>
            </w:r>
            <w:r>
              <w:rPr>
                <w:rFonts w:hint="eastAsia" w:ascii="宋体" w:hAnsi="宋体" w:eastAsia="宋体" w:cs="宋体"/>
                <w:color w:val="auto"/>
                <w:kern w:val="0"/>
                <w:sz w:val="15"/>
                <w:szCs w:val="15"/>
                <w:highlight w:val="none"/>
              </w:rPr>
              <w:t>秩序严重混乱的，系数5</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37</w:t>
            </w:r>
          </w:p>
        </w:tc>
        <w:tc>
          <w:tcPr>
            <w:tcW w:w="1830" w:type="dxa"/>
            <w:gridSpan w:val="3"/>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车辆作业场所环境脏乱</w:t>
            </w:r>
          </w:p>
        </w:tc>
        <w:tc>
          <w:tcPr>
            <w:tcW w:w="2789"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违反条款：第五十条第二款；</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处罚条款：第五十条第三款 责令改正，并处50元以上300元以下罚款；情节严重的，处300元以上3000元以下罚款。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40"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违法行为发生在一类地区的，或者构成</w:t>
            </w:r>
            <w:r>
              <w:rPr>
                <w:rFonts w:hint="eastAsia" w:ascii="宋体" w:hAnsi="宋体" w:eastAsia="宋体" w:cs="宋体"/>
                <w:color w:val="auto"/>
                <w:kern w:val="0"/>
                <w:sz w:val="15"/>
                <w:szCs w:val="15"/>
                <w:highlight w:val="none"/>
                <w:lang w:eastAsia="zh-CN"/>
              </w:rPr>
              <w:t>《基准表》情节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规定情形</w:t>
            </w:r>
            <w:r>
              <w:rPr>
                <w:rFonts w:hint="eastAsia" w:ascii="宋体" w:hAnsi="宋体" w:eastAsia="宋体" w:cs="宋体"/>
                <w:color w:val="auto"/>
                <w:kern w:val="0"/>
                <w:sz w:val="15"/>
                <w:szCs w:val="15"/>
                <w:highlight w:val="none"/>
              </w:rPr>
              <w:t>的，视为情节严重，适用此档处罚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38</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废品收购场所环境脏乱</w:t>
            </w:r>
          </w:p>
        </w:tc>
        <w:tc>
          <w:tcPr>
            <w:tcW w:w="2789" w:type="dxa"/>
            <w:vMerge w:val="restart"/>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违反、处罚条款：第五十一条 责令限期改正，并处300元以上3000元以下罚款。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污染面积5㎡</w:t>
            </w:r>
            <w:r>
              <w:rPr>
                <w:rFonts w:hint="eastAsia" w:ascii="宋体" w:hAnsi="宋体" w:eastAsia="宋体" w:cs="仿宋_GB2312"/>
                <w:color w:val="auto"/>
                <w:kern w:val="0"/>
                <w:sz w:val="15"/>
                <w:szCs w:val="15"/>
                <w:highlight w:val="none"/>
              </w:rPr>
              <w:t>以内的，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0；6㎡</w:t>
            </w:r>
            <w:r>
              <w:rPr>
                <w:rFonts w:hint="eastAsia" w:ascii="宋体" w:hAnsi="宋体" w:eastAsia="宋体" w:cs="仿宋_GB2312"/>
                <w:color w:val="auto"/>
                <w:kern w:val="0"/>
                <w:sz w:val="15"/>
                <w:szCs w:val="15"/>
                <w:highlight w:val="none"/>
              </w:rPr>
              <w:t>－</w:t>
            </w:r>
            <w:r>
              <w:rPr>
                <w:rFonts w:hint="eastAsia" w:ascii="宋体" w:hAnsi="宋体" w:eastAsia="宋体" w:cs="宋体"/>
                <w:color w:val="auto"/>
                <w:kern w:val="0"/>
                <w:sz w:val="15"/>
                <w:szCs w:val="15"/>
                <w:highlight w:val="none"/>
              </w:rPr>
              <w:t>10㎡</w:t>
            </w:r>
            <w:r>
              <w:rPr>
                <w:rFonts w:hint="eastAsia" w:ascii="宋体" w:hAnsi="宋体" w:eastAsia="宋体" w:cs="仿宋_GB2312"/>
                <w:color w:val="auto"/>
                <w:kern w:val="0"/>
                <w:sz w:val="15"/>
                <w:szCs w:val="15"/>
                <w:highlight w:val="none"/>
              </w:rPr>
              <w:t>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39</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焚烧废旧物品</w:t>
            </w:r>
          </w:p>
        </w:tc>
        <w:tc>
          <w:tcPr>
            <w:tcW w:w="2789"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eastAsia="宋体"/>
                <w:color w:val="auto"/>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300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4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40</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废品储存场所未采取遮挡措施</w:t>
            </w:r>
          </w:p>
        </w:tc>
        <w:tc>
          <w:tcPr>
            <w:tcW w:w="2789" w:type="dxa"/>
            <w:vMerge w:val="continue"/>
            <w:noWrap w:val="0"/>
            <w:vAlign w:val="center"/>
          </w:tcPr>
          <w:p>
            <w:pPr>
              <w:spacing w:line="240" w:lineRule="exact"/>
              <w:rPr>
                <w:rFonts w:ascii="宋体" w:hAnsi="宋体" w:eastAsia="宋体" w:cs="宋体"/>
                <w:color w:val="auto"/>
                <w:kern w:val="0"/>
                <w:sz w:val="15"/>
                <w:szCs w:val="15"/>
                <w:highlight w:val="none"/>
              </w:rPr>
            </w:pP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造成较大社会影响或者严重污染环境的，系数</w:t>
            </w:r>
            <w:r>
              <w:rPr>
                <w:rFonts w:hint="eastAsia" w:ascii="宋体" w:hAnsi="宋体" w:eastAsia="宋体" w:cs="宋体"/>
                <w:color w:val="auto"/>
                <w:kern w:val="0"/>
                <w:sz w:val="15"/>
                <w:szCs w:val="15"/>
                <w:highlight w:val="none"/>
                <w:lang w:val="en-US" w:eastAsia="zh-CN"/>
              </w:rPr>
              <w:t>5-9；2.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2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随地吐痰</w:t>
            </w:r>
          </w:p>
        </w:tc>
        <w:tc>
          <w:tcPr>
            <w:tcW w:w="2789"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随地便溺</w:t>
            </w:r>
          </w:p>
        </w:tc>
        <w:tc>
          <w:tcPr>
            <w:tcW w:w="2789"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违反条款：第五十二条第一款第（一）项；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随地丢弃废弃物</w:t>
            </w:r>
          </w:p>
        </w:tc>
        <w:tc>
          <w:tcPr>
            <w:tcW w:w="2789"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违反条款：第五十二条第一款第（二）项；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 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20"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乱倒污水、垃圾</w:t>
            </w:r>
          </w:p>
        </w:tc>
        <w:tc>
          <w:tcPr>
            <w:tcW w:w="2789" w:type="dxa"/>
            <w:vMerge w:val="restart"/>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p>
            <w:pPr>
              <w:spacing w:line="232" w:lineRule="exact"/>
              <w:rPr>
                <w:rFonts w:hint="eastAsia"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焚烧树叶、垃圾</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违反条款：第五十二条第一款第（三）项；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处罚条款：第五十二条第二款责令改正，并可处50元罚款；情节严重的，处200元罚款。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适用情节</w:t>
            </w:r>
            <w:r>
              <w:rPr>
                <w:rFonts w:ascii="宋体" w:hAnsi="宋体" w:eastAsia="宋体" w:cs="宋体"/>
                <w:color w:val="auto"/>
                <w:kern w:val="0"/>
                <w:sz w:val="15"/>
                <w:szCs w:val="15"/>
                <w:highlight w:val="none"/>
              </w:rPr>
              <w:t>严重的情形。</w:t>
            </w:r>
            <w:r>
              <w:rPr>
                <w:rFonts w:hint="eastAsia" w:ascii="宋体" w:hAnsi="宋体" w:eastAsia="宋体" w:cs="宋体"/>
                <w:color w:val="auto"/>
                <w:kern w:val="0"/>
                <w:sz w:val="15"/>
                <w:szCs w:val="15"/>
                <w:highlight w:val="none"/>
              </w:rPr>
              <w:t>“情节严重”是指存在“拒不改正”或者“多次违反”情形的。</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在城镇地区饲养家禽家畜</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违反、处罚条款：第五十三条第一款责令限期改正，并可按照每只（头）处20元以上50元以下罚款。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根据实际情况执行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饲养鸽子影响市容环境卫生</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1.导致建筑物外立面污损的，系数3；2.导致地面污染面积5㎡</w:t>
            </w:r>
            <w:r>
              <w:rPr>
                <w:rFonts w:hint="eastAsia" w:ascii="宋体" w:hAnsi="宋体" w:eastAsia="宋体" w:cs="仿宋_GB2312"/>
                <w:color w:val="auto"/>
                <w:kern w:val="0"/>
                <w:sz w:val="15"/>
                <w:szCs w:val="15"/>
                <w:highlight w:val="none"/>
              </w:rPr>
              <w:t>以上的，系数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擅自设置建筑垃圾、渣土消纳场所</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违反、处罚条款：第五十五条 责令改正，并处5000元以上1万元以下罚款。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未按规定管护公共厕所</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违反、处罚条款：第五十七条第二款 责令限期改正，并可处500元以上3000元以下罚款。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3-5；2严重影响使用或者造成其他较大影响的，系数5；3.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未按规定排入粪便</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未按规定清掏（运输）粪便</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违反条款：第五十八条第二款；处罚条款：第五十八条第三款 责令改正，并处1000元以上2000元以下罚款。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1.造成较大影响的，系数1；2.存在基准2.1.3规定情形的，系数按照相关规定确定（基准2.1.3.5不适用）。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52</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随意倾倒粪便</w:t>
            </w:r>
          </w:p>
        </w:tc>
        <w:tc>
          <w:tcPr>
            <w:tcW w:w="2789" w:type="dxa"/>
            <w:noWrap w:val="0"/>
            <w:vAlign w:val="center"/>
          </w:tcPr>
          <w:p>
            <w:pPr>
              <w:spacing w:line="212" w:lineRule="exact"/>
              <w:rPr>
                <w:rFonts w:hint="eastAsia" w:ascii="宋体" w:hAnsi="宋体" w:eastAsia="宋体" w:cs="宋体"/>
                <w:color w:val="auto"/>
                <w:kern w:val="0"/>
                <w:sz w:val="15"/>
                <w:szCs w:val="15"/>
                <w:highlight w:val="none"/>
                <w:u w:val="single"/>
                <w:lang w:eastAsia="zh-CN"/>
              </w:rPr>
            </w:pPr>
            <w:r>
              <w:rPr>
                <w:rFonts w:hint="eastAsia" w:ascii="宋体" w:hAnsi="宋体" w:eastAsia="宋体" w:cs="宋体"/>
                <w:color w:val="auto"/>
                <w:kern w:val="0"/>
                <w:sz w:val="15"/>
                <w:szCs w:val="15"/>
                <w:highlight w:val="none"/>
              </w:rPr>
              <w:t>违反条款：第五十八条第二款；处罚条款：第五十八条第三款 随意倾倒粪便的，处5000元以上5万元以下罚款</w:t>
            </w:r>
            <w:r>
              <w:rPr>
                <w:rFonts w:hint="eastAsia" w:ascii="宋体" w:hAnsi="宋体" w:eastAsia="宋体" w:cs="宋体"/>
                <w:color w:val="auto"/>
                <w:kern w:val="0"/>
                <w:sz w:val="15"/>
                <w:szCs w:val="15"/>
                <w:highlight w:val="none"/>
                <w:lang w:eastAsia="zh-CN"/>
              </w:rPr>
              <w:t>。</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default" w:ascii="宋体" w:hAnsi="宋体" w:eastAsia="宋体" w:cs="宋体"/>
                <w:color w:val="auto"/>
                <w:kern w:val="0"/>
                <w:sz w:val="15"/>
                <w:szCs w:val="15"/>
                <w:highlight w:val="none"/>
                <w:lang w:val="en-US"/>
              </w:rPr>
              <w:t>.</w:t>
            </w:r>
            <w:r>
              <w:rPr>
                <w:rFonts w:hint="eastAsia" w:ascii="宋体" w:hAnsi="宋体" w:eastAsia="宋体" w:cs="宋体"/>
                <w:color w:val="auto"/>
                <w:kern w:val="0"/>
                <w:sz w:val="15"/>
                <w:szCs w:val="15"/>
                <w:highlight w:val="none"/>
              </w:rPr>
              <w:t>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rPr>
              <w:t>；6－10㎡</w:t>
            </w:r>
            <w:r>
              <w:rPr>
                <w:rFonts w:hint="eastAsia" w:ascii="宋体" w:hAnsi="宋体" w:eastAsia="宋体" w:cs="仿宋_GB2312"/>
                <w:strike w:val="0"/>
                <w:dstrike w:val="0"/>
                <w:color w:val="auto"/>
                <w:kern w:val="0"/>
                <w:sz w:val="15"/>
                <w:szCs w:val="15"/>
                <w:highlight w:val="none"/>
              </w:rPr>
              <w:t>，系数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default"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；2.倾倒在绿地、城市道路等公共场所，或者燃气、供暖等公用管道和设施保护（管理）范围的，或者</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区域台账与《基准表》中情节系数相关点位重叠的，不适用区域台账。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53</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环卫设施未经验收（验收不合格）投入使用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违反条款：第六十条第二款；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处罚条款：第六十条第三款 责令限期改正，并处5000元以上3万元以下罚款。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ascii="宋体" w:hAnsi="宋体" w:eastAsia="宋体" w:cs="宋体"/>
                <w:color w:val="auto"/>
                <w:kern w:val="0"/>
                <w:sz w:val="15"/>
                <w:szCs w:val="15"/>
                <w:highlight w:val="none"/>
                <w:lang w:val="en-US" w:eastAsia="zh-CN"/>
              </w:rPr>
              <w:t>3-5；2.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54</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擅自占用、损毁环卫设施</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违反条款：第六十一条第一款；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责令恢复原状或者赔偿损失，并处500元以上3000元以下罚款。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占用、损毁车站、机场、居民小区、医院、学校、体育场馆、影剧院、繁华商业街区、旅游景区等人口集中地区环卫设施的，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擅自拆除、迁移、改建、停用环卫设施</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拆除、迁移、改建、停用车站、机场、居民小区、医院、学校、体育场馆、影剧院、繁华商业街区、旅游景区等人口集中地区环卫设施的，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擅自改变环卫设施用途</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处罚条款：第六十一条第三款 责令改正，并可处5000元以上5万元以下罚款。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擅自改变车站、机场、居民小区、医院、学校、体育场馆、影剧院、繁华商业街区、旅游景区等人口集中地区环卫设施的，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US"/>
              </w:rPr>
              <w:t>存在基准2.1.3规定情形的，系数按照相关规定确定</w:t>
            </w:r>
            <w:r>
              <w:rPr>
                <w:rFonts w:hint="eastAsia" w:ascii="宋体" w:hAnsi="宋体" w:eastAsia="宋体" w:cs="宋体"/>
                <w:color w:val="auto"/>
                <w:kern w:val="0"/>
                <w:sz w:val="15"/>
                <w:szCs w:val="15"/>
                <w:highlight w:val="none"/>
              </w:rPr>
              <w:t>。</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0"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7" w:name="_Toc1542301765"/>
            <w:bookmarkStart w:id="8" w:name="_Toc110851437"/>
            <w:bookmarkStart w:id="9" w:name="_Toc686287855"/>
            <w:r>
              <w:rPr>
                <w:rFonts w:hint="eastAsia" w:ascii="宋体" w:hAnsi="宋体" w:eastAsia="宋体"/>
                <w:color w:val="auto"/>
                <w:sz w:val="21"/>
                <w:szCs w:val="21"/>
                <w:highlight w:val="none"/>
              </w:rPr>
              <w:t>《北京市生活垃圾管理条例》案由</w:t>
            </w:r>
            <w:r>
              <w:rPr>
                <w:rFonts w:ascii="宋体" w:hAnsi="宋体" w:eastAsia="宋体"/>
                <w:color w:val="auto"/>
                <w:sz w:val="21"/>
                <w:szCs w:val="21"/>
                <w:highlight w:val="none"/>
              </w:rPr>
              <w:t>36</w:t>
            </w:r>
            <w:r>
              <w:rPr>
                <w:rFonts w:hint="eastAsia" w:ascii="宋体" w:hAnsi="宋体" w:eastAsia="宋体"/>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主动向消费者提供一次性用品</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初次违反适用此情形。</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造成不良社会影响的，系数</w:t>
            </w:r>
            <w:r>
              <w:rPr>
                <w:rFonts w:hint="eastAsia" w:ascii="宋体" w:hAnsi="宋体" w:eastAsia="宋体"/>
                <w:color w:val="auto"/>
                <w:sz w:val="15"/>
                <w:szCs w:val="15"/>
                <w:highlight w:val="none"/>
                <w:lang w:val="en-US" w:eastAsia="zh-CN"/>
              </w:rPr>
              <w:t>1；</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一年度内</w:t>
            </w:r>
            <w:r>
              <w:rPr>
                <w:rFonts w:hint="eastAsia" w:ascii="宋体" w:hAnsi="宋体" w:eastAsia="宋体" w:cs="宋体"/>
                <w:color w:val="auto"/>
                <w:kern w:val="0"/>
                <w:sz w:val="15"/>
                <w:szCs w:val="15"/>
                <w:highlight w:val="none"/>
                <w:lang w:eastAsia="zh-CN"/>
              </w:rPr>
              <w:t>因</w:t>
            </w:r>
            <w:r>
              <w:rPr>
                <w:rFonts w:hint="eastAsia" w:ascii="宋体" w:hAnsi="宋体" w:eastAsia="宋体" w:cs="宋体"/>
                <w:color w:val="auto"/>
                <w:kern w:val="0"/>
                <w:sz w:val="15"/>
                <w:szCs w:val="15"/>
                <w:highlight w:val="none"/>
              </w:rPr>
              <w:t>同类性质违法行为</w:t>
            </w:r>
            <w:r>
              <w:rPr>
                <w:rFonts w:hint="eastAsia" w:ascii="宋体" w:hAnsi="宋体" w:eastAsia="宋体" w:cs="宋体"/>
                <w:color w:val="auto"/>
                <w:kern w:val="0"/>
                <w:sz w:val="15"/>
                <w:szCs w:val="15"/>
                <w:highlight w:val="none"/>
                <w:lang w:eastAsia="zh-CN"/>
              </w:rPr>
              <w:t>再次</w:t>
            </w:r>
            <w:r>
              <w:rPr>
                <w:rFonts w:hint="eastAsia" w:ascii="宋体" w:hAnsi="宋体" w:eastAsia="宋体" w:cs="宋体"/>
                <w:color w:val="auto"/>
                <w:kern w:val="0"/>
                <w:sz w:val="15"/>
                <w:szCs w:val="15"/>
                <w:highlight w:val="none"/>
              </w:rPr>
              <w:t>受到书面告诫或者处罚的</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eastAsia="zh-CN"/>
              </w:rPr>
              <w:t>不适用本案由。</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未将生活垃圾分别投入相应标识的收集容器</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（单位情节严重的）</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eastAsia" w:ascii="宋体" w:hAnsi="宋体" w:eastAsia="宋体"/>
                <w:b/>
                <w:color w:val="auto"/>
                <w:sz w:val="15"/>
                <w:szCs w:val="15"/>
                <w:highlight w:val="none"/>
                <w:lang w:eastAsia="zh-CN"/>
              </w:rPr>
            </w:pPr>
            <w:r>
              <w:rPr>
                <w:rFonts w:hint="eastAsia" w:ascii="宋体" w:hAnsi="宋体" w:eastAsia="宋体"/>
                <w:color w:val="auto"/>
                <w:sz w:val="15"/>
                <w:szCs w:val="15"/>
                <w:highlight w:val="none"/>
              </w:rPr>
              <w:t>1.可回收物</w:t>
            </w:r>
            <w:r>
              <w:rPr>
                <w:rFonts w:hint="eastAsia" w:ascii="宋体" w:hAnsi="宋体" w:eastAsia="宋体"/>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eastAsia="宋体"/>
                <w:b w:val="0"/>
                <w:bCs w:val="0"/>
                <w:strike w:val="0"/>
                <w:dstrike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；2.其他垃圾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color w:val="auto"/>
                <w:sz w:val="15"/>
                <w:szCs w:val="15"/>
                <w:highlight w:val="none"/>
              </w:rPr>
              <w:t>；3.厨余垃圾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hint="eastAsia" w:ascii="宋体" w:hAnsi="宋体" w:eastAsia="宋体"/>
                <w:b w:val="0"/>
                <w:bCs w:val="0"/>
                <w:color w:val="auto"/>
                <w:sz w:val="15"/>
                <w:szCs w:val="15"/>
                <w:highlight w:val="none"/>
                <w:lang w:val="en-US" w:eastAsia="zh-CN"/>
              </w:rPr>
              <w:t xml:space="preserve"> 2</w:t>
            </w:r>
            <w:r>
              <w:rPr>
                <w:rFonts w:hint="eastAsia" w:ascii="宋体" w:hAnsi="宋体" w:eastAsia="宋体"/>
                <w:b w:val="0"/>
                <w:bCs w:val="0"/>
                <w:color w:val="auto"/>
                <w:sz w:val="15"/>
                <w:szCs w:val="15"/>
                <w:highlight w:val="none"/>
              </w:rPr>
              <w:t>；4.有害垃圾</w:t>
            </w:r>
            <w:r>
              <w:rPr>
                <w:rFonts w:hint="eastAsia" w:ascii="宋体" w:hAnsi="宋体" w:eastAsia="宋体"/>
                <w:b w:val="0"/>
                <w:bCs w:val="0"/>
                <w:color w:val="auto"/>
                <w:sz w:val="15"/>
                <w:szCs w:val="15"/>
                <w:highlight w:val="none"/>
                <w:lang w:eastAsia="zh-CN"/>
              </w:rPr>
              <w:t>未</w:t>
            </w:r>
            <w:r>
              <w:rPr>
                <w:rFonts w:hint="eastAsia" w:ascii="宋体" w:hAnsi="宋体" w:eastAsia="宋体"/>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宋体" w:hAnsi="宋体" w:eastAsia="宋体"/>
                <w:b w:val="0"/>
                <w:bCs w:val="0"/>
                <w:color w:val="auto"/>
                <w:sz w:val="15"/>
                <w:szCs w:val="15"/>
                <w:highlight w:val="none"/>
              </w:rPr>
              <w:t>标识的收集容器</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5</w:t>
            </w:r>
            <w:r>
              <w:rPr>
                <w:rFonts w:hint="default" w:ascii="宋体" w:hAnsi="宋体" w:eastAsia="宋体"/>
                <w:b w:val="0"/>
                <w:bCs w:val="0"/>
                <w:color w:val="auto"/>
                <w:sz w:val="15"/>
                <w:szCs w:val="15"/>
                <w:highlight w:val="none"/>
                <w:lang w:val="en-US" w:eastAsia="zh-CN"/>
              </w:rPr>
              <w:t>.</w:t>
            </w:r>
            <w:r>
              <w:rPr>
                <w:rFonts w:hint="eastAsia" w:ascii="宋体" w:hAnsi="宋体" w:eastAsia="宋体"/>
                <w:color w:val="auto"/>
                <w:sz w:val="15"/>
                <w:szCs w:val="15"/>
                <w:highlight w:val="none"/>
              </w:rPr>
              <w:t>造成环境秩序较严重影响的，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6.存在基准2.1.3规定情形的，</w:t>
            </w:r>
            <w:r>
              <w:rPr>
                <w:rFonts w:hint="eastAsia" w:ascii="宋体" w:hAnsi="宋体" w:eastAsia="宋体" w:cs="宋体"/>
                <w:color w:val="auto"/>
                <w:kern w:val="0"/>
                <w:sz w:val="15"/>
                <w:szCs w:val="15"/>
                <w:highlight w:val="none"/>
                <w:lang w:val="en-US" w:eastAsia="zh-CN"/>
              </w:rPr>
              <w:t>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的，视为情节严重。</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numPr>
                <w:ilvl w:val="0"/>
                <w:numId w:val="0"/>
              </w:num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个人拒不听从生活垃圾分类管理责任人劝阻，且拒不改正的，进行书面警告。</w:t>
            </w:r>
          </w:p>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2.个人自愿参加生活垃圾分类等社区服务活动的，不予行政处罚。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1.可回收物未投入相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；2.其他垃圾未投入相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0-3；3.厨余垃圾未投入相</w:t>
            </w:r>
            <w:r>
              <w:rPr>
                <w:rFonts w:hint="eastAsia" w:ascii="宋体" w:hAnsi="宋体" w:eastAsia="宋体"/>
                <w:color w:val="auto"/>
                <w:sz w:val="15"/>
                <w:szCs w:val="15"/>
                <w:highlight w:val="none"/>
                <w:lang w:eastAsia="zh-CN"/>
              </w:rPr>
              <w:t>对</w:t>
            </w:r>
            <w:r>
              <w:rPr>
                <w:rFonts w:hint="eastAsia" w:ascii="宋体" w:hAnsi="宋体" w:eastAsia="宋体"/>
                <w:color w:val="auto"/>
                <w:sz w:val="15"/>
                <w:szCs w:val="15"/>
                <w:highlight w:val="none"/>
              </w:rPr>
              <w:t>应标识的收集容器</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ascii="宋体" w:hAnsi="宋体" w:eastAsia="宋体"/>
                <w:color w:val="auto"/>
                <w:spacing w:val="-4"/>
                <w:sz w:val="15"/>
                <w:szCs w:val="15"/>
                <w:highlight w:val="none"/>
              </w:rPr>
              <w:t>.</w:t>
            </w:r>
            <w:r>
              <w:rPr>
                <w:rFonts w:hint="eastAsia" w:ascii="宋体" w:hAnsi="宋体" w:eastAsia="宋体"/>
                <w:color w:val="auto"/>
                <w:spacing w:val="-4"/>
                <w:sz w:val="15"/>
                <w:szCs w:val="15"/>
                <w:highlight w:val="none"/>
              </w:rPr>
              <w:t>有害垃圾未投入相</w:t>
            </w:r>
            <w:r>
              <w:rPr>
                <w:rFonts w:hint="eastAsia" w:ascii="宋体" w:hAnsi="宋体" w:eastAsia="宋体"/>
                <w:color w:val="auto"/>
                <w:spacing w:val="-4"/>
                <w:sz w:val="15"/>
                <w:szCs w:val="15"/>
                <w:highlight w:val="none"/>
                <w:lang w:eastAsia="zh-CN"/>
              </w:rPr>
              <w:t>对</w:t>
            </w:r>
            <w:r>
              <w:rPr>
                <w:rFonts w:hint="eastAsia" w:ascii="宋体" w:hAnsi="宋体" w:eastAsia="宋体"/>
                <w:color w:val="auto"/>
                <w:spacing w:val="-4"/>
                <w:sz w:val="15"/>
                <w:szCs w:val="15"/>
                <w:highlight w:val="none"/>
              </w:rPr>
              <w:t>应标识的收集容器</w:t>
            </w:r>
            <w:r>
              <w:rPr>
                <w:rFonts w:hint="eastAsia" w:ascii="宋体" w:hAnsi="宋体" w:eastAsia="宋体"/>
                <w:color w:val="auto"/>
                <w:spacing w:val="-4"/>
                <w:sz w:val="15"/>
                <w:szCs w:val="15"/>
                <w:highlight w:val="none"/>
                <w:lang w:eastAsia="zh-CN"/>
              </w:rPr>
              <w:t>系数</w:t>
            </w:r>
            <w:r>
              <w:rPr>
                <w:rFonts w:hint="eastAsia" w:ascii="宋体" w:hAnsi="宋体" w:eastAsia="宋体"/>
                <w:color w:val="auto"/>
                <w:spacing w:val="-4"/>
                <w:sz w:val="15"/>
                <w:szCs w:val="15"/>
                <w:highlight w:val="none"/>
              </w:rPr>
              <w:t>1-</w:t>
            </w:r>
            <w:r>
              <w:rPr>
                <w:rFonts w:hint="eastAsia" w:ascii="宋体" w:hAnsi="宋体" w:eastAsia="宋体"/>
                <w:color w:val="auto"/>
                <w:sz w:val="15"/>
                <w:szCs w:val="15"/>
                <w:highlight w:val="none"/>
                <w:lang w:val="en-US" w:eastAsia="zh-CN"/>
              </w:rPr>
              <w:t>4</w:t>
            </w:r>
            <w:r>
              <w:rPr>
                <w:rFonts w:hint="eastAsia" w:ascii="宋体" w:hAnsi="宋体" w:eastAsia="宋体"/>
                <w:color w:val="auto"/>
                <w:spacing w:val="-4"/>
                <w:sz w:val="15"/>
                <w:szCs w:val="15"/>
                <w:highlight w:val="none"/>
                <w:lang w:eastAsia="zh-CN"/>
              </w:rPr>
              <w:t>；</w:t>
            </w:r>
            <w:r>
              <w:rPr>
                <w:rFonts w:hint="eastAsia" w:ascii="宋体" w:hAnsi="宋体" w:eastAsia="宋体" w:cs="宋体"/>
                <w:color w:val="auto"/>
                <w:kern w:val="0"/>
                <w:sz w:val="15"/>
                <w:szCs w:val="15"/>
                <w:highlight w:val="none"/>
                <w:lang w:val="en-US" w:eastAsia="zh-CN"/>
              </w:rPr>
              <w:t>5.存在基准2.1.3规定情形的，系数按照相关规定确定（基准2.1.3.5不适用）。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9"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体积较大的废弃物品未单独堆放</w:t>
            </w:r>
          </w:p>
        </w:tc>
        <w:tc>
          <w:tcPr>
            <w:tcW w:w="2789"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违反条款：第三十四条第一款第（二）项；处罚条款：第六十八条第一款 责令立即改正，</w:t>
            </w:r>
            <w:r>
              <w:rPr>
                <w:rFonts w:hint="eastAsia" w:ascii="宋体" w:hAnsi="宋体" w:eastAsia="宋体"/>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.占地面积在5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宋体"/>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eastAsia="zh-CN"/>
              </w:rPr>
              <w:t>面积</w:t>
            </w:r>
            <w:r>
              <w:rPr>
                <w:rFonts w:hint="eastAsia" w:ascii="宋体" w:hAnsi="宋体" w:eastAsia="宋体" w:cs="宋体"/>
                <w:color w:val="auto"/>
                <w:sz w:val="15"/>
                <w:szCs w:val="15"/>
                <w:highlight w:val="none"/>
                <w:lang w:val="en-US" w:eastAsia="zh-CN"/>
              </w:rPr>
              <w:t>46</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及以上的，系数</w:t>
            </w:r>
            <w:r>
              <w:rPr>
                <w:rFonts w:hint="eastAsia" w:ascii="宋体" w:hAnsi="宋体" w:eastAsia="宋体" w:cs="宋体"/>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堆放在城市道路、绿地、居住小区消防通道</w:t>
            </w:r>
            <w:r>
              <w:rPr>
                <w:rFonts w:hint="eastAsia" w:ascii="宋体" w:hAnsi="宋体" w:eastAsia="宋体" w:cs="宋体"/>
                <w:color w:val="auto"/>
                <w:sz w:val="15"/>
                <w:szCs w:val="15"/>
                <w:highlight w:val="none"/>
                <w:shd w:val="clear" w:color="auto" w:fill="FFFFFF"/>
              </w:rPr>
              <w:t>等共用部位</w:t>
            </w:r>
            <w:r>
              <w:rPr>
                <w:rFonts w:hint="eastAsia" w:ascii="宋体" w:hAnsi="宋体" w:eastAsia="宋体" w:cs="宋体"/>
                <w:color w:val="auto"/>
                <w:sz w:val="15"/>
                <w:szCs w:val="15"/>
                <w:highlight w:val="none"/>
                <w:shd w:val="clear" w:color="auto" w:fill="FFFFFF"/>
                <w:lang w:eastAsia="zh-CN"/>
              </w:rPr>
              <w:t>的，系数</w:t>
            </w:r>
            <w:r>
              <w:rPr>
                <w:rFonts w:hint="eastAsia" w:ascii="宋体" w:hAnsi="宋体" w:eastAsia="宋体" w:cs="宋体"/>
                <w:color w:val="auto"/>
                <w:sz w:val="15"/>
                <w:szCs w:val="15"/>
                <w:highlight w:val="none"/>
                <w:shd w:val="clear" w:color="auto" w:fill="FFFFFF"/>
                <w:lang w:val="en-US" w:eastAsia="zh-CN"/>
              </w:rPr>
              <w:t>0-1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占压燃气、供暖等公用管道和设施保护（管理）范围的，或者林地、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内的，</w:t>
            </w:r>
            <w:r>
              <w:rPr>
                <w:rFonts w:hint="eastAsia" w:ascii="宋体" w:hAnsi="宋体" w:eastAsia="宋体" w:cs="宋体"/>
                <w:color w:val="auto"/>
                <w:sz w:val="15"/>
                <w:szCs w:val="15"/>
                <w:highlight w:val="none"/>
                <w:shd w:val="clear" w:color="auto" w:fill="FFFFFF"/>
                <w:lang w:eastAsia="zh-CN"/>
              </w:rPr>
              <w:t>系数</w:t>
            </w:r>
            <w:r>
              <w:rPr>
                <w:rFonts w:hint="eastAsia" w:ascii="宋体" w:hAnsi="宋体" w:eastAsia="宋体" w:cs="宋体"/>
                <w:color w:val="auto"/>
                <w:sz w:val="15"/>
                <w:szCs w:val="15"/>
                <w:highlight w:val="none"/>
                <w:shd w:val="clear" w:color="auto" w:fill="FFFFFF"/>
                <w:lang w:val="en-US" w:eastAsia="zh-CN"/>
              </w:rPr>
              <w:t>5</w:t>
            </w:r>
            <w:r>
              <w:rPr>
                <w:rFonts w:hint="default" w:ascii="宋体" w:hAnsi="宋体" w:eastAsia="宋体" w:cs="宋体"/>
                <w:color w:val="auto"/>
                <w:sz w:val="15"/>
                <w:szCs w:val="15"/>
                <w:highlight w:val="none"/>
                <w:shd w:val="clear" w:color="auto" w:fill="FFFFFF"/>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hint="eastAsia" w:ascii="宋体" w:hAnsi="宋体" w:eastAsia="宋体" w:cs="宋体"/>
                <w:strike/>
                <w:dstrike w:val="0"/>
                <w:color w:val="auto"/>
                <w:kern w:val="0"/>
                <w:sz w:val="15"/>
                <w:szCs w:val="15"/>
                <w:highlight w:val="none"/>
              </w:rPr>
            </w:pPr>
            <w:r>
              <w:rPr>
                <w:rFonts w:hint="eastAsia" w:ascii="宋体" w:hAnsi="宋体" w:eastAsia="宋体"/>
                <w:color w:val="auto"/>
                <w:sz w:val="15"/>
                <w:szCs w:val="15"/>
                <w:highlight w:val="none"/>
                <w:lang w:eastAsia="zh-CN"/>
              </w:rPr>
              <w:t>拒不改正或者</w:t>
            </w:r>
            <w:r>
              <w:rPr>
                <w:rFonts w:hint="eastAsia" w:ascii="宋体" w:hAnsi="宋体" w:eastAsia="宋体"/>
                <w:color w:val="auto"/>
                <w:sz w:val="15"/>
                <w:szCs w:val="15"/>
                <w:highlight w:val="none"/>
              </w:rPr>
              <w:t>再次违反规定</w:t>
            </w:r>
            <w:r>
              <w:rPr>
                <w:rFonts w:hint="eastAsia" w:ascii="宋体" w:hAnsi="宋体" w:eastAsia="宋体"/>
                <w:color w:val="auto"/>
                <w:sz w:val="15"/>
                <w:szCs w:val="15"/>
                <w:highlight w:val="none"/>
                <w:lang w:eastAsia="zh-CN"/>
              </w:rPr>
              <w:t>，或者造成严重后果的，视为情节严重。</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未单独堆放在生活垃圾分类管理责任人指定的地点，系数0-1；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农村村民产生的灰土未按规定投放的</w:t>
            </w:r>
          </w:p>
        </w:tc>
        <w:tc>
          <w:tcPr>
            <w:tcW w:w="2789"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jc w:val="left"/>
              <w:rPr>
                <w:rFonts w:hint="eastAsia" w:ascii="宋体" w:hAnsi="宋体" w:eastAsia="宋体"/>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7" w:hRule="atLeast"/>
        </w:trPr>
        <w:tc>
          <w:tcPr>
            <w:tcW w:w="610" w:type="dxa"/>
            <w:vMerge w:val="continue"/>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vMerge w:val="continue"/>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1.未单独投放在相应的容器或者生活垃圾分类管理责任人指定的地点，系数0-1；</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5" w:hRule="atLeast"/>
        </w:trPr>
        <w:tc>
          <w:tcPr>
            <w:tcW w:w="610" w:type="dxa"/>
            <w:vMerge w:val="restart"/>
            <w:tcBorders>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tcBorders>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居民装饰装修房屋过程中产生的建筑垃圾未按指定的时间、地点和要求单独堆放</w:t>
            </w:r>
          </w:p>
        </w:tc>
        <w:tc>
          <w:tcPr>
            <w:tcW w:w="2789" w:type="dxa"/>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警告</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tcBorders>
              <w:top w:val="single" w:color="auto" w:sz="4" w:space="0"/>
              <w:left w:val="single" w:color="auto" w:sz="4" w:space="0"/>
              <w:right w:val="single" w:color="auto" w:sz="4" w:space="0"/>
            </w:tcBorders>
            <w:noWrap w:val="0"/>
            <w:vAlign w:val="center"/>
          </w:tcPr>
          <w:p>
            <w:pPr>
              <w:spacing w:line="232" w:lineRule="exact"/>
              <w:rPr>
                <w:rFonts w:hint="default" w:ascii="宋体" w:hAnsi="宋体" w:eastAsia="宋体"/>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1.个人拒不听从生活垃圾分类管理责任人劝阻，且拒不改正的，进行书面警告。2.个人自愿参加生活垃圾分类等社区服务活动的，不予行政处罚。</w:t>
            </w: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2789" w:type="dxa"/>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1.未单独堆放在生活垃圾分类管理责任人指定的地点，系数0-1；</w:t>
            </w:r>
            <w:r>
              <w:rPr>
                <w:rFonts w:hint="eastAsia" w:ascii="宋体" w:hAnsi="宋体" w:eastAsia="宋体" w:cs="宋体"/>
                <w:color w:val="auto"/>
                <w:kern w:val="0"/>
                <w:sz w:val="15"/>
                <w:szCs w:val="15"/>
                <w:highlight w:val="none"/>
              </w:rPr>
              <w:t>2.占地面积在5</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下</w:t>
            </w:r>
            <w:r>
              <w:rPr>
                <w:rFonts w:hint="eastAsia" w:ascii="宋体" w:hAnsi="宋体" w:eastAsia="宋体" w:cs="宋体"/>
                <w:color w:val="auto"/>
                <w:kern w:val="0"/>
                <w:sz w:val="15"/>
                <w:szCs w:val="15"/>
                <w:highlight w:val="none"/>
              </w:rPr>
              <w:t>的，系数0；6－10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3；3.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noWrap w:val="0"/>
            <w:vAlign w:val="center"/>
          </w:tcPr>
          <w:p>
            <w:pPr>
              <w:spacing w:line="232" w:lineRule="exact"/>
              <w:rPr>
                <w:rFonts w:hint="default"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未建立生活垃圾分类日常管理制度</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违反条款：第三十六条第一款第（一）项；处罚条款：第六十九条第一款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32" w:lineRule="exact"/>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1.同时存在第三十六条第一款第（一）、（二）、（三）、（四）、（六）项违法行为中2项行为的，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1-2；3项及以上行为的，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3-5；2</w:t>
            </w:r>
            <w:r>
              <w:rPr>
                <w:rFonts w:hint="default" w:ascii="宋体" w:hAnsi="宋体" w:eastAsia="宋体"/>
                <w:color w:val="auto"/>
                <w:sz w:val="15"/>
                <w:szCs w:val="15"/>
                <w:highlight w:val="none"/>
                <w:lang w:val="en-US"/>
              </w:rPr>
              <w:t>.</w:t>
            </w:r>
            <w:r>
              <w:rPr>
                <w:rFonts w:hint="eastAsia" w:ascii="宋体" w:hAnsi="宋体" w:eastAsia="宋体"/>
                <w:color w:val="auto"/>
                <w:sz w:val="15"/>
                <w:szCs w:val="15"/>
                <w:highlight w:val="none"/>
              </w:rPr>
              <w:t>生活垃圾分类</w:t>
            </w:r>
            <w:r>
              <w:rPr>
                <w:rFonts w:ascii="宋体" w:hAnsi="宋体" w:eastAsia="宋体"/>
                <w:color w:val="auto"/>
                <w:sz w:val="15"/>
                <w:szCs w:val="15"/>
                <w:highlight w:val="none"/>
              </w:rPr>
              <w:t>管理责任人未履行法律规定</w:t>
            </w:r>
            <w:r>
              <w:rPr>
                <w:rFonts w:hint="eastAsia" w:ascii="宋体" w:hAnsi="宋体" w:eastAsia="宋体"/>
                <w:color w:val="auto"/>
                <w:sz w:val="15"/>
                <w:szCs w:val="15"/>
                <w:highlight w:val="none"/>
              </w:rPr>
              <w:t>责任</w:t>
            </w:r>
            <w:r>
              <w:rPr>
                <w:rFonts w:ascii="宋体" w:hAnsi="宋体" w:eastAsia="宋体"/>
                <w:color w:val="auto"/>
                <w:sz w:val="15"/>
                <w:szCs w:val="15"/>
                <w:highlight w:val="none"/>
              </w:rPr>
              <w:t>或</w:t>
            </w:r>
            <w:r>
              <w:rPr>
                <w:rFonts w:hint="eastAsia" w:ascii="宋体" w:hAnsi="宋体" w:eastAsia="宋体"/>
                <w:color w:val="auto"/>
                <w:sz w:val="15"/>
                <w:szCs w:val="15"/>
                <w:highlight w:val="none"/>
              </w:rPr>
              <w:t>因生活垃圾分类收集容器配备不足造成垃圾满冒或随意堆放造成环境秩序较严重影响的，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jc w:val="both"/>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未开展宣传或未指定专人负责指导、监督垃圾分类工作</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违反条款：第三十六条第一款第（二）项；处罚条款：第六十九条第一款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未按规定设置生活垃圾分类收集容器</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未按规定管护生活垃圾分类收集容器</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违反条款：第三十六条第一款第（三）项；处罚条款：第六十九条第一款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未明确生活垃圾投放的时间、地点</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分类管理责任人未分类收集、贮存生活垃圾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违反条款：第三十六条第一款第（四）项；处罚条款：第六十九条第一款 责令立即改正，处三千元以上三万元以下罚款。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未及时制止翻拣、混合已分类生活垃圾的行为</w:t>
            </w:r>
          </w:p>
        </w:tc>
        <w:tc>
          <w:tcPr>
            <w:tcW w:w="2789"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违反条款：第三十六条第一款第（六）项；处罚条款：第六十九条第一款 责令立即改正，处三千元以上三万元以下罚款。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continue"/>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将生活垃圾交由未经许可或者备案的企业和个人进行处置</w:t>
            </w:r>
          </w:p>
        </w:tc>
        <w:tc>
          <w:tcPr>
            <w:tcW w:w="2789"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违反条款：第三十六条第一款第（五）项；处罚条款：第六十九条第二款 责令立即改正，处一万元以上十万元以下罚款。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垃圾产生量较大，</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3-4；</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.造成环境较严重影响的，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strike w:val="0"/>
                <w:dstrike w:val="0"/>
                <w:color w:val="auto"/>
                <w:sz w:val="15"/>
                <w:szCs w:val="15"/>
                <w:highlight w:val="none"/>
                <w:lang w:val="en-US" w:eastAsia="zh-CN"/>
              </w:rPr>
              <w:t xml:space="preserve"> 6</w:t>
            </w: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餐饮服务单位未按规定收集、交运、处理厨余垃圾的行为，优先适用</w:t>
            </w:r>
            <w:r>
              <w:rPr>
                <w:rFonts w:hint="eastAsia" w:ascii="宋体" w:hAnsi="宋体" w:eastAsia="宋体"/>
                <w:color w:val="auto"/>
                <w:sz w:val="15"/>
                <w:szCs w:val="15"/>
                <w:highlight w:val="none"/>
              </w:rPr>
              <w:t>第四十八条第二款的规定，依据第七十四条第一款予以处罚。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分类管理责任人未办理生活垃圾排放登记</w:t>
            </w:r>
          </w:p>
        </w:tc>
        <w:tc>
          <w:tcPr>
            <w:tcW w:w="2789"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　</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w:t>
            </w:r>
            <w:r>
              <w:rPr>
                <w:rFonts w:hint="eastAsia" w:ascii="宋体" w:hAnsi="宋体" w:eastAsia="宋体" w:cs="宋体"/>
                <w:color w:val="auto"/>
                <w:kern w:val="0"/>
                <w:sz w:val="15"/>
                <w:szCs w:val="15"/>
                <w:highlight w:val="none"/>
                <w:lang w:val="en-US" w:eastAsia="zh-CN"/>
              </w:rPr>
              <w:t>基准2.1.3规定情形的，系数按照相关规定确定（基准2.1.3.5不适用）。</w:t>
            </w:r>
          </w:p>
        </w:tc>
        <w:tc>
          <w:tcPr>
            <w:tcW w:w="1875" w:type="dxa"/>
            <w:gridSpan w:val="2"/>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分类管理责任人未如实办理生活垃圾排放登记</w:t>
            </w:r>
          </w:p>
        </w:tc>
        <w:tc>
          <w:tcPr>
            <w:tcW w:w="2789"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违反条款：第三十八条第一款；处罚条款：第七十条第一款 责令立即改正，处一千元以上五千元以下罚款。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ind w:left="0" w:leftChars="0" w:firstLine="0" w:firstLineChars="0"/>
              <w:jc w:val="both"/>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分类管理责任人未建立生活垃圾管理台账</w:t>
            </w:r>
          </w:p>
        </w:tc>
        <w:tc>
          <w:tcPr>
            <w:tcW w:w="2789"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eastAsia" w:ascii="宋体" w:hAnsi="宋体" w:eastAsia="宋体"/>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分类管理责任人未如实记录生活垃圾排放情况</w:t>
            </w:r>
          </w:p>
        </w:tc>
        <w:tc>
          <w:tcPr>
            <w:tcW w:w="2789"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违反条款：第三十八条第二款；处罚条款：第七十条第二款 责令立即改正，处一千元以上一万元以下罚款。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top"/>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收集、运输单位未按时、分类收集、运输生活垃圾</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9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生活垃圾收集工具、运输车辆、人员不符合要求</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1.工具、车辆、人员其中两类不符合要求的，系数1；2.工具、车辆、人员都不符合要求的，系数2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1.造成泄漏遗撒的，按照专项案由从重处罚。</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lang w:eastAsia="zh-CN"/>
              </w:rPr>
            </w:pPr>
            <w:r>
              <w:rPr>
                <w:rFonts w:hint="eastAsia" w:ascii="宋体" w:hAnsi="宋体" w:eastAsia="宋体" w:cs="宋体"/>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ascii="宋体" w:hAnsi="宋体" w:eastAsia="宋体" w:cs="宋体"/>
                <w:b w:val="0"/>
                <w:bCs w:val="0"/>
                <w:color w:val="auto"/>
                <w:kern w:val="0"/>
                <w:sz w:val="15"/>
                <w:szCs w:val="15"/>
                <w:highlight w:val="none"/>
                <w:lang w:eastAsia="zh-CN"/>
              </w:rPr>
              <w:t>。</w:t>
            </w:r>
          </w:p>
          <w:p>
            <w:pPr>
              <w:spacing w:line="232" w:lineRule="exact"/>
              <w:rPr>
                <w:rFonts w:hint="eastAsia" w:ascii="宋体" w:hAnsi="宋体" w:eastAsia="宋体" w:cs="宋体"/>
                <w:b w:val="0"/>
                <w:bCs w:val="0"/>
                <w:color w:val="auto"/>
                <w:kern w:val="0"/>
                <w:sz w:val="15"/>
                <w:szCs w:val="15"/>
                <w:highlight w:val="none"/>
                <w:lang w:eastAsia="zh-CN"/>
              </w:rPr>
            </w:pPr>
          </w:p>
          <w:p>
            <w:pPr>
              <w:spacing w:line="232" w:lineRule="exact"/>
              <w:rPr>
                <w:rFonts w:hint="eastAsia" w:ascii="宋体" w:hAnsi="宋体" w:eastAsia="宋体" w:cs="宋体"/>
                <w:b w:val="0"/>
                <w:bCs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6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收集、运输单位未按要求将生活垃圾运输至集中收集设施或者转运、处理设施</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1"/>
              </w:num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收集、运输单位将生活垃圾混装混运</w:t>
            </w: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b w:val="0"/>
                <w:bCs w:val="0"/>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收集、运输单位随意倾倒、丢弃、遗撒、堆放生活垃圾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耕地、公厕、河道、铁路、轨道交通、桥下空间等公共场所及周边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w:t>
            </w:r>
            <w:r>
              <w:rPr>
                <w:rFonts w:hint="eastAsia" w:ascii="宋体" w:hAnsi="宋体" w:eastAsia="宋体" w:cs="宋体"/>
                <w:color w:val="auto"/>
                <w:kern w:val="0"/>
                <w:sz w:val="15"/>
                <w:szCs w:val="15"/>
                <w:highlight w:val="none"/>
                <w:lang w:eastAsia="zh-CN"/>
              </w:rPr>
              <w:t>、石油长输管道、供水、排水、电力、通信</w:t>
            </w:r>
            <w:r>
              <w:rPr>
                <w:rFonts w:hint="eastAsia" w:ascii="宋体" w:hAnsi="宋体" w:eastAsia="宋体" w:cs="宋体"/>
                <w:color w:val="auto"/>
                <w:kern w:val="0"/>
                <w:sz w:val="15"/>
                <w:szCs w:val="15"/>
                <w:highlight w:val="none"/>
              </w:rPr>
              <w:t>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1.存在下列情形的，可视为“情节严重”：一年内因同类违法行为，受到城管执法机关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可以认定为“情节严重”情形的；</w:t>
            </w:r>
          </w:p>
          <w:p>
            <w:pPr>
              <w:spacing w:line="232" w:lineRule="exac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w:t>
            </w:r>
            <w:r>
              <w:rPr>
                <w:rFonts w:hint="eastAsia" w:ascii="宋体" w:hAnsi="宋体" w:eastAsia="宋体" w:cs="宋体"/>
                <w:color w:val="auto"/>
                <w:kern w:val="0"/>
                <w:sz w:val="15"/>
                <w:szCs w:val="15"/>
                <w:highlight w:val="none"/>
                <w:lang w:val="en-US" w:eastAsia="zh-CN"/>
              </w:rPr>
              <w:t>不</w:t>
            </w:r>
            <w:r>
              <w:rPr>
                <w:rFonts w:hint="eastAsia" w:ascii="宋体" w:hAnsi="宋体" w:eastAsia="宋体" w:cs="宋体"/>
                <w:color w:val="auto"/>
                <w:kern w:val="0"/>
                <w:sz w:val="15"/>
                <w:szCs w:val="15"/>
                <w:highlight w:val="none"/>
                <w:lang w:eastAsia="zh-CN"/>
              </w:rPr>
              <w:t>适用区域台账。</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收集、运输单位未落实生活垃圾管理</w:t>
            </w:r>
            <w:r>
              <w:rPr>
                <w:rFonts w:hint="eastAsia" w:ascii="宋体" w:hAnsi="宋体" w:eastAsia="宋体"/>
                <w:color w:val="auto"/>
                <w:sz w:val="15"/>
                <w:szCs w:val="15"/>
                <w:highlight w:val="none"/>
                <w:shd w:val="clear" w:color="auto" w:fill="auto"/>
              </w:rPr>
              <w:t>台</w:t>
            </w:r>
            <w:r>
              <w:rPr>
                <w:rFonts w:hint="eastAsia" w:ascii="宋体" w:hAnsi="宋体" w:eastAsia="宋体"/>
                <w:color w:val="auto"/>
                <w:sz w:val="15"/>
                <w:szCs w:val="15"/>
                <w:highlight w:val="none"/>
                <w:shd w:val="clear" w:color="auto" w:fill="auto"/>
                <w:lang w:eastAsia="zh-CN"/>
              </w:rPr>
              <w:t>账</w:t>
            </w:r>
            <w:r>
              <w:rPr>
                <w:rFonts w:hint="eastAsia" w:ascii="宋体" w:hAnsi="宋体" w:eastAsia="宋体"/>
                <w:color w:val="auto"/>
                <w:sz w:val="15"/>
                <w:szCs w:val="15"/>
                <w:highlight w:val="none"/>
              </w:rPr>
              <w:t>制度</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3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未按规定接收、分类处理生活垃圾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w:t>
            </w:r>
            <w:r>
              <w:rPr>
                <w:rFonts w:hint="eastAsia" w:ascii="宋体" w:hAnsi="宋体" w:eastAsia="宋体" w:cs="宋体"/>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未按规定交运、处理建筑垃圾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违反条款：第四十七条第一款；处罚条款：第七十三条 责令限期改正，处一万元以上十万元以下罚款。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b w:val="0"/>
                <w:bCs w:val="0"/>
                <w:color w:val="auto"/>
                <w:kern w:val="0"/>
                <w:sz w:val="15"/>
                <w:szCs w:val="15"/>
                <w:highlight w:val="none"/>
                <w:lang w:eastAsia="zh-CN"/>
              </w:rPr>
              <w:t>本案由适用于建设工程的建设单位、拆除工程的承担单位；涉及施工单位</w:t>
            </w:r>
            <w:r>
              <w:rPr>
                <w:rFonts w:hint="eastAsia" w:ascii="宋体" w:hAnsi="宋体" w:eastAsia="宋体"/>
                <w:color w:val="auto"/>
                <w:sz w:val="15"/>
                <w:szCs w:val="15"/>
                <w:highlight w:val="none"/>
              </w:rPr>
              <w:t>未按规定交运、处理建筑垃圾</w:t>
            </w:r>
            <w:r>
              <w:rPr>
                <w:rFonts w:hint="eastAsia" w:ascii="宋体" w:hAnsi="宋体" w:eastAsia="宋体" w:cs="宋体"/>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餐饮服务单位未按规定收集、处理厨余垃圾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违反条款：第四十八条第二款；处罚条款：第七十四条第一款 处十万元以上一百万元以下罚款，没收违法所得。</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w:t>
            </w:r>
            <w:r>
              <w:rPr>
                <w:rFonts w:hint="eastAsia" w:ascii="宋体" w:hAnsi="宋体" w:eastAsia="宋体" w:cs="宋体"/>
                <w:color w:val="auto"/>
                <w:kern w:val="0"/>
                <w:sz w:val="15"/>
                <w:szCs w:val="15"/>
                <w:highlight w:val="none"/>
                <w:shd w:val="clear" w:color="auto" w:fill="auto"/>
              </w:rPr>
              <w:t>、通信等公用管道和设施保护（管理）范围的，</w:t>
            </w:r>
            <w:r>
              <w:rPr>
                <w:rFonts w:hint="eastAsia" w:ascii="宋体" w:hAnsi="宋体" w:eastAsia="宋体" w:cs="宋体"/>
                <w:color w:val="auto"/>
                <w:kern w:val="0"/>
                <w:sz w:val="15"/>
                <w:szCs w:val="15"/>
                <w:highlight w:val="none"/>
                <w:shd w:val="clear" w:color="auto" w:fill="auto"/>
                <w:lang w:eastAsia="zh-CN"/>
              </w:rPr>
              <w:t>系数</w:t>
            </w:r>
            <w:r>
              <w:rPr>
                <w:rFonts w:hint="eastAsia" w:ascii="宋体" w:hAnsi="宋体" w:eastAsia="宋体" w:cs="宋体"/>
                <w:color w:val="auto"/>
                <w:kern w:val="0"/>
                <w:sz w:val="15"/>
                <w:szCs w:val="15"/>
                <w:highlight w:val="none"/>
                <w:shd w:val="clear" w:color="auto" w:fill="auto"/>
                <w:lang w:val="en-US" w:eastAsia="zh-CN"/>
              </w:rPr>
              <w:t>1-2。</w:t>
            </w:r>
            <w:r>
              <w:rPr>
                <w:rFonts w:hint="eastAsia" w:ascii="宋体" w:hAnsi="宋体" w:cs="宋体"/>
                <w:color w:val="auto"/>
                <w:kern w:val="0"/>
                <w:sz w:val="15"/>
                <w:szCs w:val="15"/>
                <w:highlight w:val="none"/>
                <w:shd w:val="clear" w:color="auto" w:fill="auto"/>
                <w:lang w:val="en-US" w:eastAsia="zh-CN"/>
              </w:rPr>
              <w:t>2</w:t>
            </w:r>
            <w:r>
              <w:rPr>
                <w:rFonts w:hint="eastAsia" w:ascii="宋体" w:hAnsi="宋体" w:eastAsia="宋体" w:cs="宋体"/>
                <w:color w:val="auto"/>
                <w:kern w:val="0"/>
                <w:sz w:val="15"/>
                <w:szCs w:val="15"/>
                <w:highlight w:val="none"/>
                <w:shd w:val="clear" w:color="auto" w:fill="auto"/>
              </w:rPr>
              <w:t>.</w:t>
            </w:r>
            <w:r>
              <w:rPr>
                <w:rFonts w:hint="eastAsia" w:ascii="宋体" w:hAnsi="宋体" w:eastAsia="宋体" w:cs="宋体"/>
                <w:color w:val="auto"/>
                <w:spacing w:val="-4"/>
                <w:kern w:val="0"/>
                <w:sz w:val="15"/>
                <w:szCs w:val="15"/>
                <w:highlight w:val="none"/>
                <w:shd w:val="clear" w:color="auto" w:fill="auto"/>
              </w:rPr>
              <w:t>厨余垃圾总量较大</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5吨及以上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持续时间较长</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s="宋体"/>
                <w:color w:val="auto"/>
                <w:spacing w:val="-4"/>
                <w:kern w:val="0"/>
                <w:sz w:val="15"/>
                <w:szCs w:val="15"/>
                <w:highlight w:val="none"/>
                <w:shd w:val="clear" w:color="auto" w:fill="auto"/>
                <w:lang w:val="en-US" w:eastAsia="zh-CN"/>
              </w:rPr>
              <w:t>5天及以上</w:t>
            </w:r>
            <w:r>
              <w:rPr>
                <w:rFonts w:hint="eastAsia" w:ascii="宋体" w:hAnsi="宋体" w:cs="宋体"/>
                <w:color w:val="auto"/>
                <w:spacing w:val="-4"/>
                <w:kern w:val="0"/>
                <w:sz w:val="15"/>
                <w:szCs w:val="15"/>
                <w:highlight w:val="none"/>
                <w:shd w:val="clear" w:color="auto" w:fill="auto"/>
                <w:lang w:eastAsia="zh-CN"/>
              </w:rPr>
              <w:t>）</w:t>
            </w:r>
            <w:r>
              <w:rPr>
                <w:rFonts w:hint="eastAsia" w:ascii="宋体" w:hAnsi="宋体"/>
                <w:color w:val="auto"/>
                <w:sz w:val="15"/>
                <w:szCs w:val="15"/>
                <w:highlight w:val="none"/>
                <w:shd w:val="clear" w:color="auto" w:fill="auto"/>
                <w:lang w:eastAsia="zh-CN"/>
              </w:rPr>
              <w:t>或</w:t>
            </w:r>
            <w:r>
              <w:rPr>
                <w:rFonts w:hint="eastAsia" w:ascii="宋体" w:hAnsi="宋体" w:eastAsia="宋体" w:cs="宋体"/>
                <w:color w:val="auto"/>
                <w:spacing w:val="-4"/>
                <w:kern w:val="0"/>
                <w:sz w:val="15"/>
                <w:szCs w:val="15"/>
                <w:highlight w:val="none"/>
                <w:shd w:val="clear" w:color="auto" w:fill="auto"/>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无资质单位和个人擅自收集、运输厨余垃圾</w:t>
            </w:r>
          </w:p>
        </w:tc>
        <w:tc>
          <w:tcPr>
            <w:tcW w:w="2789" w:type="dxa"/>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3" w:lineRule="exact"/>
              <w:rPr>
                <w:rFonts w:hint="default" w:ascii="宋体" w:hAnsi="宋体" w:eastAsia="宋体" w:cs="宋体"/>
                <w:b w:val="0"/>
                <w:bCs w:val="0"/>
                <w:color w:val="auto"/>
                <w:kern w:val="0"/>
                <w:sz w:val="15"/>
                <w:szCs w:val="15"/>
                <w:highlight w:val="none"/>
                <w:lang w:val="en-US" w:eastAsia="zh-CN"/>
              </w:rPr>
            </w:pPr>
            <w:r>
              <w:rPr>
                <w:rFonts w:hint="eastAsia" w:ascii="宋体" w:hAnsi="宋体" w:eastAsia="宋体" w:cs="宋体"/>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3" w:lineRule="exact"/>
              <w:rPr>
                <w:rFonts w:ascii="宋体" w:hAnsi="宋体" w:eastAsia="宋体" w:cs="宋体"/>
                <w:color w:val="auto"/>
                <w:kern w:val="0"/>
                <w:sz w:val="14"/>
                <w:szCs w:val="14"/>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集中转运、处理设施的运行管理单位未按规定和标准处理生活垃圾</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193"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p>
            <w:pPr>
              <w:spacing w:line="193" w:lineRule="exact"/>
              <w:rPr>
                <w:rFonts w:ascii="宋体" w:hAnsi="宋体" w:eastAsia="宋体" w:cs="宋体"/>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193"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4"/>
                <w:szCs w:val="14"/>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4"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生活垃圾集中转运、处理设施排放未达标</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未按要求对生活垃圾等处理过程中常规参数进行检测</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未按要求对生活垃圾处理设施相关指标进行检测</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6"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未按要求传送生活垃圾处理设施相关检测指标</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pacing w:val="0"/>
                <w:sz w:val="15"/>
                <w:szCs w:val="15"/>
                <w:highlight w:val="none"/>
              </w:rPr>
            </w:pPr>
            <w:r>
              <w:rPr>
                <w:rFonts w:hint="eastAsia" w:ascii="宋体" w:hAnsi="宋体" w:eastAsia="宋体"/>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宋体" w:hAnsi="宋体" w:eastAsia="宋体" w:cs="宋体"/>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1" w:hRule="atLeast"/>
        </w:trPr>
        <w:tc>
          <w:tcPr>
            <w:tcW w:w="610" w:type="dxa"/>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未落实生活垃圾处理台</w:t>
            </w:r>
            <w:r>
              <w:rPr>
                <w:rFonts w:hint="eastAsia" w:ascii="宋体" w:hAnsi="宋体" w:eastAsia="宋体"/>
                <w:color w:val="auto"/>
                <w:sz w:val="15"/>
                <w:szCs w:val="15"/>
                <w:highlight w:val="none"/>
                <w:lang w:eastAsia="zh-CN"/>
              </w:rPr>
              <w:t>账</w:t>
            </w:r>
            <w:r>
              <w:rPr>
                <w:rFonts w:hint="eastAsia" w:ascii="宋体" w:hAnsi="宋体" w:eastAsia="宋体"/>
                <w:color w:val="auto"/>
                <w:sz w:val="15"/>
                <w:szCs w:val="15"/>
                <w:highlight w:val="none"/>
              </w:rPr>
              <w:t>制度</w:t>
            </w:r>
          </w:p>
        </w:tc>
        <w:tc>
          <w:tcPr>
            <w:tcW w:w="2789"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0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1.存在下列情形的，可视为“情节严重”：</w:t>
            </w:r>
            <w:r>
              <w:rPr>
                <w:rFonts w:hint="eastAsia" w:ascii="宋体" w:hAnsi="宋体" w:eastAsia="宋体" w:cs="宋体"/>
                <w:b w:val="0"/>
                <w:bCs w:val="0"/>
                <w:color w:val="auto"/>
                <w:kern w:val="0"/>
                <w:sz w:val="15"/>
                <w:szCs w:val="15"/>
                <w:highlight w:val="none"/>
              </w:rPr>
              <w:t>一年内因同类违法行为，受到城管执法机关</w:t>
            </w:r>
            <w:r>
              <w:rPr>
                <w:rFonts w:hint="default" w:ascii="宋体" w:hAnsi="宋体" w:eastAsia="宋体" w:cs="宋体"/>
                <w:b w:val="0"/>
                <w:bCs w:val="0"/>
                <w:strike w:val="0"/>
                <w:dstrike w:val="0"/>
                <w:color w:val="auto"/>
                <w:kern w:val="0"/>
                <w:sz w:val="15"/>
                <w:szCs w:val="15"/>
                <w:highlight w:val="none"/>
                <w:lang w:val="en-US"/>
              </w:rPr>
              <w:t>2</w:t>
            </w:r>
            <w:r>
              <w:rPr>
                <w:rFonts w:hint="eastAsia" w:ascii="宋体" w:hAnsi="宋体" w:eastAsia="宋体" w:cs="宋体"/>
                <w:b w:val="0"/>
                <w:bCs w:val="0"/>
                <w:color w:val="auto"/>
                <w:kern w:val="0"/>
                <w:sz w:val="15"/>
                <w:szCs w:val="15"/>
                <w:highlight w:val="none"/>
                <w:lang w:val="en-US" w:eastAsia="zh-CN"/>
              </w:rPr>
              <w:t>次</w:t>
            </w:r>
            <w:r>
              <w:rPr>
                <w:rFonts w:hint="eastAsia" w:ascii="宋体" w:hAnsi="宋体" w:eastAsia="宋体" w:cs="宋体"/>
                <w:b w:val="0"/>
                <w:bCs w:val="0"/>
                <w:color w:val="auto"/>
                <w:kern w:val="0"/>
                <w:sz w:val="15"/>
                <w:szCs w:val="15"/>
                <w:highlight w:val="none"/>
              </w:rPr>
              <w:t>罚款处罚后又发生同类违法行为的；</w:t>
            </w:r>
            <w:r>
              <w:rPr>
                <w:rFonts w:hint="eastAsia" w:ascii="宋体" w:hAnsi="宋体" w:eastAsia="宋体" w:cs="宋体"/>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0" w:hRule="atLeast"/>
        </w:trPr>
        <w:tc>
          <w:tcPr>
            <w:tcW w:w="610" w:type="dxa"/>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未按要求公开设施污染控制监测指标和处理设施运行数据</w:t>
            </w:r>
          </w:p>
        </w:tc>
        <w:tc>
          <w:tcPr>
            <w:tcW w:w="2789" w:type="dxa"/>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ascii="宋体" w:hAnsi="宋体" w:eastAsia="宋体" w:cs="宋体"/>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情节严重的，</w:t>
            </w:r>
            <w:r>
              <w:rPr>
                <w:rFonts w:hint="eastAsia" w:ascii="宋体" w:hAnsi="宋体" w:eastAsia="宋体" w:cs="宋体"/>
                <w:color w:val="auto"/>
                <w:kern w:val="0"/>
                <w:sz w:val="15"/>
                <w:szCs w:val="15"/>
                <w:highlight w:val="none"/>
              </w:rPr>
              <w:t>拟作出</w:t>
            </w:r>
            <w:r>
              <w:rPr>
                <w:rFonts w:hint="eastAsia" w:ascii="宋体" w:hAnsi="宋体" w:eastAsia="宋体"/>
                <w:color w:val="auto"/>
                <w:sz w:val="15"/>
                <w:szCs w:val="15"/>
                <w:highlight w:val="none"/>
              </w:rPr>
              <w:t>责令停业或者关闭</w:t>
            </w:r>
            <w:r>
              <w:rPr>
                <w:rFonts w:hint="eastAsia" w:ascii="宋体" w:hAnsi="宋体" w:eastAsia="宋体" w:cs="宋体"/>
                <w:color w:val="auto"/>
                <w:kern w:val="0"/>
                <w:sz w:val="15"/>
                <w:szCs w:val="15"/>
                <w:highlight w:val="none"/>
              </w:rPr>
              <w:t>的，要邀请职权划出部门共同会商；对于可能影响公共利益的，提请职权划出部门拟定接管方案后，</w:t>
            </w:r>
            <w:r>
              <w:rPr>
                <w:rFonts w:hint="eastAsia" w:ascii="宋体" w:hAnsi="宋体" w:eastAsia="宋体"/>
                <w:color w:val="auto"/>
                <w:sz w:val="15"/>
                <w:szCs w:val="15"/>
                <w:highlight w:val="none"/>
              </w:rPr>
              <w:t>报经有批准权的人民政府批准，可以责令停业或者关闭。</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7"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ascii="宋体" w:hAnsi="宋体" w:eastAsia="宋体" w:cs="宋体"/>
                <w:color w:val="auto"/>
                <w:kern w:val="0"/>
                <w:sz w:val="15"/>
                <w:szCs w:val="15"/>
                <w:highlight w:val="none"/>
              </w:rPr>
              <w:t>生活垃圾集中转运、处理设施的运行管理单位</w:t>
            </w:r>
            <w:r>
              <w:rPr>
                <w:rFonts w:hint="eastAsia" w:ascii="宋体" w:hAnsi="宋体" w:eastAsia="宋体"/>
                <w:color w:val="auto"/>
                <w:sz w:val="15"/>
                <w:szCs w:val="15"/>
                <w:highlight w:val="none"/>
              </w:rPr>
              <w:t>未按要求</w:t>
            </w:r>
            <w:r>
              <w:rPr>
                <w:rFonts w:ascii="宋体" w:hAnsi="宋体" w:eastAsia="宋体" w:cs="宋体"/>
                <w:color w:val="auto"/>
                <w:kern w:val="0"/>
                <w:sz w:val="15"/>
                <w:szCs w:val="15"/>
                <w:highlight w:val="none"/>
              </w:rPr>
              <w:t>配套建设相应的参观、宣传设施</w:t>
            </w:r>
            <w:r>
              <w:rPr>
                <w:rFonts w:hint="eastAsia" w:ascii="宋体" w:hAnsi="宋体" w:eastAsia="宋体" w:cs="宋体"/>
                <w:color w:val="auto"/>
                <w:kern w:val="0"/>
                <w:sz w:val="15"/>
                <w:szCs w:val="15"/>
                <w:highlight w:val="none"/>
              </w:rPr>
              <w:t>或者未</w:t>
            </w:r>
            <w:r>
              <w:rPr>
                <w:rFonts w:ascii="宋体" w:hAnsi="宋体" w:eastAsia="宋体" w:cs="宋体"/>
                <w:color w:val="auto"/>
                <w:kern w:val="0"/>
                <w:sz w:val="15"/>
                <w:szCs w:val="15"/>
                <w:highlight w:val="none"/>
              </w:rPr>
              <w:t>在规定的公众开放日接待社会公众</w:t>
            </w:r>
          </w:p>
        </w:tc>
        <w:tc>
          <w:tcPr>
            <w:tcW w:w="2789"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restart"/>
            <w:tcBorders>
              <w:top w:val="single" w:color="auto" w:sz="4" w:space="0"/>
              <w:left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vMerge w:val="continue"/>
            <w:tcBorders>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vMerge w:val="restart"/>
            <w:tcBorders>
              <w:top w:val="single" w:color="auto" w:sz="4" w:space="0"/>
              <w:left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再生资源回收经营者未分类贮存物品</w:t>
            </w:r>
          </w:p>
        </w:tc>
        <w:tc>
          <w:tcPr>
            <w:tcW w:w="2789" w:type="dxa"/>
            <w:vMerge w:val="restart"/>
            <w:tcBorders>
              <w:top w:val="single" w:color="auto" w:sz="4" w:space="0"/>
              <w:left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0"/>
              </w:numPr>
              <w:jc w:val="both"/>
              <w:rPr>
                <w:rFonts w:hint="default" w:ascii="宋体" w:hAnsi="宋体" w:eastAsia="宋体" w:cs="宋体"/>
                <w:color w:val="auto"/>
                <w:kern w:val="0"/>
                <w:sz w:val="15"/>
                <w:szCs w:val="15"/>
                <w:highlight w:val="none"/>
                <w:lang w:val="en-US"/>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占地面积10</w:t>
            </w:r>
            <w:r>
              <w:rPr>
                <w:rFonts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11－15</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16－20</w:t>
            </w:r>
            <w:r>
              <w:rPr>
                <w:rFonts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tcBorders>
              <w:left w:val="single" w:color="auto" w:sz="4" w:space="0"/>
              <w:bottom w:val="single" w:color="auto" w:sz="4" w:space="0"/>
              <w:right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2789" w:type="dxa"/>
            <w:vMerge w:val="continue"/>
            <w:tcBorders>
              <w:left w:val="single" w:color="auto" w:sz="4" w:space="0"/>
              <w:bottom w:val="single" w:color="auto" w:sz="4" w:space="0"/>
              <w:right w:val="single" w:color="auto" w:sz="4" w:space="0"/>
            </w:tcBorders>
            <w:noWrap w:val="0"/>
            <w:vAlign w:val="center"/>
          </w:tcPr>
          <w:p>
            <w:pPr>
              <w:spacing w:line="210" w:lineRule="exact"/>
              <w:rPr>
                <w:rFonts w:ascii="宋体" w:hAnsi="宋体" w:eastAsia="宋体"/>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曾因此违法行为受到过行政处罚，再次违反的适用此情形。</w:t>
            </w:r>
          </w:p>
        </w:tc>
        <w:tc>
          <w:tcPr>
            <w:tcW w:w="897" w:type="dxa"/>
            <w:gridSpan w:val="2"/>
            <w:tcBorders>
              <w:top w:val="single" w:color="auto" w:sz="4" w:space="0"/>
              <w:left w:val="single" w:color="auto" w:sz="4" w:space="0"/>
              <w:bottom w:val="single" w:color="auto" w:sz="4" w:space="0"/>
              <w:right w:val="single" w:color="auto" w:sz="4" w:space="0"/>
            </w:tcBorders>
            <w:noWrap w:val="0"/>
            <w:vAlign w:val="center"/>
          </w:tcPr>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1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3"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10" w:name="_Toc110851438"/>
            <w:bookmarkStart w:id="11" w:name="_Toc726075658"/>
            <w:bookmarkStart w:id="12" w:name="_Toc1765670272"/>
            <w:r>
              <w:rPr>
                <w:rFonts w:hint="eastAsia" w:ascii="宋体" w:hAnsi="宋体" w:eastAsia="宋体"/>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未按规定缴纳城市生活垃圾处理费</w:t>
            </w:r>
          </w:p>
        </w:tc>
        <w:tc>
          <w:tcPr>
            <w:tcW w:w="2789"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未按规定配套建设城市生活垃圾收集设施</w:t>
            </w:r>
          </w:p>
        </w:tc>
        <w:tc>
          <w:tcPr>
            <w:tcW w:w="2789"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违反条款：第十条；处罚条款：第三十九条，责令限期改正，并可处以1万元以下的罚款。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1.发生在</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造成较大社会影响或者严重后果的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情形，系数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olor w:val="auto"/>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擅自关闭、闲置或者拆除城市生活垃圾处置设施、场所</w:t>
            </w:r>
          </w:p>
        </w:tc>
        <w:tc>
          <w:tcPr>
            <w:tcW w:w="2789" w:type="dxa"/>
            <w:noWrap w:val="0"/>
            <w:vAlign w:val="center"/>
          </w:tcPr>
          <w:p>
            <w:pPr>
              <w:spacing w:line="20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违反条款：第十三条；处罚条款：第四十一条，责令停止违法行为，限期改正，处以1万元以上10万元以下的罚款。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0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3-5；2.涉及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eastAsia="宋体"/>
                <w:strike w:val="0"/>
                <w:dstrike w:val="0"/>
                <w:color w:val="auto"/>
                <w:sz w:val="15"/>
                <w:szCs w:val="15"/>
                <w:highlight w:val="none"/>
                <w:lang w:val="en-US" w:eastAsia="zh-CN"/>
              </w:rPr>
              <w:t>6</w:t>
            </w:r>
            <w:r>
              <w:rPr>
                <w:rFonts w:hint="eastAsia" w:ascii="宋体" w:hAnsi="宋体" w:eastAsia="宋体"/>
                <w:strike w:val="0"/>
                <w:dstrike w:val="0"/>
                <w:color w:val="auto"/>
                <w:sz w:val="15"/>
                <w:szCs w:val="15"/>
                <w:highlight w:val="none"/>
              </w:rPr>
              <w:t>-9</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00"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8" w:hRule="atLeast"/>
        </w:trPr>
        <w:tc>
          <w:tcPr>
            <w:tcW w:w="610" w:type="dxa"/>
            <w:vMerge w:val="restart"/>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4</w:t>
            </w:r>
          </w:p>
        </w:tc>
        <w:tc>
          <w:tcPr>
            <w:tcW w:w="1830" w:type="dxa"/>
            <w:gridSpan w:val="3"/>
            <w:vMerge w:val="restart"/>
            <w:noWrap w:val="0"/>
            <w:vAlign w:val="center"/>
          </w:tcPr>
          <w:p>
            <w:pPr>
              <w:spacing w:line="200"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随意倾倒、抛洒、堆放城市生活垃圾</w:t>
            </w:r>
          </w:p>
        </w:tc>
        <w:tc>
          <w:tcPr>
            <w:tcW w:w="2789" w:type="dxa"/>
            <w:vMerge w:val="restart"/>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s="宋体"/>
                <w:color w:val="auto"/>
                <w:kern w:val="0"/>
                <w:sz w:val="15"/>
                <w:szCs w:val="15"/>
                <w:highlight w:val="none"/>
                <w:lang w:eastAsia="zh-CN"/>
              </w:rPr>
            </w:pPr>
            <w:r>
              <w:rPr>
                <w:rFonts w:hint="eastAsia" w:ascii="宋体" w:hAnsi="宋体" w:eastAsia="宋体" w:cs="Batang"/>
                <w:color w:val="auto"/>
                <w:sz w:val="15"/>
                <w:szCs w:val="15"/>
                <w:highlight w:val="none"/>
                <w:lang w:val="en-US" w:eastAsia="zh-CN"/>
              </w:rPr>
              <w:t>1.污染道路</w:t>
            </w:r>
            <w:r>
              <w:rPr>
                <w:rFonts w:hint="eastAsia" w:ascii="宋体" w:hAnsi="宋体" w:eastAsia="宋体" w:cs="宋体"/>
                <w:color w:val="auto"/>
                <w:kern w:val="0"/>
                <w:sz w:val="15"/>
                <w:szCs w:val="15"/>
                <w:highlight w:val="none"/>
                <w:lang w:eastAsia="zh-CN"/>
              </w:rPr>
              <w:t>长度</w:t>
            </w:r>
            <w:r>
              <w:rPr>
                <w:rFonts w:hint="eastAsia" w:ascii="宋体" w:hAnsi="宋体" w:eastAsia="宋体" w:cs="宋体"/>
                <w:color w:val="auto"/>
                <w:kern w:val="0"/>
                <w:sz w:val="15"/>
                <w:szCs w:val="15"/>
                <w:highlight w:val="none"/>
              </w:rPr>
              <w:t>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s="宋体"/>
                <w:color w:val="auto"/>
                <w:kern w:val="0"/>
                <w:sz w:val="15"/>
                <w:szCs w:val="15"/>
                <w:highlight w:val="none"/>
              </w:rPr>
              <w:t>垃圾占地面积在5㎡</w:t>
            </w:r>
            <w:r>
              <w:rPr>
                <w:rFonts w:hint="eastAsia" w:ascii="宋体" w:hAnsi="宋体" w:eastAsia="宋体" w:cs="仿宋_GB2312"/>
                <w:color w:val="auto"/>
                <w:kern w:val="0"/>
                <w:sz w:val="15"/>
                <w:szCs w:val="15"/>
                <w:highlight w:val="none"/>
              </w:rPr>
              <w:t>下的，系数</w:t>
            </w:r>
            <w:r>
              <w:rPr>
                <w:rFonts w:hint="eastAsia" w:ascii="宋体" w:hAnsi="宋体" w:eastAsia="宋体" w:cs="宋体"/>
                <w:color w:val="auto"/>
                <w:kern w:val="0"/>
                <w:sz w:val="15"/>
                <w:szCs w:val="15"/>
                <w:highlight w:val="none"/>
              </w:rPr>
              <w:t>0；6－10㎡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随意倾倒、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倾倒、</w:t>
            </w:r>
            <w:r>
              <w:rPr>
                <w:rFonts w:hint="eastAsia" w:ascii="宋体" w:hAnsi="宋体" w:eastAsia="宋体"/>
                <w:b w:val="0"/>
                <w:bCs w:val="0"/>
                <w:color w:val="auto"/>
                <w:sz w:val="15"/>
                <w:szCs w:val="15"/>
                <w:highlight w:val="none"/>
              </w:rPr>
              <w:t>抛洒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根据实际情况处罚</w:t>
            </w:r>
            <w:r>
              <w:rPr>
                <w:rFonts w:hint="eastAsia" w:ascii="宋体" w:hAnsi="宋体" w:eastAsia="宋体"/>
                <w:color w:val="auto"/>
                <w:sz w:val="15"/>
                <w:szCs w:val="15"/>
                <w:highlight w:val="none"/>
                <w:lang w:eastAsia="zh-CN"/>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未经批准从事城市生活垃圾经营性清扫、收集、运输活动</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未经批准从事城市生活垃圾经营性处置活动</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违反条款：第二十五条；处罚条款：第四十三条，责令停止违法行为，并处以3万元的罚款。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按照规定执行。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从事城市生活垃圾经营性清扫、收集、运输的企业在运输过程中沿途丢弃、遗撒生活垃圾</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违反条款：第二十一条第（三）项；处罚条款：第四十四条，责令停止违法行为，限期改正，处以5000元以上5万元以下的罚款。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2.随意丢弃、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从事城市生活垃圾经营性清扫、收集、运输的企业未履行规定义务</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违反条款：第二十条；处罚条款：第四十五条，责令限期改正，并可处以5000元以上3万元以下的罚款。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2-3，存在3种及以上情形的，系数4-5；2.</w:t>
            </w:r>
            <w:r>
              <w:rPr>
                <w:rFonts w:hint="eastAsia" w:ascii="宋体" w:hAnsi="宋体" w:eastAsia="宋体"/>
                <w:color w:val="auto"/>
                <w:sz w:val="15"/>
                <w:szCs w:val="15"/>
                <w:highlight w:val="none"/>
              </w:rPr>
              <w:t>对环境造成较严重影响的，系数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从事城市生活垃圾经营性处置的企业未履行规定义务</w:t>
            </w:r>
          </w:p>
        </w:tc>
        <w:tc>
          <w:tcPr>
            <w:tcW w:w="2789"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违反条款：第二十八条；处罚条款：第四十五条，责令限期改正，并可处以3万元以上10万元以下的罚款。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同时存在本条规定的</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种违法情形的，系数</w:t>
            </w:r>
            <w:r>
              <w:rPr>
                <w:rFonts w:hint="eastAsia" w:ascii="宋体" w:hAnsi="宋体" w:eastAsia="宋体" w:cs="宋体"/>
                <w:color w:val="auto"/>
                <w:kern w:val="0"/>
                <w:sz w:val="15"/>
                <w:szCs w:val="15"/>
                <w:highlight w:val="none"/>
                <w:lang w:val="en-US" w:eastAsia="zh-CN"/>
              </w:rPr>
              <w:t>1，存在3种及以上情形的，系数2-3；</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造成较严重影响的，系数</w:t>
            </w:r>
            <w:r>
              <w:rPr>
                <w:rFonts w:hint="eastAsia" w:ascii="宋体" w:hAnsi="宋体" w:eastAsia="宋体"/>
                <w:color w:val="auto"/>
                <w:sz w:val="15"/>
                <w:szCs w:val="15"/>
                <w:highlight w:val="none"/>
                <w:lang w:val="en-US" w:eastAsia="zh-CN"/>
              </w:rPr>
              <w:t>2-3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从事城市生活垃圾经营性清扫、收集、运输的企业未经批准擅自停业、歇业的</w:t>
            </w:r>
          </w:p>
        </w:tc>
        <w:tc>
          <w:tcPr>
            <w:tcW w:w="2789"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违反条款：第二十一条第（二）项</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第三十五条第一款；处罚条款：第四十六条，责令限期改正，并可处以1万元以上3万元以下罚款。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造成较严重影响的，系数1-2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从事城市生活垃圾经营性处置的企业未经批准擅自停业、歇业的</w:t>
            </w:r>
          </w:p>
        </w:tc>
        <w:tc>
          <w:tcPr>
            <w:tcW w:w="2789" w:type="dxa"/>
            <w:noWrap w:val="0"/>
            <w:vAlign w:val="center"/>
          </w:tcPr>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违反条款：第三十五条第一款；处罚条款：第四十六条，责令限期改正，并可处以5万元以上10万元以下罚款。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违法行为持续</w:t>
            </w:r>
            <w:r>
              <w:rPr>
                <w:rFonts w:hint="eastAsia" w:ascii="宋体" w:hAnsi="宋体" w:eastAsia="宋体" w:cs="宋体"/>
                <w:color w:val="auto"/>
                <w:kern w:val="0"/>
                <w:sz w:val="15"/>
                <w:szCs w:val="15"/>
                <w:highlight w:val="none"/>
                <w:lang w:val="en-US" w:eastAsia="zh-CN"/>
              </w:rPr>
              <w:t>2天的，系数0</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；3天的，系数0</w:t>
            </w:r>
            <w:r>
              <w:rPr>
                <w:rFonts w:hint="default"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；4天的，系数0</w:t>
            </w:r>
            <w:r>
              <w:rPr>
                <w:rFonts w:hint="default"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val="en-US" w:eastAsia="zh-CN"/>
              </w:rPr>
              <w:t>；5天的，系数0.8；6天及以上的，系数1。</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 w:hRule="atLeast"/>
        </w:trPr>
        <w:tc>
          <w:tcPr>
            <w:tcW w:w="15100" w:type="dxa"/>
            <w:gridSpan w:val="14"/>
            <w:noWrap w:val="0"/>
            <w:vAlign w:val="center"/>
          </w:tcPr>
          <w:p>
            <w:pPr>
              <w:pStyle w:val="3"/>
              <w:widowControl w:val="0"/>
              <w:spacing w:line="220" w:lineRule="exact"/>
              <w:jc w:val="center"/>
              <w:rPr>
                <w:rFonts w:ascii="宋体" w:hAnsi="宋体" w:eastAsia="宋体"/>
                <w:color w:val="auto"/>
                <w:sz w:val="15"/>
                <w:szCs w:val="15"/>
                <w:highlight w:val="none"/>
              </w:rPr>
            </w:pPr>
            <w:bookmarkStart w:id="13" w:name="_Toc1544417110"/>
            <w:bookmarkStart w:id="14" w:name="_Toc110851439"/>
            <w:bookmarkStart w:id="15" w:name="_Toc206588106"/>
            <w:r>
              <w:rPr>
                <w:rFonts w:hint="eastAsia" w:ascii="宋体" w:hAnsi="宋体" w:eastAsia="宋体"/>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将建筑垃圾混入生活垃圾</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违反条款：第九条；处罚条款：第二十条第一款第（一）项及第二款，责令限期改正，予以警告；对单位处3000元以下罚款；对个人处200元以下罚款。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p>
        </w:tc>
        <w:tc>
          <w:tcPr>
            <w:tcW w:w="3426" w:type="dxa"/>
            <w:noWrap w:val="0"/>
            <w:vAlign w:val="center"/>
          </w:tcPr>
          <w:p>
            <w:pPr>
              <w:spacing w:line="22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将危险废物混入建筑垃圾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违反条款：第九条；处罚条款：第二十条第一款第（二）项及第二款，责令限期改正，予以警告；对单位处3000元以下罚款；对个人处200元以下罚款。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根据实际情况酌定处罚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擅自设立弃置场受纳建筑垃圾</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b/>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p>
        </w:tc>
        <w:tc>
          <w:tcPr>
            <w:tcW w:w="3426" w:type="dxa"/>
            <w:noWrap w:val="0"/>
            <w:vAlign w:val="center"/>
          </w:tcPr>
          <w:p>
            <w:pPr>
              <w:numPr>
                <w:ilvl w:val="0"/>
                <w:numId w:val="0"/>
              </w:numPr>
              <w:spacing w:line="232" w:lineRule="exact"/>
              <w:rPr>
                <w:rFonts w:hint="default" w:ascii="宋体" w:hAnsi="宋体" w:eastAsia="宋体" w:cs="宋体"/>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接收、消纳建筑垃圾，污染环境、破坏生态的</w:t>
            </w:r>
            <w:r>
              <w:rPr>
                <w:rFonts w:hint="eastAsia" w:ascii="宋体" w:hAnsi="宋体" w:eastAsia="宋体"/>
                <w:color w:val="auto"/>
                <w:sz w:val="15"/>
                <w:szCs w:val="15"/>
                <w:highlight w:val="none"/>
                <w:lang w:eastAsia="zh-CN"/>
              </w:rPr>
              <w:t>，适用</w:t>
            </w:r>
            <w:r>
              <w:rPr>
                <w:rFonts w:hint="eastAsia" w:ascii="宋体" w:hAnsi="宋体" w:eastAsia="宋体"/>
                <w:color w:val="auto"/>
                <w:sz w:val="15"/>
                <w:szCs w:val="15"/>
                <w:highlight w:val="none"/>
              </w:rPr>
              <w:t>《北京市建筑垃圾处置管理规定》</w:t>
            </w:r>
            <w:r>
              <w:rPr>
                <w:rFonts w:hint="eastAsia" w:ascii="宋体" w:hAnsi="宋体" w:eastAsia="宋体"/>
                <w:color w:val="auto"/>
                <w:sz w:val="15"/>
                <w:szCs w:val="15"/>
                <w:highlight w:val="none"/>
                <w:lang w:eastAsia="zh-CN"/>
              </w:rPr>
              <w:t>。</w:t>
            </w:r>
          </w:p>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建筑垃圾储运消纳场受纳工业垃圾、生活垃圾和有毒有害垃圾</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违反条款：第十条；处罚条款：第二十一条，责令限期改正，给予警告，处5000元以上1万元以下罚款。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未及时清运工程施工过程中产生的建筑垃圾造成环境污染</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违反条款：第十二条；处罚条款：第二十二条第一款，责令限期改正，给予警告，处5000元以上5万元以下罚款。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1.垃圾占地面积10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系</w:t>
            </w:r>
            <w:r>
              <w:rPr>
                <w:rFonts w:hint="eastAsia" w:ascii="宋体" w:hAnsi="宋体" w:eastAsia="宋体" w:cs="宋体"/>
                <w:color w:val="auto"/>
                <w:kern w:val="0"/>
                <w:sz w:val="15"/>
                <w:szCs w:val="15"/>
                <w:highlight w:val="none"/>
              </w:rPr>
              <w:t>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rPr>
              <w:t>3.造成尘土飞扬，严重污染环境的，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施工单位将建筑垃圾交给个人或者未经核准从事建筑垃圾运输的单位处置</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违反条款：第十三条；处罚条款：第二十二条第二款，责令限期改正，给予警告，处1万元以上10万元以下罚款。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default" w:ascii="宋体" w:hAnsi="宋体" w:eastAsia="宋体" w:cs="宋体"/>
                <w:strike/>
                <w:dstrike w:val="0"/>
                <w:color w:val="auto"/>
                <w:kern w:val="0"/>
                <w:sz w:val="15"/>
                <w:szCs w:val="15"/>
                <w:highlight w:val="none"/>
                <w:lang w:val="en-US" w:eastAsia="zh-CN" w:bidi="ar-SA"/>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处置建筑垃圾的单位在运输建筑垃圾过程中沿途丢弃、遗撒建筑垃圾</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违反条款：第十四条；处罚条款：第二十三条，责令限期改正，给予警告，处5000元以上5万元以下罚款。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建筑</w:t>
            </w:r>
            <w:r>
              <w:rPr>
                <w:rFonts w:ascii="宋体" w:hAnsi="宋体" w:eastAsia="宋体"/>
                <w:b w:val="0"/>
                <w:bCs w:val="0"/>
                <w:color w:val="auto"/>
                <w:sz w:val="15"/>
                <w:szCs w:val="15"/>
                <w:highlight w:val="none"/>
              </w:rPr>
              <w:t>垃圾占地面积</w:t>
            </w:r>
            <w:r>
              <w:rPr>
                <w:rFonts w:hint="eastAsia" w:ascii="宋体" w:hAnsi="宋体" w:eastAsia="宋体"/>
                <w:b w:val="0"/>
                <w:bCs w:val="0"/>
                <w:color w:val="auto"/>
                <w:sz w:val="15"/>
                <w:szCs w:val="15"/>
                <w:highlight w:val="none"/>
              </w:rPr>
              <w:t>10</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以下</w:t>
            </w:r>
            <w:r>
              <w:rPr>
                <w:rFonts w:ascii="宋体" w:hAnsi="宋体" w:eastAsia="宋体"/>
                <w:b w:val="0"/>
                <w:bCs w:val="0"/>
                <w:color w:val="auto"/>
                <w:sz w:val="15"/>
                <w:szCs w:val="15"/>
                <w:highlight w:val="none"/>
              </w:rPr>
              <w:t>的，系数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w:t>
            </w:r>
            <w:r>
              <w:rPr>
                <w:rFonts w:hint="eastAsia" w:ascii="宋体" w:hAnsi="宋体" w:eastAsia="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及以上的，系数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宋体" w:hAnsi="宋体" w:eastAsia="宋体"/>
                <w:b w:val="0"/>
                <w:bCs w:val="0"/>
                <w:color w:val="auto"/>
                <w:sz w:val="15"/>
                <w:szCs w:val="15"/>
                <w:highlight w:val="none"/>
              </w:rPr>
              <w:t>系数</w:t>
            </w:r>
            <w:r>
              <w:rPr>
                <w:rFonts w:hint="eastAsia" w:ascii="宋体" w:hAnsi="宋体" w:eastAsia="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val="en-US" w:eastAsia="zh-CN"/>
              </w:rPr>
              <w:t>以此类推，40.5吨及以上的，系数9；在面积和长度无法取证的情况下，可以适用此情形。4</w:t>
            </w:r>
            <w:r>
              <w:rPr>
                <w:rFonts w:hint="eastAsia" w:ascii="宋体" w:hAnsi="宋体" w:eastAsia="宋体" w:cs="宋体"/>
                <w:color w:val="auto"/>
                <w:kern w:val="0"/>
                <w:sz w:val="15"/>
                <w:szCs w:val="15"/>
                <w:highlight w:val="none"/>
              </w:rPr>
              <w:t>.随意丢弃、</w:t>
            </w:r>
            <w:r>
              <w:rPr>
                <w:rFonts w:hint="eastAsia" w:ascii="宋体" w:hAnsi="宋体" w:eastAsia="宋体" w:cs="宋体"/>
                <w:color w:val="auto"/>
                <w:kern w:val="0"/>
                <w:sz w:val="15"/>
                <w:szCs w:val="15"/>
                <w:highlight w:val="none"/>
                <w:lang w:eastAsia="zh-CN"/>
              </w:rPr>
              <w:t>遗撒</w:t>
            </w:r>
            <w:r>
              <w:rPr>
                <w:rFonts w:hint="eastAsia" w:ascii="宋体" w:hAnsi="宋体" w:eastAsia="宋体" w:cs="宋体"/>
                <w:color w:val="auto"/>
                <w:kern w:val="0"/>
                <w:sz w:val="15"/>
                <w:szCs w:val="15"/>
                <w:highlight w:val="none"/>
              </w:rPr>
              <w:t>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、公厕、河道、铁路、轨道交通、桥下空间等公共场所及周边，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.违法行为持续时间较长、对环境秩序造成较严重影响的，系数</w:t>
            </w:r>
            <w:r>
              <w:rPr>
                <w:rFonts w:hint="default" w:ascii="宋体" w:hAnsi="宋体" w:eastAsia="宋体" w:cs="宋体"/>
                <w:strike w:val="0"/>
                <w:dstrike w:val="0"/>
                <w:color w:val="auto"/>
                <w:kern w:val="0"/>
                <w:sz w:val="15"/>
                <w:szCs w:val="15"/>
                <w:highlight w:val="none"/>
                <w:lang w:val="en-US" w:eastAsia="zh-CN"/>
              </w:rPr>
              <w:t xml:space="preserve"> </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丢弃、</w:t>
            </w:r>
            <w:r>
              <w:rPr>
                <w:rFonts w:hint="eastAsia" w:ascii="宋体" w:hAnsi="宋体" w:eastAsia="宋体" w:cs="宋体"/>
                <w:color w:val="auto"/>
                <w:kern w:val="0"/>
                <w:sz w:val="15"/>
                <w:szCs w:val="15"/>
                <w:highlight w:val="none"/>
                <w:lang w:eastAsia="zh-CN"/>
              </w:rPr>
              <w:t>遗撒点位重叠时，不适用区域台账。</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涂改、倒卖、出租、出借或者以</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形式非法转让城市建筑垃圾处置核准文件</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违反条款：第八条；处罚条款：第二十四条，责令限期改正，给予警告，处5000元以上2万元以下罚款。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宋体" w:hAnsi="宋体" w:eastAsia="宋体"/>
                <w:color w:val="auto"/>
                <w:sz w:val="15"/>
                <w:szCs w:val="15"/>
                <w:highlight w:val="none"/>
              </w:rPr>
              <w:t>造成严重影响的，系数3</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9"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vMerge w:val="restart"/>
            <w:noWrap w:val="0"/>
            <w:vAlign w:val="center"/>
          </w:tcPr>
          <w:p>
            <w:pPr>
              <w:spacing w:line="232" w:lineRule="exact"/>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未经核准擅自处置建筑垃圾</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1.违法行为持续时间较长、处置建筑垃圾量较大，系数1-3；2.造成环境秩序较严重影响的，系数</w:t>
            </w:r>
            <w:r>
              <w:rPr>
                <w:rFonts w:ascii="宋体" w:hAnsi="宋体" w:eastAsia="宋体"/>
                <w:color w:val="auto"/>
                <w:sz w:val="15"/>
                <w:szCs w:val="15"/>
                <w:highlight w:val="none"/>
              </w:rPr>
              <w:t>4</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noWrap w:val="0"/>
            <w:vAlign w:val="center"/>
          </w:tcPr>
          <w:p>
            <w:pPr>
              <w:spacing w:line="232" w:lineRule="exact"/>
              <w:rPr>
                <w:rFonts w:ascii="宋体" w:hAnsi="宋体" w:eastAsia="宋体"/>
                <w:strike/>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0"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b w:val="0"/>
                <w:bCs w:val="0"/>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（建设、运输单位）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b w:val="0"/>
                <w:bCs w:val="0"/>
                <w:color w:val="auto"/>
                <w:sz w:val="15"/>
                <w:szCs w:val="15"/>
                <w:highlight w:val="none"/>
              </w:rPr>
            </w:pPr>
            <w:r>
              <w:rPr>
                <w:rFonts w:hint="eastAsia" w:ascii="宋体" w:hAnsi="宋体" w:eastAsia="宋体"/>
                <w:b w:val="0"/>
                <w:bCs w:val="0"/>
                <w:color w:val="auto"/>
                <w:sz w:val="15"/>
                <w:szCs w:val="15"/>
                <w:highlight w:val="none"/>
              </w:rPr>
              <w:t>处置超出核准范围的建筑垃圾</w:t>
            </w:r>
          </w:p>
        </w:tc>
        <w:tc>
          <w:tcPr>
            <w:tcW w:w="2789"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vMerge w:val="continue"/>
            <w:noWrap w:val="0"/>
            <w:vAlign w:val="center"/>
          </w:tcPr>
          <w:p>
            <w:pPr>
              <w:spacing w:line="180" w:lineRule="exact"/>
              <w:rPr>
                <w:rFonts w:ascii="宋体" w:hAnsi="宋体" w:eastAsia="宋体"/>
                <w:color w:val="auto"/>
                <w:sz w:val="15"/>
                <w:szCs w:val="15"/>
                <w:highlight w:val="none"/>
              </w:rPr>
            </w:pPr>
          </w:p>
        </w:tc>
        <w:tc>
          <w:tcPr>
            <w:tcW w:w="851"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（建设、运输单位）</w:t>
            </w:r>
          </w:p>
        </w:tc>
        <w:tc>
          <w:tcPr>
            <w:tcW w:w="840" w:type="dxa"/>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1.违法行为持续时间较长、处置建筑垃圾量较大，系数1-3；2.造成环境秩序较严重影响的，系数4-5</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随意倾倒、抛撒或者堆放建筑垃圾</w:t>
            </w:r>
          </w:p>
        </w:tc>
        <w:tc>
          <w:tcPr>
            <w:tcW w:w="2789" w:type="dxa"/>
            <w:vMerge w:val="restart"/>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违反条款：第十五条；处罚条款：第二十六条：责令限期改正，给予警告，并对单位处5000元以上5万元以下罚款，对个人处200元以下罚款。</w:t>
            </w: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ascii="宋体" w:hAnsi="宋体" w:eastAsia="宋体"/>
                <w:color w:val="auto"/>
                <w:sz w:val="15"/>
                <w:szCs w:val="15"/>
                <w:highlight w:val="none"/>
              </w:rPr>
              <w:t>的，系数</w:t>
            </w:r>
            <w:r>
              <w:rPr>
                <w:rFonts w:hint="eastAsia" w:ascii="宋体" w:hAnsi="宋体" w:eastAsia="宋体"/>
                <w:color w:val="auto"/>
                <w:sz w:val="15"/>
                <w:szCs w:val="15"/>
                <w:highlight w:val="none"/>
              </w:rPr>
              <w:t>0；11—15</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1；16</w:t>
            </w:r>
            <w:r>
              <w:rPr>
                <w:rFonts w:ascii="宋体" w:hAnsi="宋体" w:eastAsia="宋体"/>
                <w:color w:val="auto"/>
                <w:sz w:val="15"/>
                <w:szCs w:val="15"/>
                <w:highlight w:val="none"/>
              </w:rPr>
              <w:t>-20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w:t>
            </w:r>
            <w:r>
              <w:rPr>
                <w:rFonts w:ascii="宋体" w:hAnsi="宋体" w:eastAsia="宋体"/>
                <w:color w:val="auto"/>
                <w:sz w:val="15"/>
                <w:szCs w:val="15"/>
                <w:highlight w:val="none"/>
              </w:rPr>
              <w:t>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.将垃圾</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.对环境秩序造成较严重影响的，系数6-9</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6.</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80" w:lineRule="exact"/>
              <w:rPr>
                <w:rFonts w:ascii="宋体" w:hAnsi="宋体" w:eastAsia="宋体" w:cs="宋体"/>
                <w:color w:val="auto"/>
                <w:sz w:val="15"/>
                <w:szCs w:val="15"/>
                <w:highlight w:val="none"/>
              </w:rPr>
            </w:pPr>
          </w:p>
        </w:tc>
        <w:tc>
          <w:tcPr>
            <w:tcW w:w="2789" w:type="dxa"/>
            <w:vMerge w:val="continue"/>
            <w:noWrap w:val="0"/>
            <w:vAlign w:val="center"/>
          </w:tcPr>
          <w:p>
            <w:pPr>
              <w:spacing w:line="180" w:lineRule="exact"/>
              <w:rPr>
                <w:rFonts w:ascii="宋体" w:hAnsi="宋体" w:eastAsia="宋体" w:cs="宋体"/>
                <w:color w:val="auto"/>
                <w:sz w:val="15"/>
                <w:szCs w:val="15"/>
                <w:highlight w:val="none"/>
              </w:rPr>
            </w:pPr>
          </w:p>
        </w:tc>
        <w:tc>
          <w:tcPr>
            <w:tcW w:w="851"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80" w:lineRule="exact"/>
              <w:jc w:val="center"/>
              <w:rPr>
                <w:rFonts w:ascii="宋体" w:hAnsi="宋体" w:eastAsia="宋体" w:cs="宋体"/>
                <w:color w:val="auto"/>
                <w:kern w:val="0"/>
                <w:sz w:val="15"/>
                <w:szCs w:val="15"/>
                <w:highlight w:val="none"/>
              </w:rPr>
            </w:pPr>
          </w:p>
        </w:tc>
        <w:tc>
          <w:tcPr>
            <w:tcW w:w="3426" w:type="dxa"/>
            <w:noWrap w:val="0"/>
            <w:vAlign w:val="center"/>
          </w:tcPr>
          <w:p>
            <w:pPr>
              <w:spacing w:line="18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8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参照基准规定，并根据实际情况处罚。</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9"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16" w:name="_Toc2048113795"/>
            <w:bookmarkStart w:id="17" w:name="_Toc80602247"/>
            <w:bookmarkStart w:id="18" w:name="_Toc110851440"/>
            <w:r>
              <w:rPr>
                <w:rFonts w:hint="eastAsia" w:ascii="宋体" w:hAnsi="宋体" w:eastAsia="宋体"/>
                <w:color w:val="auto"/>
                <w:sz w:val="21"/>
                <w:szCs w:val="21"/>
                <w:highlight w:val="none"/>
              </w:rPr>
              <w:t>《中华人民共和国固体废物污染环境防治法》案由</w:t>
            </w:r>
            <w:r>
              <w:rPr>
                <w:rFonts w:ascii="宋体" w:hAnsi="宋体" w:eastAsia="宋体"/>
                <w:color w:val="auto"/>
                <w:sz w:val="21"/>
                <w:szCs w:val="21"/>
                <w:highlight w:val="none"/>
              </w:rPr>
              <w:t>10</w:t>
            </w:r>
            <w:r>
              <w:rPr>
                <w:rFonts w:hint="eastAsia" w:ascii="宋体" w:hAnsi="宋体" w:eastAsia="宋体"/>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4"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拒绝、阻扰固体废物污染环境防治监督检查或在接受监督检查时弄虚作假</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第一百零三条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196"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20000（</w:t>
            </w:r>
            <w:r>
              <w:rPr>
                <w:rFonts w:ascii="宋体" w:hAnsi="宋体" w:eastAsia="宋体"/>
                <w:color w:val="auto"/>
                <w:sz w:val="15"/>
                <w:szCs w:val="15"/>
                <w:highlight w:val="none"/>
              </w:rPr>
              <w:t>主管人员或负责人）</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w:t>
            </w:r>
            <w:r>
              <w:rPr>
                <w:rFonts w:hint="eastAsia" w:ascii="宋体" w:hAnsi="宋体" w:eastAsia="宋体" w:cs="宋体"/>
                <w:color w:val="auto"/>
                <w:kern w:val="0"/>
                <w:sz w:val="15"/>
                <w:szCs w:val="15"/>
                <w:highlight w:val="none"/>
                <w:lang w:eastAsia="zh-CN"/>
              </w:rPr>
              <w:t>影响</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6" w:lineRule="exact"/>
              <w:rPr>
                <w:rFonts w:ascii="宋体" w:hAnsi="宋体" w:eastAsia="宋体" w:cs="宋体"/>
                <w:color w:val="auto"/>
                <w:kern w:val="0"/>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工程施工单位未编制建筑垃圾处理方案报备案</w:t>
            </w:r>
          </w:p>
        </w:tc>
        <w:tc>
          <w:tcPr>
            <w:tcW w:w="2789" w:type="dxa"/>
            <w:noWrap w:val="0"/>
            <w:vAlign w:val="center"/>
          </w:tcPr>
          <w:p>
            <w:pPr>
              <w:spacing w:line="232" w:lineRule="exact"/>
              <w:rPr>
                <w:rFonts w:ascii="宋体" w:hAnsi="宋体" w:eastAsia="宋体"/>
                <w:color w:val="auto"/>
                <w:sz w:val="15"/>
                <w:szCs w:val="15"/>
                <w:highlight w:val="none"/>
                <w:lang w:val="en"/>
              </w:rPr>
            </w:pPr>
            <w:r>
              <w:rPr>
                <w:rFonts w:hint="eastAsia" w:ascii="宋体" w:hAnsi="宋体" w:eastAsia="宋体"/>
                <w:color w:val="auto"/>
                <w:sz w:val="15"/>
                <w:szCs w:val="15"/>
                <w:highlight w:val="none"/>
              </w:rPr>
              <w:t>违反条款：第六十三条第一款；处罚条款：第一百一十一条第一款第（三）项、第二款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196"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宋体" w:hAnsi="宋体" w:eastAsia="宋体" w:cs="宋体"/>
                <w:b w:val="0"/>
                <w:bCs w:val="0"/>
                <w:strike w:val="0"/>
                <w:dstrike w:val="0"/>
                <w:color w:val="auto"/>
                <w:sz w:val="15"/>
                <w:szCs w:val="15"/>
                <w:highlight w:val="none"/>
                <w:lang w:val="en-US" w:eastAsia="zh-CN"/>
              </w:rPr>
              <w:t>-4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。2.未备案时间持续10天及以内的，系数0；11-20天的，系数1；以此类推，</w:t>
            </w:r>
            <w:r>
              <w:rPr>
                <w:rFonts w:hint="eastAsia" w:ascii="宋体" w:hAnsi="宋体" w:cs="宋体"/>
                <w:b w:val="0"/>
                <w:bCs w:val="0"/>
                <w:strike w:val="0"/>
                <w:dstrike w:val="0"/>
                <w:color w:val="auto"/>
                <w:sz w:val="15"/>
                <w:szCs w:val="15"/>
                <w:highlight w:val="none"/>
                <w:lang w:val="en-US" w:eastAsia="zh-CN"/>
              </w:rPr>
              <w:t>9</w:t>
            </w:r>
            <w:r>
              <w:rPr>
                <w:rFonts w:hint="eastAsia" w:ascii="宋体" w:hAnsi="宋体" w:eastAsia="宋体" w:cs="宋体"/>
                <w:b w:val="0"/>
                <w:bCs w:val="0"/>
                <w:strike w:val="0"/>
                <w:dstrike w:val="0"/>
                <w:color w:val="auto"/>
                <w:sz w:val="15"/>
                <w:szCs w:val="15"/>
                <w:highlight w:val="none"/>
                <w:lang w:val="en-US" w:eastAsia="zh-CN"/>
              </w:rPr>
              <w:t>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成环境较严重影响的，系数</w:t>
            </w:r>
            <w:r>
              <w:rPr>
                <w:rFonts w:hint="eastAsia" w:ascii="宋体" w:hAnsi="宋体" w:eastAsia="宋体" w:cs="宋体"/>
                <w:color w:val="auto"/>
                <w:sz w:val="15"/>
                <w:szCs w:val="15"/>
                <w:highlight w:val="none"/>
                <w:lang w:val="en-US" w:eastAsia="zh-CN"/>
              </w:rPr>
              <w:t>5-6</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6" w:lineRule="exact"/>
              <w:rPr>
                <w:rFonts w:ascii="宋体" w:hAnsi="宋体" w:eastAsia="宋体"/>
                <w:color w:val="auto"/>
                <w:sz w:val="15"/>
                <w:szCs w:val="15"/>
                <w:highlight w:val="none"/>
              </w:rPr>
            </w:pP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1"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3</w:t>
            </w:r>
          </w:p>
        </w:tc>
        <w:tc>
          <w:tcPr>
            <w:tcW w:w="1830" w:type="dxa"/>
            <w:gridSpan w:val="3"/>
            <w:noWrap w:val="0"/>
            <w:vAlign w:val="center"/>
          </w:tcPr>
          <w:p>
            <w:pPr>
              <w:spacing w:line="196"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单位未在指定的地点分类投放生活垃圾情节</w:t>
            </w:r>
            <w:r>
              <w:rPr>
                <w:rFonts w:ascii="宋体" w:hAnsi="宋体" w:eastAsia="宋体" w:cs="宋体"/>
                <w:color w:val="auto"/>
                <w:sz w:val="15"/>
                <w:szCs w:val="15"/>
                <w:highlight w:val="none"/>
              </w:rPr>
              <w:t>严重</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违反条款：第四十九条第二款；</w:t>
            </w:r>
            <w:r>
              <w:rPr>
                <w:rFonts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rPr>
              <w:t>第一百一十一条第三款 责令</w:t>
            </w:r>
            <w:r>
              <w:rPr>
                <w:rFonts w:ascii="宋体" w:hAnsi="宋体" w:eastAsia="宋体" w:cs="宋体"/>
                <w:color w:val="auto"/>
                <w:sz w:val="15"/>
                <w:szCs w:val="15"/>
                <w:highlight w:val="none"/>
              </w:rPr>
              <w:t>改正；情节严重的</w:t>
            </w:r>
            <w:r>
              <w:rPr>
                <w:rFonts w:hint="eastAsia" w:ascii="宋体" w:hAnsi="宋体" w:eastAsia="宋体" w:cs="宋体"/>
                <w:color w:val="auto"/>
                <w:sz w:val="15"/>
                <w:szCs w:val="15"/>
                <w:highlight w:val="none"/>
              </w:rPr>
              <w:t>，对单位处五万元以上五十万元以下的罚款。</w:t>
            </w:r>
          </w:p>
        </w:tc>
        <w:tc>
          <w:tcPr>
            <w:tcW w:w="851" w:type="dxa"/>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垃圾占地面积6－10㎡，系数1；</w:t>
            </w:r>
            <w:r>
              <w:rPr>
                <w:rFonts w:hint="eastAsia" w:ascii="宋体" w:hAnsi="宋体" w:eastAsia="宋体"/>
                <w:color w:val="auto"/>
                <w:sz w:val="15"/>
                <w:szCs w:val="15"/>
                <w:highlight w:val="none"/>
                <w:lang w:val="en-US" w:eastAsia="zh-CN"/>
              </w:rPr>
              <w:t>11-15</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rPr>
              <w:t>随意倾倒、丢弃、堆放至城市道路、绿地、林地、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6"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构成情节系数相关情形的，视为“情节严重”。</w:t>
            </w:r>
          </w:p>
          <w:p>
            <w:pPr>
              <w:pStyle w:val="8"/>
              <w:rPr>
                <w:rFonts w:hint="eastAsia" w:ascii="宋体" w:hAnsi="宋体" w:eastAsia="宋体"/>
                <w:color w:val="auto"/>
                <w:sz w:val="15"/>
                <w:szCs w:val="15"/>
                <w:highlight w:val="none"/>
                <w:lang w:eastAsia="zh-CN"/>
              </w:rPr>
            </w:pPr>
          </w:p>
          <w:p>
            <w:pPr>
              <w:pStyle w:val="9"/>
              <w:rPr>
                <w:rFonts w:hint="eastAsia"/>
                <w:color w:val="auto"/>
                <w:highlight w:val="none"/>
                <w:lang w:eastAsia="zh-CN"/>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倾倒、丢弃、堆放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3" w:hRule="atLeast"/>
        </w:trPr>
        <w:tc>
          <w:tcPr>
            <w:tcW w:w="610" w:type="dxa"/>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随意倾倒、抛撒或者堆放生活垃圾</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违反条款：第四十九条第二款；处罚条款：第一百一十一条第一款第（一）项、第二款，责令改正，没收违法所得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val="en-US" w:eastAsia="zh-CN"/>
              </w:rPr>
              <w:t>.</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或者垃圾占地面积</w:t>
            </w:r>
            <w:r>
              <w:rPr>
                <w:rFonts w:hint="eastAsia" w:ascii="宋体" w:hAnsi="宋体" w:eastAsia="宋体"/>
                <w:color w:val="auto"/>
                <w:sz w:val="15"/>
                <w:szCs w:val="15"/>
                <w:highlight w:val="none"/>
              </w:rPr>
              <w:t>6－10</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，系数1；31－40米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Microsoft JhengHei"/>
                <w:color w:val="auto"/>
                <w:sz w:val="15"/>
                <w:szCs w:val="15"/>
                <w:highlight w:val="none"/>
              </w:rPr>
              <w:t>㎡</w:t>
            </w:r>
            <w:r>
              <w:rPr>
                <w:rFonts w:hint="eastAsia" w:ascii="宋体" w:hAnsi="宋体" w:eastAsia="宋体" w:cs="Microsoft JhengHei"/>
                <w:color w:val="auto"/>
                <w:sz w:val="15"/>
                <w:szCs w:val="15"/>
                <w:highlight w:val="none"/>
                <w:lang w:eastAsia="zh-CN"/>
              </w:rPr>
              <w:t>的</w:t>
            </w:r>
            <w:r>
              <w:rPr>
                <w:rFonts w:hint="eastAsia" w:ascii="宋体" w:hAnsi="宋体" w:eastAsia="宋体" w:cs="宋体"/>
                <w:color w:val="auto"/>
                <w:kern w:val="0"/>
                <w:sz w:val="15"/>
                <w:szCs w:val="15"/>
                <w:highlight w:val="none"/>
              </w:rPr>
              <w:t>，系数2；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w:t>
            </w:r>
            <w:r>
              <w:rPr>
                <w:rFonts w:hint="eastAsia" w:ascii="宋体" w:hAnsi="宋体" w:eastAsia="宋体" w:cs="Batang"/>
                <w:color w:val="auto"/>
                <w:sz w:val="15"/>
                <w:szCs w:val="15"/>
                <w:highlight w:val="none"/>
                <w:lang w:eastAsia="zh-CN"/>
              </w:rPr>
              <w:t>米及以上或者占地面积</w:t>
            </w:r>
            <w:r>
              <w:rPr>
                <w:rFonts w:hint="eastAsia" w:ascii="宋体" w:hAnsi="宋体" w:eastAsia="宋体"/>
                <w:color w:val="auto"/>
                <w:sz w:val="15"/>
                <w:szCs w:val="15"/>
                <w:highlight w:val="none"/>
                <w:lang w:val="en-US" w:eastAsia="zh-CN"/>
              </w:rPr>
              <w:t>4</w:t>
            </w:r>
            <w:r>
              <w:rPr>
                <w:rFonts w:hint="eastAsia" w:ascii="宋体" w:hAnsi="宋体"/>
                <w:color w:val="auto"/>
                <w:sz w:val="15"/>
                <w:szCs w:val="15"/>
                <w:highlight w:val="none"/>
                <w:lang w:val="en-US" w:eastAsia="zh-CN"/>
              </w:rPr>
              <w:t>6</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9。2</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restart"/>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8" w:hRule="atLeast"/>
        </w:trPr>
        <w:tc>
          <w:tcPr>
            <w:tcW w:w="610" w:type="dxa"/>
            <w:vMerge w:val="continue"/>
            <w:noWrap w:val="0"/>
            <w:vAlign w:val="center"/>
          </w:tcPr>
          <w:p>
            <w:pPr>
              <w:spacing w:line="190"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190" w:lineRule="exact"/>
              <w:rPr>
                <w:rFonts w:ascii="宋体" w:hAnsi="宋体" w:eastAsia="宋体" w:cs="宋体"/>
                <w:color w:val="auto"/>
                <w:sz w:val="15"/>
                <w:szCs w:val="15"/>
                <w:highlight w:val="none"/>
              </w:rPr>
            </w:pPr>
          </w:p>
        </w:tc>
        <w:tc>
          <w:tcPr>
            <w:tcW w:w="2789"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top"/>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vMerge w:val="continue"/>
            <w:noWrap w:val="0"/>
            <w:vAlign w:val="center"/>
          </w:tcPr>
          <w:p>
            <w:pPr>
              <w:spacing w:line="19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19" w:hRule="atLeast"/>
        </w:trPr>
        <w:tc>
          <w:tcPr>
            <w:tcW w:w="610" w:type="dxa"/>
            <w:noWrap w:val="0"/>
            <w:vAlign w:val="center"/>
          </w:tcPr>
          <w:p>
            <w:pPr>
              <w:spacing w:line="19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擅自关闭、闲置或者拆除生活垃圾处理设施、场所</w:t>
            </w: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违反条款：第五十五条第三款；处罚条款：第一百一十一条第一款第（二）项、第二款，责令</w:t>
            </w:r>
            <w:r>
              <w:rPr>
                <w:rFonts w:ascii="宋体" w:hAnsi="宋体" w:eastAsia="宋体"/>
                <w:color w:val="auto"/>
                <w:sz w:val="15"/>
                <w:szCs w:val="15"/>
                <w:highlight w:val="none"/>
              </w:rPr>
              <w:t>改正，没收违法所得，</w:t>
            </w:r>
            <w:r>
              <w:rPr>
                <w:rFonts w:hint="eastAsia" w:ascii="宋体" w:hAnsi="宋体" w:eastAsia="宋体"/>
                <w:color w:val="auto"/>
                <w:sz w:val="15"/>
                <w:szCs w:val="15"/>
                <w:highlight w:val="none"/>
              </w:rPr>
              <w:t>对单位处十万元以上一百万元以下的罚款。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val="en-US" w:eastAsia="zh-CN"/>
              </w:rPr>
              <w:t>1.位于</w:t>
            </w:r>
            <w:r>
              <w:rPr>
                <w:rFonts w:hint="eastAsia" w:ascii="宋体" w:hAnsi="宋体" w:eastAsia="宋体" w:cs="宋体"/>
                <w:color w:val="auto"/>
                <w:kern w:val="0"/>
                <w:sz w:val="15"/>
                <w:szCs w:val="15"/>
                <w:highlight w:val="none"/>
              </w:rPr>
              <w:t>车站、机场、居民小区、医院、学校、体育场馆、影剧院、繁华商业街区、旅游景区等人口集中地区的，系数</w:t>
            </w:r>
            <w:r>
              <w:rPr>
                <w:rFonts w:hint="eastAsia" w:ascii="宋体" w:hAnsi="宋体" w:eastAsia="宋体" w:cs="宋体"/>
                <w:color w:val="auto"/>
                <w:kern w:val="0"/>
                <w:sz w:val="15"/>
                <w:szCs w:val="15"/>
                <w:highlight w:val="none"/>
                <w:lang w:val="en-US" w:eastAsia="zh-CN"/>
              </w:rPr>
              <w:t>3-4。2.涉及</w:t>
            </w:r>
            <w:r>
              <w:rPr>
                <w:rFonts w:hint="eastAsia" w:ascii="宋体" w:hAnsi="宋体" w:eastAsia="宋体"/>
                <w:color w:val="auto"/>
                <w:sz w:val="15"/>
                <w:szCs w:val="15"/>
                <w:highlight w:val="none"/>
              </w:rPr>
              <w:t>集中处理设施和场所</w:t>
            </w:r>
            <w:r>
              <w:rPr>
                <w:rFonts w:hint="eastAsia" w:ascii="宋体" w:hAnsi="宋体" w:eastAsia="宋体"/>
                <w:color w:val="auto"/>
                <w:sz w:val="15"/>
                <w:szCs w:val="15"/>
                <w:highlight w:val="none"/>
                <w:lang w:eastAsia="zh-CN"/>
              </w:rPr>
              <w:t>，或者</w:t>
            </w:r>
            <w:r>
              <w:rPr>
                <w:rFonts w:hint="eastAsia" w:ascii="宋体" w:hAnsi="宋体" w:eastAsia="宋体"/>
                <w:color w:val="auto"/>
                <w:sz w:val="15"/>
                <w:szCs w:val="15"/>
                <w:highlight w:val="none"/>
              </w:rPr>
              <w:t>较大餐饮服务单位</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大型蔬菜果品批发市场、物流配送中心</w:t>
            </w:r>
            <w:r>
              <w:rPr>
                <w:rFonts w:hint="eastAsia" w:ascii="宋体" w:hAnsi="宋体" w:eastAsia="宋体"/>
                <w:color w:val="auto"/>
                <w:sz w:val="15"/>
                <w:szCs w:val="15"/>
                <w:highlight w:val="none"/>
                <w:lang w:eastAsia="zh-CN"/>
              </w:rPr>
              <w:t>等</w:t>
            </w:r>
            <w:r>
              <w:rPr>
                <w:rFonts w:hint="eastAsia" w:ascii="宋体" w:hAnsi="宋体" w:eastAsia="宋体"/>
                <w:color w:val="auto"/>
                <w:sz w:val="15"/>
                <w:szCs w:val="15"/>
                <w:highlight w:val="none"/>
              </w:rPr>
              <w:t>违法</w:t>
            </w:r>
            <w:r>
              <w:rPr>
                <w:rFonts w:hint="eastAsia" w:ascii="宋体" w:hAnsi="宋体" w:eastAsia="宋体"/>
                <w:color w:val="auto"/>
                <w:sz w:val="15"/>
                <w:szCs w:val="15"/>
                <w:highlight w:val="none"/>
                <w:lang w:eastAsia="zh-CN"/>
              </w:rPr>
              <w:t>的，</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7</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.造成较大社会影响或者严重后果的</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宋体" w:hAnsi="宋体" w:eastAsia="宋体"/>
                <w:strike w:val="0"/>
                <w:d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190"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190"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5" w:hRule="atLeast"/>
        </w:trPr>
        <w:tc>
          <w:tcPr>
            <w:tcW w:w="610" w:type="dxa"/>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工程施工单位未及时清运施工过程中产生的固体废物</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违反条款：第六十三条第二款；处罚条款：第一百一十一条第一款第（三）项、第二款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不适用基准</w:t>
            </w:r>
            <w:r>
              <w:rPr>
                <w:rFonts w:hint="eastAsia" w:ascii="宋体" w:hAnsi="宋体" w:eastAsia="宋体" w:cs="宋体"/>
                <w:color w:val="auto"/>
                <w:kern w:val="0"/>
                <w:sz w:val="15"/>
                <w:szCs w:val="15"/>
                <w:highlight w:val="none"/>
                <w:lang w:val="en-US" w:eastAsia="zh-CN"/>
              </w:rPr>
              <w:t>2.1.3.1规定的“拒不改正”的情形</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9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工程施工单位擅自倾倒、抛撒或者堆放工程施工过程中产生的建筑垃圾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违反条款：第六十三条第三款；处罚条款：第一百一十一条第一款第（四）项、第二款责令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或者建筑垃圾占地面积</w:t>
            </w:r>
            <w:r>
              <w:rPr>
                <w:rFonts w:hint="eastAsia" w:ascii="宋体" w:hAnsi="宋体" w:cs="宋体"/>
                <w:color w:val="auto"/>
                <w:kern w:val="0"/>
                <w:sz w:val="15"/>
                <w:szCs w:val="15"/>
                <w:highlight w:val="none"/>
                <w:lang w:val="en-US" w:eastAsia="zh-CN"/>
              </w:rPr>
              <w:t>1</w:t>
            </w:r>
            <w:r>
              <w:rPr>
                <w:rFonts w:hint="eastAsia" w:ascii="宋体" w:hAnsi="宋体" w:eastAsia="宋体"/>
                <w:b w:val="0"/>
                <w:bCs w:val="0"/>
                <w:color w:val="auto"/>
                <w:sz w:val="15"/>
                <w:szCs w:val="15"/>
                <w:highlight w:val="none"/>
              </w:rPr>
              <w:t>1—15</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的，系数1；31－40米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1</w:t>
            </w:r>
            <w:r>
              <w:rPr>
                <w:rFonts w:hint="eastAsia" w:ascii="宋体" w:hAnsi="宋体" w:eastAsia="宋体"/>
                <w:b w:val="0"/>
                <w:bCs w:val="0"/>
                <w:color w:val="auto"/>
                <w:sz w:val="15"/>
                <w:szCs w:val="15"/>
                <w:highlight w:val="none"/>
              </w:rPr>
              <w:t>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宋体"/>
                <w:color w:val="auto"/>
                <w:kern w:val="0"/>
                <w:sz w:val="15"/>
                <w:szCs w:val="15"/>
                <w:highlight w:val="none"/>
              </w:rPr>
              <w:t>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及以上或者</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Batang"/>
                <w:color w:val="auto"/>
                <w:sz w:val="15"/>
                <w:szCs w:val="15"/>
                <w:highlight w:val="none"/>
                <w:lang w:eastAsia="zh-CN"/>
              </w:rPr>
              <w:t>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Batang"/>
                <w:b w:val="0"/>
                <w:bCs w:val="0"/>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w:t>
            </w:r>
            <w:r>
              <w:rPr>
                <w:rFonts w:hint="eastAsia" w:ascii="宋体" w:hAnsi="宋体" w:eastAsia="宋体" w:cs="宋体"/>
                <w:color w:val="auto"/>
                <w:kern w:val="0"/>
                <w:sz w:val="15"/>
                <w:szCs w:val="15"/>
                <w:highlight w:val="none"/>
              </w:rPr>
              <w:t>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w:t>
            </w:r>
            <w:r>
              <w:rPr>
                <w:rFonts w:hint="eastAsia" w:ascii="宋体" w:hAnsi="宋体" w:eastAsia="宋体" w:cs="宋体"/>
                <w:color w:val="auto"/>
                <w:kern w:val="0"/>
                <w:sz w:val="15"/>
                <w:szCs w:val="15"/>
                <w:highlight w:val="none"/>
                <w:lang w:eastAsia="zh-CN"/>
              </w:rPr>
              <w:t>点位重叠时，不适用区域台账。</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工程施工单位未按照规定对施工过程中产生的固体废物进行利用或者处置</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违反条款：第六十三条第二款；处罚条款：第一百一十一条第一款第（四）项、第二款 责令</w:t>
            </w:r>
            <w:r>
              <w:rPr>
                <w:rFonts w:ascii="宋体" w:hAnsi="宋体" w:eastAsia="宋体"/>
                <w:color w:val="auto"/>
                <w:sz w:val="15"/>
                <w:szCs w:val="15"/>
                <w:highlight w:val="none"/>
              </w:rPr>
              <w:t>改正，没收违法所得，对</w:t>
            </w:r>
            <w:r>
              <w:rPr>
                <w:rFonts w:hint="eastAsia" w:ascii="宋体" w:hAnsi="宋体" w:eastAsia="宋体"/>
                <w:color w:val="auto"/>
                <w:sz w:val="15"/>
                <w:szCs w:val="15"/>
                <w:highlight w:val="none"/>
              </w:rPr>
              <w:t>单位处十万元以上一百万元以下的罚款。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ascii="宋体" w:hAnsi="宋体" w:eastAsia="宋体" w:cs="宋体"/>
                <w:color w:val="auto"/>
                <w:kern w:val="0"/>
                <w:sz w:val="15"/>
                <w:szCs w:val="15"/>
                <w:highlight w:val="none"/>
              </w:rPr>
              <w:t>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未按规定</w:t>
            </w:r>
            <w:r>
              <w:rPr>
                <w:rFonts w:ascii="宋体" w:hAnsi="宋体" w:eastAsia="宋体" w:cs="宋体"/>
                <w:color w:val="auto"/>
                <w:kern w:val="0"/>
                <w:sz w:val="15"/>
                <w:szCs w:val="15"/>
                <w:highlight w:val="none"/>
              </w:rPr>
              <w:t>利用或处置的固体废物</w:t>
            </w:r>
            <w:r>
              <w:rPr>
                <w:rFonts w:hint="eastAsia" w:ascii="宋体" w:hAnsi="宋体" w:eastAsia="宋体" w:cs="宋体"/>
                <w:color w:val="auto"/>
                <w:kern w:val="0"/>
                <w:sz w:val="15"/>
                <w:szCs w:val="15"/>
                <w:highlight w:val="none"/>
              </w:rPr>
              <w:t>占地面积10</w:t>
            </w:r>
            <w:r>
              <w:rPr>
                <w:rFonts w:hint="eastAsia" w:ascii="宋体" w:hAnsi="宋体" w:eastAsia="宋体" w:cs="Microsoft JhengHei"/>
                <w:color w:val="auto"/>
                <w:kern w:val="0"/>
                <w:sz w:val="15"/>
                <w:szCs w:val="15"/>
                <w:highlight w:val="none"/>
              </w:rPr>
              <w:t>㎡</w:t>
            </w:r>
            <w:r>
              <w:rPr>
                <w:rFonts w:hint="eastAsia" w:ascii="宋体" w:hAnsi="宋体" w:eastAsia="宋体" w:cs="仿宋_GB2312"/>
                <w:b w:val="0"/>
                <w:bCs w:val="0"/>
                <w:color w:val="auto"/>
                <w:kern w:val="0"/>
                <w:sz w:val="15"/>
                <w:szCs w:val="15"/>
                <w:highlight w:val="none"/>
              </w:rPr>
              <w:t>以下</w:t>
            </w:r>
            <w:r>
              <w:rPr>
                <w:rFonts w:hint="eastAsia" w:ascii="宋体" w:hAnsi="宋体" w:eastAsia="宋体" w:cs="仿宋_GB2312"/>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0；11－15</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rPr>
              <w:t>的</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ascii="宋体" w:hAnsi="宋体" w:eastAsia="宋体" w:cs="仿宋_GB2312"/>
                <w:b w:val="0"/>
                <w:bCs w:val="0"/>
                <w:color w:val="auto"/>
                <w:kern w:val="0"/>
                <w:sz w:val="15"/>
                <w:szCs w:val="15"/>
                <w:highlight w:val="none"/>
                <w:lang w:val="en-US" w:eastAsia="zh-CN"/>
              </w:rPr>
              <w:t>的</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1；16－20</w:t>
            </w:r>
            <w:r>
              <w:rPr>
                <w:rFonts w:hint="eastAsia" w:ascii="宋体" w:hAnsi="宋体" w:eastAsia="宋体" w:cs="Microsoft JhengHei"/>
                <w:b w:val="0"/>
                <w:bCs w:val="0"/>
                <w:color w:val="auto"/>
                <w:kern w:val="0"/>
                <w:sz w:val="15"/>
                <w:szCs w:val="15"/>
                <w:highlight w:val="none"/>
              </w:rPr>
              <w:t>㎡</w:t>
            </w:r>
            <w:r>
              <w:rPr>
                <w:rFonts w:hint="eastAsia" w:ascii="宋体" w:hAnsi="宋体" w:eastAsia="宋体" w:cs="Microsoft JhengHei"/>
                <w:b w:val="0"/>
                <w:bCs w:val="0"/>
                <w:color w:val="auto"/>
                <w:kern w:val="0"/>
                <w:sz w:val="15"/>
                <w:szCs w:val="15"/>
                <w:highlight w:val="none"/>
                <w:lang w:eastAsia="zh-CN"/>
              </w:rPr>
              <w:t>或者</w:t>
            </w:r>
            <w:r>
              <w:rPr>
                <w:rFonts w:hint="eastAsia" w:ascii="宋体" w:hAnsi="宋体" w:eastAsia="宋体" w:cs="Microsoft JhengHei"/>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cs="Microsoft JhengHei"/>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rPr>
              <w:t>以此类推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b w:val="0"/>
                <w:bCs w:val="0"/>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2.未按规定进行利用或者处置固体废物数量较大的、</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b/>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b/>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7" w:hRule="atLeast"/>
        </w:trPr>
        <w:tc>
          <w:tcPr>
            <w:tcW w:w="610" w:type="dxa"/>
            <w:vMerge w:val="restart"/>
            <w:noWrap w:val="0"/>
            <w:vAlign w:val="center"/>
          </w:tcPr>
          <w:p>
            <w:pPr>
              <w:spacing w:line="232" w:lineRule="exact"/>
              <w:jc w:val="center"/>
              <w:rPr>
                <w:rFonts w:ascii="宋体" w:hAnsi="宋体" w:eastAsia="宋体"/>
                <w:color w:val="auto"/>
                <w:kern w:val="0"/>
                <w:sz w:val="15"/>
                <w:szCs w:val="15"/>
                <w:highlight w:val="none"/>
              </w:rPr>
            </w:pPr>
            <w:r>
              <w:rPr>
                <w:rFonts w:hint="eastAsia" w:ascii="宋体" w:hAnsi="宋体" w:eastAsia="宋体"/>
                <w:color w:val="auto"/>
                <w:kern w:val="0"/>
                <w:sz w:val="15"/>
                <w:szCs w:val="15"/>
                <w:highlight w:val="none"/>
              </w:rPr>
              <w:t>9</w:t>
            </w:r>
          </w:p>
        </w:tc>
        <w:tc>
          <w:tcPr>
            <w:tcW w:w="1830" w:type="dxa"/>
            <w:gridSpan w:val="3"/>
            <w:vMerge w:val="restart"/>
            <w:noWrap w:val="0"/>
            <w:vAlign w:val="center"/>
          </w:tcPr>
          <w:p>
            <w:pPr>
              <w:spacing w:line="232" w:lineRule="exact"/>
              <w:jc w:val="left"/>
              <w:rPr>
                <w:rFonts w:ascii="宋体" w:hAnsi="宋体" w:eastAsia="宋体"/>
                <w:color w:val="auto"/>
                <w:kern w:val="0"/>
                <w:sz w:val="15"/>
                <w:szCs w:val="15"/>
                <w:highlight w:val="none"/>
              </w:rPr>
            </w:pPr>
            <w:r>
              <w:rPr>
                <w:rFonts w:hint="eastAsia" w:ascii="宋体" w:hAnsi="宋体" w:eastAsia="宋体"/>
                <w:color w:val="auto"/>
                <w:sz w:val="15"/>
                <w:szCs w:val="15"/>
                <w:highlight w:val="none"/>
              </w:rPr>
              <w:t>未将厨余垃圾交由具备相应资质条件的单位进行无害化处理</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违反条款：第五十七条第二款；处罚条款：第一百一十一条第一款第（五）项、第二款 责令改正，没收违法所得</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 xml:space="preserve"> 1-2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jc w:val="lef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.将厨余垃圾随意倾倒、丢弃、堆放</w:t>
            </w:r>
            <w:r>
              <w:rPr>
                <w:rFonts w:hint="eastAsia" w:ascii="宋体" w:hAnsi="宋体" w:eastAsia="宋体" w:cs="宋体"/>
                <w:strike w:val="0"/>
                <w:dstrike w:val="0"/>
                <w:color w:val="auto"/>
                <w:kern w:val="0"/>
                <w:sz w:val="15"/>
                <w:szCs w:val="15"/>
                <w:highlight w:val="none"/>
              </w:rPr>
              <w:t>至</w:t>
            </w:r>
            <w:r>
              <w:rPr>
                <w:rFonts w:hint="eastAsia" w:ascii="宋体" w:hAnsi="宋体" w:eastAsia="宋体" w:cs="宋体"/>
                <w:color w:val="auto"/>
                <w:kern w:val="0"/>
                <w:sz w:val="15"/>
                <w:szCs w:val="15"/>
                <w:highlight w:val="none"/>
              </w:rPr>
              <w:t>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spacing w:val="-4"/>
                <w:kern w:val="0"/>
                <w:sz w:val="15"/>
                <w:szCs w:val="15"/>
                <w:highlight w:val="none"/>
              </w:rPr>
              <w:t>厨余垃圾总量较大、持续时间较长、对环境秩序造成较严重影响的，系数</w:t>
            </w:r>
            <w:r>
              <w:rPr>
                <w:rFonts w:hint="eastAsia" w:ascii="宋体" w:hAnsi="宋体" w:eastAsia="宋体" w:cs="宋体"/>
                <w:color w:val="auto"/>
                <w:spacing w:val="-4"/>
                <w:kern w:val="0"/>
                <w:sz w:val="15"/>
                <w:szCs w:val="15"/>
                <w:highlight w:val="none"/>
                <w:lang w:val="en-US" w:eastAsia="zh-CN"/>
              </w:rPr>
              <w:t>2-4</w:t>
            </w:r>
            <w:r>
              <w:rPr>
                <w:rFonts w:hint="eastAsia" w:ascii="宋体" w:hAnsi="宋体" w:eastAsia="宋体" w:cs="宋体"/>
                <w:color w:val="auto"/>
                <w:spacing w:val="-4"/>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.知道或者应当知道无资质收运单位和个人收集厨余垃圾用于生产“地沟油”而继续交运的，系数</w:t>
            </w:r>
            <w:r>
              <w:rPr>
                <w:rFonts w:hint="eastAsia" w:ascii="宋体" w:hAnsi="宋体" w:eastAsia="宋体" w:cs="宋体"/>
                <w:color w:val="auto"/>
                <w:kern w:val="0"/>
                <w:sz w:val="15"/>
                <w:szCs w:val="15"/>
                <w:highlight w:val="none"/>
                <w:lang w:val="en-US" w:eastAsia="zh-CN"/>
              </w:rPr>
              <w:t>4。4</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r>
              <w:rPr>
                <w:rFonts w:hint="eastAsia" w:ascii="宋体" w:hAnsi="宋体" w:eastAsia="宋体" w:cs="宋体"/>
                <w:color w:val="auto"/>
                <w:kern w:val="0"/>
                <w:sz w:val="15"/>
                <w:szCs w:val="15"/>
                <w:highlight w:val="none"/>
                <w:lang w:val="en-US"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运输过程中沿途丢弃、遗撒生活垃圾</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违反条款：第二十条第一款；处罚条款：第一百一十一条第一款第（七）项、第二款，责令改正</w:t>
            </w:r>
            <w:r>
              <w:rPr>
                <w:rFonts w:ascii="宋体" w:hAnsi="宋体" w:eastAsia="宋体"/>
                <w:color w:val="auto"/>
                <w:sz w:val="15"/>
                <w:szCs w:val="15"/>
                <w:highlight w:val="none"/>
              </w:rPr>
              <w:t>，没收违法所得</w:t>
            </w:r>
            <w:r>
              <w:rPr>
                <w:rFonts w:hint="eastAsia" w:ascii="宋体" w:hAnsi="宋体" w:eastAsia="宋体"/>
                <w:color w:val="auto"/>
                <w:sz w:val="15"/>
                <w:szCs w:val="15"/>
                <w:highlight w:val="none"/>
              </w:rPr>
              <w:t>，对单位五万元以上五十万元以下的罚款；对个人处一百元以上五百元以下的罚款。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r>
              <w:rPr>
                <w:rFonts w:ascii="宋体" w:hAnsi="宋体" w:eastAsia="宋体"/>
                <w:color w:val="auto"/>
                <w:sz w:val="15"/>
                <w:szCs w:val="15"/>
                <w:highlight w:val="none"/>
              </w:rPr>
              <w:t>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污染道路长21－30米的，系数1；31－40米的，系数2；41-50米的，系数3；51-60米的，系数4；61-70米的，系数5；以此类推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default"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9" w:hRule="atLeast"/>
        </w:trPr>
        <w:tc>
          <w:tcPr>
            <w:tcW w:w="610"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vMerge w:val="continue"/>
            <w:noWrap w:val="0"/>
            <w:vAlign w:val="center"/>
          </w:tcPr>
          <w:p>
            <w:pPr>
              <w:spacing w:line="232" w:lineRule="exact"/>
              <w:jc w:val="center"/>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污染道路长21－30米的，系数1；31－40米的，系数2；41-50米的，系数3；51</w:t>
            </w:r>
            <w:r>
              <w:rPr>
                <w:rFonts w:hint="eastAsia" w:ascii="宋体" w:hAnsi="宋体" w:eastAsia="宋体"/>
                <w:color w:val="auto"/>
                <w:sz w:val="15"/>
                <w:szCs w:val="15"/>
                <w:highlight w:val="none"/>
                <w:lang w:eastAsia="zh-CN"/>
              </w:rPr>
              <w:t>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随意</w:t>
            </w:r>
            <w:r>
              <w:rPr>
                <w:rFonts w:hint="eastAsia" w:ascii="宋体" w:hAnsi="宋体" w:eastAsia="宋体"/>
                <w:color w:val="auto"/>
                <w:sz w:val="15"/>
                <w:szCs w:val="15"/>
                <w:highlight w:val="none"/>
              </w:rPr>
              <w:t>丢弃、遗撒</w:t>
            </w:r>
            <w:r>
              <w:rPr>
                <w:rFonts w:hint="eastAsia" w:ascii="宋体" w:hAnsi="宋体" w:eastAsia="宋体" w:cs="宋体"/>
                <w:color w:val="auto"/>
                <w:kern w:val="0"/>
                <w:sz w:val="15"/>
                <w:szCs w:val="15"/>
                <w:highlight w:val="none"/>
              </w:rPr>
              <w:t>至城市道路、绿地、林地、</w:t>
            </w:r>
            <w:r>
              <w:rPr>
                <w:rFonts w:hint="eastAsia" w:ascii="宋体" w:hAnsi="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4.对环境造成较严重影响的，系数</w:t>
            </w:r>
            <w:r>
              <w:rPr>
                <w:rFonts w:hint="eastAsia" w:ascii="宋体" w:hAnsi="宋体" w:eastAsia="宋体"/>
                <w:color w:val="auto"/>
                <w:sz w:val="15"/>
                <w:szCs w:val="15"/>
                <w:highlight w:val="none"/>
                <w:lang w:val="en-US" w:eastAsia="zh-CN"/>
              </w:rPr>
              <w:t>2-4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区域台账与《基准表》情节系数中丢弃、遗撒点位重叠时，不适用区域台账。</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19" w:name="_Toc110851442"/>
            <w:bookmarkStart w:id="20" w:name="_Toc758126680"/>
            <w:bookmarkStart w:id="21" w:name="_Toc1567388814"/>
            <w:r>
              <w:rPr>
                <w:rFonts w:hint="eastAsia" w:ascii="宋体" w:hAnsi="宋体" w:eastAsia="宋体"/>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未按规定扫雪铲冰</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违反条款：第三条第一款、第二款；处罚条款：第六条，责令改正，并处200元以上1000元以下罚款。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9"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22" w:name="_Toc764526123"/>
            <w:bookmarkStart w:id="23" w:name="_Toc110851443"/>
            <w:bookmarkStart w:id="24" w:name="_Toc577705582"/>
            <w:r>
              <w:rPr>
                <w:rFonts w:hint="eastAsia" w:ascii="宋体" w:hAnsi="宋体" w:eastAsia="宋体"/>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3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napToGrid w:val="0"/>
                <w:color w:val="auto"/>
                <w:kern w:val="32"/>
                <w:sz w:val="15"/>
                <w:szCs w:val="15"/>
                <w:highlight w:val="none"/>
              </w:rPr>
              <w:t>违法设置户外广告设施</w:t>
            </w:r>
          </w:p>
        </w:tc>
        <w:tc>
          <w:tcPr>
            <w:tcW w:w="2789"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违反条款：第十五条；第十六条第一款；第十七条；第十八条第三款；第二十四条；第二十五条；</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olor w:val="auto"/>
                <w:sz w:val="15"/>
                <w:szCs w:val="15"/>
                <w:highlight w:val="none"/>
              </w:rPr>
              <w:t>.违法设置大型户外广告设施的，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2；2.违法设置距地十米以上户外广告设施的，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3.违法设置2处</w:t>
            </w:r>
            <w:r>
              <w:rPr>
                <w:rFonts w:hint="eastAsia" w:ascii="宋体" w:hAnsi="宋体" w:eastAsia="宋体"/>
                <w:color w:val="auto"/>
                <w:sz w:val="15"/>
                <w:szCs w:val="15"/>
                <w:highlight w:val="none"/>
                <w:lang w:eastAsia="zh-CN"/>
              </w:rPr>
              <w:t>户外广告设施</w:t>
            </w:r>
            <w:r>
              <w:rPr>
                <w:rFonts w:hint="eastAsia" w:ascii="宋体" w:hAnsi="宋体" w:eastAsia="宋体"/>
                <w:color w:val="auto"/>
                <w:sz w:val="15"/>
                <w:szCs w:val="15"/>
                <w:highlight w:val="none"/>
              </w:rPr>
              <w:t>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　</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宋体" w:hAnsi="宋体" w:eastAsia="宋体"/>
                <w:strike/>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为违法设置的户外广告设施提供载体</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w:t>
            </w:r>
            <w:r>
              <w:rPr>
                <w:rFonts w:ascii="宋体" w:hAnsi="宋体" w:eastAsia="宋体"/>
                <w:color w:val="auto"/>
                <w:sz w:val="15"/>
                <w:szCs w:val="15"/>
                <w:highlight w:val="none"/>
              </w:rPr>
              <w:t>十八条第二款</w:t>
            </w:r>
            <w:r>
              <w:rPr>
                <w:rFonts w:hint="eastAsia"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第四十九条第二款，</w:t>
            </w:r>
            <w:r>
              <w:rPr>
                <w:rFonts w:hint="eastAsia" w:ascii="宋体" w:hAnsi="宋体" w:eastAsia="宋体"/>
                <w:color w:val="auto"/>
                <w:sz w:val="15"/>
                <w:szCs w:val="15"/>
                <w:highlight w:val="none"/>
              </w:rPr>
              <w:t>责令限期改正；逾期不改正的，处一万元以上十万元以下罚款。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1.违法设置大型户外广告设施的，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2；2.违法设置距地十米以上的户外广告设施的，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3.为2处违法设置户外广告设施提供载体的，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违法设置固定式牌匾标识</w:t>
            </w:r>
          </w:p>
          <w:p>
            <w:pPr>
              <w:spacing w:line="232" w:lineRule="exact"/>
              <w:rPr>
                <w:rFonts w:ascii="宋体" w:hAnsi="宋体" w:eastAsia="宋体" w:cs="宋体"/>
                <w:color w:val="auto"/>
                <w:kern w:val="0"/>
                <w:sz w:val="15"/>
                <w:szCs w:val="15"/>
                <w:highlight w:val="none"/>
              </w:rPr>
            </w:pPr>
          </w:p>
        </w:tc>
        <w:tc>
          <w:tcPr>
            <w:tcW w:w="2789" w:type="dxa"/>
            <w:noWrap w:val="0"/>
            <w:vAlign w:val="center"/>
          </w:tcPr>
          <w:p>
            <w:pPr>
              <w:spacing w:line="232" w:lineRule="exact"/>
              <w:rPr>
                <w:rFonts w:ascii="宋体" w:hAnsi="宋体" w:eastAsia="宋体"/>
                <w:snapToGrid w:val="0"/>
                <w:color w:val="auto"/>
                <w:kern w:val="32"/>
                <w:sz w:val="15"/>
                <w:szCs w:val="15"/>
                <w:highlight w:val="none"/>
              </w:rPr>
            </w:pPr>
            <w:r>
              <w:rPr>
                <w:rFonts w:hint="eastAsia" w:ascii="宋体" w:hAnsi="宋体" w:eastAsia="宋体"/>
                <w:color w:val="auto"/>
                <w:sz w:val="15"/>
                <w:szCs w:val="15"/>
                <w:highlight w:val="none"/>
              </w:rPr>
              <w:t>违反条款：第三十条；第三十一条；第三十五条第二款；</w:t>
            </w:r>
            <w:r>
              <w:rPr>
                <w:rFonts w:hint="eastAsia" w:ascii="宋体" w:hAnsi="宋体" w:eastAsia="宋体"/>
                <w:snapToGrid w:val="0"/>
                <w:color w:val="auto"/>
                <w:kern w:val="32"/>
                <w:sz w:val="15"/>
                <w:szCs w:val="15"/>
                <w:highlight w:val="none"/>
              </w:rPr>
              <w:t>（根据发生违法行为选择适用）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1.违法设置大型固定式牌匾标识的，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2；2.违法设置距地十米以上的固定式牌匾标识的，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2；3.违法设置2处牌匾标识的，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3处的，系数6，4处及以上的，系数9；4.</w:t>
            </w:r>
            <w:r>
              <w:rPr>
                <w:rFonts w:hint="eastAsia" w:ascii="宋体" w:hAnsi="宋体" w:eastAsia="宋体" w:cs="宋体"/>
                <w:color w:val="auto"/>
                <w:kern w:val="0"/>
                <w:sz w:val="15"/>
                <w:szCs w:val="15"/>
                <w:highlight w:val="none"/>
                <w:lang w:val="en-US" w:eastAsia="zh-CN"/>
              </w:rPr>
              <w:t>存在重大隐患或者造成人员伤亡的，系数9；5.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ascii="宋体" w:hAnsi="宋体" w:eastAsia="宋体" w:cs="Times New Roman"/>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电子显示装置不符合设置规范（或者运行时间要求）</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处罚条款：第五十条，责令限期改正；逾期不改正的，处一千元以上一万元以下罚款。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2.距地十米以上的电子显示装置，</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未按照公共汽电车车身户外广告设置方案设置户外广告</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8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在非公共汽电车车身上设置广告</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违反条款：第二十六条第二款。</w:t>
            </w:r>
          </w:p>
          <w:p>
            <w:pPr>
              <w:spacing w:line="232" w:lineRule="exact"/>
              <w:rPr>
                <w:rFonts w:ascii="宋体" w:hAnsi="宋体" w:eastAsia="宋体"/>
                <w:color w:val="auto"/>
                <w:spacing w:val="-6"/>
                <w:sz w:val="15"/>
                <w:szCs w:val="15"/>
                <w:highlight w:val="none"/>
              </w:rPr>
            </w:pPr>
            <w:r>
              <w:rPr>
                <w:rFonts w:hint="eastAsia" w:ascii="宋体" w:hAnsi="宋体" w:eastAsia="宋体"/>
                <w:color w:val="auto"/>
                <w:spacing w:val="-6"/>
                <w:sz w:val="15"/>
                <w:szCs w:val="15"/>
                <w:highlight w:val="none"/>
              </w:rPr>
              <w:t>处罚条款：第五十一条，责令限期改正；逾期不改正的，按照每辆车五千元处以罚款。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公交候车亭户外广告设施不符合设置方案</w:t>
            </w:r>
          </w:p>
          <w:p>
            <w:pPr>
              <w:spacing w:line="232" w:lineRule="exact"/>
              <w:rPr>
                <w:rFonts w:ascii="宋体" w:hAnsi="宋体" w:eastAsia="宋体" w:cs="宋体"/>
                <w:color w:val="auto"/>
                <w:kern w:val="0"/>
                <w:sz w:val="15"/>
                <w:szCs w:val="15"/>
                <w:highlight w:val="none"/>
              </w:rPr>
            </w:pP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违反条款：第二十七条第二款。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处罚条款：第五十二条，责令限期改正；逾期不改正的，按照每个公交候车亭五千元处以罚款。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罚款数额＝5000×N（N为公交候车亭数）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设置的车身标识不符合要求</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处罚条款：第五十三条，责令限期改正；逾期不改正的，按照每辆车二千元处以罚款。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罚款数额＝2000×N（N为车辆数）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未经许可设置标语宣传品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设置标语宣传品不符合相关要求</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违反条款：第三十七条、第三十八条、第三十九条；（根据不同情形选择适用）</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处罚条款：第五十四条第一款，责令立即改正；造成恶劣影响或者拒不改正的，处五百元以上五千元以下罚款。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1.设置2个不符合要求标语宣传品的，</w:t>
            </w:r>
            <w:r>
              <w:rPr>
                <w:rFonts w:hint="eastAsia" w:ascii="宋体" w:hAnsi="宋体" w:eastAsia="宋体"/>
                <w:strike w:val="0"/>
                <w:dstrike w:val="0"/>
                <w:color w:val="auto"/>
                <w:sz w:val="15"/>
                <w:szCs w:val="15"/>
                <w:highlight w:val="none"/>
                <w:lang w:eastAsia="zh-CN"/>
              </w:rPr>
              <w:t>系数</w:t>
            </w:r>
            <w:r>
              <w:rPr>
                <w:rFonts w:hint="eastAsia" w:ascii="宋体" w:hAnsi="宋体" w:eastAsia="宋体"/>
                <w:strike w:val="0"/>
                <w:dstrike w:val="0"/>
                <w:color w:val="auto"/>
                <w:sz w:val="15"/>
                <w:szCs w:val="15"/>
                <w:highlight w:val="none"/>
              </w:rPr>
              <w:t>2，以此类推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strike w:val="0"/>
                <w:dstrike w:val="0"/>
                <w:color w:val="auto"/>
                <w:sz w:val="15"/>
                <w:szCs w:val="15"/>
                <w:highlight w:val="none"/>
              </w:rPr>
              <w:t>；</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所有人未履行安全管理责任</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eastAsia="宋体"/>
                <w:color w:val="auto"/>
                <w:highlight w:val="none"/>
                <w:lang w:val="en-US"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4.其他存在严重安全隐患或者造成安全事故的，系数9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lang w:eastAsia="zh-CN"/>
              </w:rPr>
              <w:t>区域台账与人口集中地区点位重叠时，不适用区域台账。</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未定期对大型（或者距地十米以上的）户外广告设施进行安全鉴定</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处罚条款：第五十五条第二款，责令限期改正；逾期不改正的，按照违法设置户外广告设施的行为处理，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《北京市市容环境卫生条例》第三十八条第二款，责令限期拆除，逾期未拆除的，强制拆除，并可处1万元以上10万元以下罚款。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2；2.因未安全鉴定引发户外广告设施掉落等行为影响公共安全的，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实施处罚援引法律依据时，应当同时援引《条例》第五十五条第二款，以及《北京市市容环境卫生条例》第三十八条第二款规定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未定期对大型（或者距地十米以上的）固定式牌匾标识进行安全鉴定</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处罚条款：第五十五条第二款，责令限期改正；逾期不改正的，按照违法设置固定式牌匾标识的行为处理，</w:t>
            </w:r>
            <w:r>
              <w:rPr>
                <w:rFonts w:ascii="宋体" w:hAnsi="宋体" w:eastAsia="宋体"/>
                <w:color w:val="auto"/>
                <w:sz w:val="15"/>
                <w:szCs w:val="15"/>
                <w:highlight w:val="none"/>
              </w:rPr>
              <w:t>以及</w:t>
            </w:r>
            <w:r>
              <w:rPr>
                <w:rFonts w:hint="eastAsia" w:ascii="宋体" w:hAnsi="宋体" w:eastAsia="宋体"/>
                <w:color w:val="auto"/>
                <w:sz w:val="15"/>
                <w:szCs w:val="15"/>
                <w:highlight w:val="none"/>
              </w:rPr>
              <w:t>《北京市市容环境卫生条例》第三十九条第一款，责令限期改正，逾期不改正的，予以强制拆除，并可处500元以上5000元以下罚款。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1.设置在车站、机场、居民小区、医院、学校、体育场馆、影剧院、繁华商业街区、旅游景区等人口集中地区的，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2；2.因未安全鉴定引发牌匾标识掉落等行为影响公共安全的，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实施处罚援引法律依据时，应当同时援引《条例》第五十五条第二款，以及《北京市市容环境卫生条例》第三十九条第一款规定</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所有人未履行日常维护责任</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处罚条款：第五十五条第一款，责令其履行相关责任，恢复相关设施正常功能，处一千元以上一万元以下罚款。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2；3.距地十米以上的户外广告设施、牌匾标识，</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25" w:name="_Toc295250662"/>
            <w:bookmarkStart w:id="26" w:name="_Toc1488943236"/>
            <w:bookmarkStart w:id="27" w:name="_Toc110851445"/>
            <w:r>
              <w:rPr>
                <w:rFonts w:hint="eastAsia" w:ascii="宋体" w:hAnsi="宋体" w:eastAsia="宋体"/>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标语宣传品含有商业广告内容</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改变固定宣传设施的使用性质用于商业广告</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 责令改正，处1000元以上1万元以下罚款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未经批准设置标语宣传品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1.利用交通、照明、电力、通信、邮政、环境卫生等公共设施设置的，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2；3.未经许可设置标语宣传品引发有关事故的，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未按批准要求设置标语宣传品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处罚条款：第十九条，责令限期改正，并可处500元以上5000以下罚款。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1.设置2个不符合要求标语宣传品的，系数2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3个的，系数3；4个的，系数4；5个的，系数5；</w:t>
            </w:r>
            <w:r>
              <w:rPr>
                <w:rFonts w:hint="eastAsia" w:ascii="宋体" w:hAnsi="宋体" w:eastAsia="宋体"/>
                <w:color w:val="auto"/>
                <w:sz w:val="15"/>
                <w:szCs w:val="15"/>
                <w:highlight w:val="none"/>
              </w:rPr>
              <w:t>以此类推</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9个及以上的，系数9</w:t>
            </w:r>
            <w:r>
              <w:rPr>
                <w:rFonts w:hint="eastAsia" w:ascii="宋体" w:hAnsi="宋体" w:eastAsia="宋体"/>
                <w:color w:val="auto"/>
                <w:sz w:val="15"/>
                <w:szCs w:val="15"/>
                <w:highlight w:val="none"/>
              </w:rPr>
              <w:t>；2.影响设施载体正常使用的，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2；3.设置标语宣传品不符合要求引发有关事故的，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未按规定管护宣传设施或者标语宣传品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车站、机场、居民小区、医院、学校、体育场馆、影剧院、繁华商业街区、旅游景区等人口集中地区的固定宣传设施不安全不牢固的，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5；上述区域污损、残缺的，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未及时撤除标语宣传品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处罚条款：第二十条第一款 责令限期改正，可处100元以上1000元以下罚款。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处罚额度决定的，说明理由</w:t>
            </w:r>
            <w:r>
              <w:rPr>
                <w:rFonts w:hint="eastAsia" w:ascii="宋体" w:hAnsi="宋体" w:eastAsia="宋体" w:cs="宋体"/>
                <w:color w:val="auto"/>
                <w:kern w:val="0"/>
                <w:sz w:val="15"/>
                <w:szCs w:val="15"/>
                <w:highlight w:val="none"/>
                <w:lang w:eastAsia="zh-CN"/>
              </w:rPr>
              <w:t>并</w:t>
            </w:r>
            <w:r>
              <w:rPr>
                <w:rFonts w:hint="eastAsia" w:ascii="宋体" w:hAnsi="宋体" w:eastAsia="宋体" w:cs="宋体"/>
                <w:color w:val="auto"/>
                <w:kern w:val="0"/>
                <w:sz w:val="15"/>
                <w:szCs w:val="15"/>
                <w:highlight w:val="none"/>
              </w:rPr>
              <w:t>报案审会决定</w:t>
            </w:r>
            <w:r>
              <w:rPr>
                <w:rFonts w:ascii="宋体" w:hAnsi="宋体" w:eastAsia="宋体" w:cs="宋体"/>
                <w:color w:val="auto"/>
                <w:kern w:val="0"/>
                <w:sz w:val="15"/>
                <w:szCs w:val="15"/>
                <w:highlight w:val="none"/>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7"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28" w:name="_Toc110851446"/>
            <w:bookmarkStart w:id="29" w:name="_Toc666726954"/>
            <w:bookmarkStart w:id="30" w:name="_Toc2072230684"/>
            <w:r>
              <w:rPr>
                <w:rFonts w:hint="eastAsia" w:ascii="宋体" w:hAnsi="宋体" w:eastAsia="宋体"/>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未按规定清扫保洁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1.存在较大隐患或者造成较大社会影响的，系数5-9；2.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根据实际情况，选择对应款项。</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不及时清理果皮箱、垃圾箱</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未保持果皮箱、垃圾箱箱体整洁</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果皮箱、垃圾箱周围严重脏乱</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违反条款：第六条第（六）项；处罚条款：第十条第（二）项：责令改正，并可处500元以上5000元以下罚款。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公共设施管护作业（绿化作业）未按规定清除废弃物</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违反条款：第七条第二款；处罚条款：第十条第（三）项，责令限期清理，并可处500元以上5000元以下罚款。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1.严重影响市容环境卫生或者造成较大社会影响的，系数5-9；2.</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未做好施工期间压尘和清扫保洁</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；41-55㎡的，系数3；56-70㎡的，系数4；71-85㎡的，系数5；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s="宋体"/>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60" w:hRule="atLeast"/>
        </w:trPr>
        <w:tc>
          <w:tcPr>
            <w:tcW w:w="610" w:type="dxa"/>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建设工程竣工后未及时清除弃物弃料、围挡</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违反条款：第八条；处罚条款：第十条第（四）项，责令限期改正，并处2000元以上2万元以下罚款。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1.占地面积10㎡</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0；11－15㎡</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1；16－20㎡</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 xml:space="preserve"> 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经责令改正</w:t>
            </w:r>
            <w:r>
              <w:rPr>
                <w:rFonts w:hint="eastAsia" w:ascii="宋体" w:hAnsi="宋体" w:eastAsia="宋体" w:cs="宋体"/>
                <w:color w:val="auto"/>
                <w:kern w:val="0"/>
                <w:sz w:val="15"/>
                <w:szCs w:val="15"/>
                <w:highlight w:val="none"/>
              </w:rPr>
              <w:t>逾期不清除</w:t>
            </w:r>
            <w:r>
              <w:rPr>
                <w:rFonts w:hint="eastAsia" w:ascii="宋体" w:hAnsi="宋体" w:eastAsia="宋体" w:cs="宋体"/>
                <w:color w:val="auto"/>
                <w:kern w:val="0"/>
                <w:sz w:val="15"/>
                <w:szCs w:val="15"/>
                <w:highlight w:val="none"/>
                <w:lang w:eastAsia="zh-CN"/>
              </w:rPr>
              <w:t>围挡</w:t>
            </w:r>
            <w:r>
              <w:rPr>
                <w:rFonts w:hint="eastAsia" w:ascii="宋体" w:hAnsi="宋体" w:eastAsia="宋体" w:cs="宋体"/>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.严重污染环境的，</w:t>
            </w:r>
            <w:r>
              <w:rPr>
                <w:rFonts w:hint="eastAsia" w:ascii="宋体" w:hAnsi="宋体" w:eastAsia="宋体"/>
                <w:color w:val="auto"/>
                <w:sz w:val="15"/>
                <w:szCs w:val="15"/>
                <w:highlight w:val="none"/>
                <w:lang w:eastAsia="zh-CN"/>
              </w:rPr>
              <w:t>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180" w:lineRule="exact"/>
              <w:rPr>
                <w:rFonts w:ascii="宋体" w:hAnsi="宋体" w:eastAsia="宋体" w:cs="宋体"/>
                <w:color w:val="auto"/>
                <w:kern w:val="0"/>
                <w:sz w:val="15"/>
                <w:szCs w:val="15"/>
                <w:highlight w:val="none"/>
              </w:rPr>
            </w:pPr>
          </w:p>
        </w:tc>
        <w:tc>
          <w:tcPr>
            <w:tcW w:w="897" w:type="dxa"/>
            <w:gridSpan w:val="2"/>
            <w:noWrap w:val="0"/>
            <w:vAlign w:val="center"/>
          </w:tcPr>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18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5" w:hRule="atLeast"/>
        </w:trPr>
        <w:tc>
          <w:tcPr>
            <w:tcW w:w="15100" w:type="dxa"/>
            <w:gridSpan w:val="14"/>
            <w:noWrap w:val="0"/>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52"/>
                <w:rFonts w:ascii="宋体" w:hAnsi="宋体" w:eastAsia="宋体"/>
                <w:color w:val="auto"/>
                <w:sz w:val="15"/>
                <w:szCs w:val="15"/>
                <w:highlight w:val="none"/>
              </w:rPr>
            </w:pPr>
            <w:bookmarkStart w:id="31" w:name="_Toc110851447"/>
            <w:bookmarkStart w:id="32" w:name="_Toc938704773"/>
            <w:bookmarkStart w:id="33" w:name="_Toc660874911"/>
            <w:r>
              <w:rPr>
                <w:rStyle w:val="52"/>
                <w:rFonts w:hint="eastAsia" w:ascii="宋体" w:hAnsi="宋体" w:eastAsia="宋体"/>
                <w:color w:val="auto"/>
                <w:sz w:val="21"/>
                <w:szCs w:val="21"/>
                <w:highlight w:val="none"/>
              </w:rPr>
              <w:t>《北京市建筑</w:t>
            </w:r>
            <w:r>
              <w:rPr>
                <w:rStyle w:val="52"/>
                <w:rFonts w:ascii="宋体" w:hAnsi="宋体" w:eastAsia="宋体"/>
                <w:color w:val="auto"/>
                <w:sz w:val="21"/>
                <w:szCs w:val="21"/>
                <w:highlight w:val="none"/>
              </w:rPr>
              <w:t>垃圾处置管理规定</w:t>
            </w:r>
            <w:r>
              <w:rPr>
                <w:rStyle w:val="52"/>
                <w:rFonts w:hint="eastAsia" w:ascii="宋体" w:hAnsi="宋体" w:eastAsia="宋体"/>
                <w:color w:val="auto"/>
                <w:sz w:val="21"/>
                <w:szCs w:val="21"/>
                <w:highlight w:val="none"/>
              </w:rPr>
              <w:t>》案由</w:t>
            </w:r>
            <w:r>
              <w:rPr>
                <w:rStyle w:val="52"/>
                <w:rFonts w:ascii="宋体" w:hAnsi="宋体" w:eastAsia="宋体"/>
                <w:color w:val="auto"/>
                <w:sz w:val="21"/>
                <w:szCs w:val="21"/>
                <w:highlight w:val="none"/>
              </w:rPr>
              <w:t>24</w:t>
            </w:r>
            <w:r>
              <w:rPr>
                <w:rStyle w:val="52"/>
                <w:rFonts w:hint="eastAsia" w:ascii="宋体" w:hAnsi="宋体" w:eastAsia="宋体"/>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restart"/>
            <w:noWrap w:val="0"/>
            <w:vAlign w:val="center"/>
          </w:tcPr>
          <w:p>
            <w:pPr>
              <w:spacing w:line="18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restart"/>
            <w:noWrap w:val="0"/>
            <w:vAlign w:val="center"/>
          </w:tcPr>
          <w:p>
            <w:pPr>
              <w:spacing w:line="180"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spacing w:line="180" w:lineRule="exact"/>
              <w:jc w:val="center"/>
              <w:rPr>
                <w:rFonts w:ascii="宋体" w:hAnsi="宋体" w:eastAsia="宋体" w:cs="宋体"/>
                <w:b/>
                <w:bCs/>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8" w:hRule="atLeast"/>
        </w:trPr>
        <w:tc>
          <w:tcPr>
            <w:tcW w:w="610" w:type="dxa"/>
            <w:vMerge w:val="continue"/>
            <w:noWrap w:val="0"/>
            <w:vAlign w:val="center"/>
          </w:tcPr>
          <w:p>
            <w:pPr>
              <w:spacing w:line="180"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45"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c>
          <w:tcPr>
            <w:tcW w:w="897" w:type="dxa"/>
            <w:gridSpan w:val="2"/>
            <w:vMerge w:val="continue"/>
            <w:noWrap w:val="0"/>
            <w:vAlign w:val="center"/>
          </w:tcPr>
          <w:p>
            <w:pPr>
              <w:spacing w:line="204"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04"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建筑垃圾与其他</w:t>
            </w:r>
            <w:r>
              <w:rPr>
                <w:rFonts w:ascii="宋体" w:hAnsi="宋体" w:eastAsia="宋体"/>
                <w:color w:val="auto"/>
                <w:sz w:val="15"/>
                <w:szCs w:val="15"/>
                <w:highlight w:val="none"/>
              </w:rPr>
              <w:t>生活垃圾</w:t>
            </w:r>
            <w:r>
              <w:rPr>
                <w:rFonts w:hint="eastAsia" w:ascii="宋体" w:hAnsi="宋体" w:eastAsia="宋体"/>
                <w:color w:val="auto"/>
                <w:sz w:val="15"/>
                <w:szCs w:val="15"/>
                <w:highlight w:val="none"/>
              </w:rPr>
              <w:t>、</w:t>
            </w:r>
            <w:r>
              <w:rPr>
                <w:rFonts w:ascii="宋体" w:hAnsi="宋体" w:eastAsia="宋体"/>
                <w:color w:val="auto"/>
                <w:sz w:val="15"/>
                <w:szCs w:val="15"/>
                <w:highlight w:val="none"/>
              </w:rPr>
              <w:t>危险</w:t>
            </w:r>
            <w:r>
              <w:rPr>
                <w:rFonts w:hint="eastAsia" w:ascii="宋体" w:hAnsi="宋体" w:eastAsia="宋体"/>
                <w:color w:val="auto"/>
                <w:sz w:val="15"/>
                <w:szCs w:val="15"/>
                <w:highlight w:val="none"/>
              </w:rPr>
              <w:t>废物</w:t>
            </w:r>
            <w:r>
              <w:rPr>
                <w:rFonts w:ascii="宋体" w:hAnsi="宋体" w:eastAsia="宋体"/>
                <w:color w:val="auto"/>
                <w:sz w:val="15"/>
                <w:szCs w:val="15"/>
                <w:highlight w:val="none"/>
              </w:rPr>
              <w:t>混合</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第六条第二款；</w:t>
            </w:r>
            <w:r>
              <w:rPr>
                <w:rFonts w:ascii="宋体" w:hAnsi="宋体" w:eastAsia="宋体"/>
                <w:color w:val="auto"/>
                <w:sz w:val="15"/>
                <w:szCs w:val="15"/>
                <w:highlight w:val="none"/>
              </w:rPr>
              <w:br w:type="textWrapping"/>
            </w: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w:t>
            </w:r>
            <w:r>
              <w:rPr>
                <w:rFonts w:ascii="宋体" w:hAnsi="宋体" w:eastAsia="宋体"/>
                <w:color w:val="auto"/>
                <w:sz w:val="15"/>
                <w:szCs w:val="15"/>
                <w:highlight w:val="none"/>
              </w:rPr>
              <w:t>四条第三款</w:t>
            </w:r>
            <w:r>
              <w:rPr>
                <w:rFonts w:hint="eastAsia" w:ascii="宋体" w:hAnsi="宋体" w:eastAsia="宋体"/>
                <w:color w:val="auto"/>
                <w:sz w:val="15"/>
                <w:szCs w:val="15"/>
                <w:highlight w:val="none"/>
              </w:rPr>
              <w:t xml:space="preserve"> 责令立即改正，处1000元罚款；再次违反规定的，处1万元以上5万元以下罚款。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（单位初次</w:t>
            </w:r>
            <w:r>
              <w:rPr>
                <w:rFonts w:ascii="宋体" w:hAnsi="宋体" w:eastAsia="宋体"/>
                <w:color w:val="auto"/>
                <w:sz w:val="15"/>
                <w:szCs w:val="15"/>
                <w:highlight w:val="none"/>
              </w:rPr>
              <w:t>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b/>
                <w:bCs/>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w:t>
            </w:r>
            <w:r>
              <w:rPr>
                <w:rFonts w:ascii="宋体" w:hAnsi="宋体" w:eastAsia="宋体"/>
                <w:color w:val="auto"/>
                <w:sz w:val="15"/>
                <w:szCs w:val="15"/>
                <w:highlight w:val="none"/>
              </w:rPr>
              <w:t>规定执行</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3"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（单位</w:t>
            </w:r>
            <w:r>
              <w:rPr>
                <w:rFonts w:ascii="宋体" w:hAnsi="宋体" w:eastAsia="宋体"/>
                <w:color w:val="auto"/>
                <w:sz w:val="15"/>
                <w:szCs w:val="15"/>
                <w:highlight w:val="none"/>
              </w:rPr>
              <w:t>再次违反）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.建筑垃圾混合危险废物的，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.建筑垃圾同时混合生活垃圾、危险废物，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违法事件持续较长，建筑垃圾与其他生活垃圾、危险废物混合产生量较大，造成环境秩序较严重影响的，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曾因此违法行为受到过行政处罚，再次违反的适用此情形。</w:t>
            </w:r>
          </w:p>
        </w:tc>
        <w:tc>
          <w:tcPr>
            <w:tcW w:w="897" w:type="dxa"/>
            <w:gridSpan w:val="2"/>
            <w:vMerge w:val="restart"/>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04"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处罚条款：第三十四条第四款 给予书面警告，再次违反规定的，处50元以上200元以下罚款。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ascii="宋体" w:hAnsi="宋体" w:eastAsia="宋体"/>
                <w:color w:val="auto"/>
                <w:sz w:val="15"/>
                <w:szCs w:val="15"/>
                <w:highlight w:val="none"/>
              </w:rPr>
              <w:t>（</w:t>
            </w:r>
            <w:r>
              <w:rPr>
                <w:rFonts w:hint="eastAsia" w:ascii="宋体" w:hAnsi="宋体" w:eastAsia="宋体"/>
                <w:color w:val="auto"/>
                <w:sz w:val="15"/>
                <w:szCs w:val="15"/>
                <w:highlight w:val="none"/>
              </w:rPr>
              <w:t>个人初次</w:t>
            </w:r>
            <w:r>
              <w:rPr>
                <w:rFonts w:ascii="宋体" w:hAnsi="宋体" w:eastAsia="宋体"/>
                <w:color w:val="auto"/>
                <w:sz w:val="15"/>
                <w:szCs w:val="15"/>
                <w:highlight w:val="none"/>
              </w:rPr>
              <w:t>违反）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个人拒不听从生活垃圾分类管理责任人劝阻，且拒不改正的，适用此情形。初次违反的，书面警告。</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04"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r>
              <w:rPr>
                <w:rFonts w:ascii="宋体" w:hAnsi="宋体" w:eastAsia="宋体"/>
                <w:color w:val="auto"/>
                <w:sz w:val="15"/>
                <w:szCs w:val="15"/>
                <w:highlight w:val="none"/>
              </w:rPr>
              <w:t>再次违反</w:t>
            </w:r>
            <w:r>
              <w:rPr>
                <w:rFonts w:hint="eastAsia" w:ascii="宋体" w:hAnsi="宋体" w:eastAsia="宋体"/>
                <w:color w:val="auto"/>
                <w:sz w:val="15"/>
                <w:szCs w:val="15"/>
                <w:highlight w:val="none"/>
              </w:rPr>
              <w:t>）</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2.曾因此违法行为受到过行政处罚，再次违反的适用此情形。</w:t>
            </w:r>
          </w:p>
        </w:tc>
        <w:tc>
          <w:tcPr>
            <w:tcW w:w="897" w:type="dxa"/>
            <w:gridSpan w:val="2"/>
            <w:vMerge w:val="continue"/>
            <w:noWrap w:val="0"/>
            <w:vAlign w:val="center"/>
          </w:tcPr>
          <w:p>
            <w:pPr>
              <w:spacing w:line="204"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生活垃</w:t>
            </w:r>
            <w:r>
              <w:rPr>
                <w:rFonts w:hint="eastAsia" w:ascii="宋体" w:hAnsi="宋体" w:eastAsia="宋体"/>
                <w:color w:val="auto"/>
                <w:sz w:val="15"/>
                <w:szCs w:val="15"/>
                <w:highlight w:val="none"/>
                <w:shd w:val="clear" w:color="auto" w:fill="auto"/>
              </w:rPr>
              <w:t>圾</w:t>
            </w:r>
            <w:r>
              <w:rPr>
                <w:rFonts w:ascii="宋体" w:hAnsi="宋体" w:eastAsia="宋体"/>
                <w:color w:val="auto"/>
                <w:sz w:val="15"/>
                <w:szCs w:val="15"/>
                <w:highlight w:val="none"/>
                <w:shd w:val="clear" w:color="auto" w:fill="auto"/>
              </w:rPr>
              <w:t>分类管理</w:t>
            </w:r>
            <w:r>
              <w:rPr>
                <w:rFonts w:hint="eastAsia" w:ascii="宋体" w:hAnsi="宋体" w:eastAsia="宋体"/>
                <w:color w:val="auto"/>
                <w:sz w:val="15"/>
                <w:szCs w:val="15"/>
                <w:highlight w:val="none"/>
                <w:shd w:val="clear" w:color="auto" w:fill="auto"/>
                <w:lang w:eastAsia="zh-CN"/>
              </w:rPr>
              <w:t>责任</w:t>
            </w:r>
            <w:r>
              <w:rPr>
                <w:rFonts w:ascii="宋体" w:hAnsi="宋体" w:eastAsia="宋体"/>
                <w:color w:val="auto"/>
                <w:sz w:val="15"/>
                <w:szCs w:val="15"/>
                <w:highlight w:val="none"/>
                <w:shd w:val="clear" w:color="auto" w:fill="auto"/>
              </w:rPr>
              <w:t>人</w:t>
            </w:r>
            <w:r>
              <w:rPr>
                <w:rFonts w:hint="eastAsia" w:ascii="宋体" w:hAnsi="宋体" w:eastAsia="宋体"/>
                <w:color w:val="auto"/>
                <w:sz w:val="15"/>
                <w:szCs w:val="15"/>
                <w:highlight w:val="none"/>
                <w:shd w:val="clear" w:color="auto" w:fill="auto"/>
              </w:rPr>
              <w:t>对居民装</w:t>
            </w:r>
            <w:r>
              <w:rPr>
                <w:rFonts w:hint="eastAsia" w:ascii="宋体" w:hAnsi="宋体" w:eastAsia="宋体"/>
                <w:color w:val="auto"/>
                <w:sz w:val="15"/>
                <w:szCs w:val="15"/>
                <w:highlight w:val="none"/>
              </w:rPr>
              <w:t>饰装修产生的建筑垃圾未制定治理方案</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宋体" w:hAnsi="宋体" w:eastAsia="宋体"/>
                <w:b w:val="0"/>
                <w:bCs w:val="0"/>
                <w:color w:val="auto"/>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w:t>
            </w:r>
            <w:r>
              <w:rPr>
                <w:rFonts w:ascii="宋体" w:hAnsi="宋体" w:eastAsia="宋体"/>
                <w:b w:val="0"/>
                <w:bCs w:val="0"/>
                <w:color w:val="auto"/>
                <w:sz w:val="15"/>
                <w:szCs w:val="15"/>
                <w:highlight w:val="none"/>
              </w:rPr>
              <w:t>对环境造成影响的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30</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6"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生活</w:t>
            </w:r>
            <w:r>
              <w:rPr>
                <w:rFonts w:ascii="宋体" w:hAnsi="宋体" w:eastAsia="宋体"/>
                <w:color w:val="auto"/>
                <w:sz w:val="15"/>
                <w:szCs w:val="15"/>
                <w:highlight w:val="none"/>
              </w:rPr>
              <w:t>垃圾分类管理责任人</w:t>
            </w:r>
            <w:r>
              <w:rPr>
                <w:rFonts w:hint="eastAsia" w:ascii="宋体" w:hAnsi="宋体" w:eastAsia="宋体"/>
                <w:color w:val="auto"/>
                <w:sz w:val="15"/>
                <w:szCs w:val="15"/>
                <w:highlight w:val="none"/>
              </w:rPr>
              <w:t>未明确建筑垃圾投放规范、时间和地点、监督投诉方式等事项</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处罚条款：第三十五条 责令立即改正，处3000元以上3万元以下罚款。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3000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b w:val="0"/>
                <w:bCs w:val="0"/>
                <w:color w:val="auto"/>
                <w:sz w:val="15"/>
                <w:szCs w:val="15"/>
                <w:highlight w:val="none"/>
                <w:lang w:eastAsia="zh-CN"/>
              </w:rPr>
            </w:pPr>
            <w:r>
              <w:rPr>
                <w:rFonts w:hint="eastAsia" w:ascii="宋体" w:hAnsi="宋体" w:eastAsia="宋体"/>
                <w:b w:val="0"/>
                <w:bCs w:val="0"/>
                <w:color w:val="auto"/>
                <w:sz w:val="15"/>
                <w:szCs w:val="15"/>
                <w:highlight w:val="none"/>
              </w:rPr>
              <w:t>1.有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，但明确</w:t>
            </w:r>
            <w:r>
              <w:rPr>
                <w:rFonts w:ascii="宋体" w:hAnsi="宋体" w:eastAsia="宋体"/>
                <w:b w:val="0"/>
                <w:bCs w:val="0"/>
                <w:color w:val="auto"/>
                <w:sz w:val="15"/>
                <w:szCs w:val="15"/>
                <w:highlight w:val="none"/>
              </w:rPr>
              <w:t>事项造成缺项，</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w:t>
            </w:r>
            <w:r>
              <w:rPr>
                <w:rFonts w:ascii="宋体" w:hAnsi="宋体" w:eastAsia="宋体"/>
                <w:b w:val="0"/>
                <w:bCs w:val="0"/>
                <w:color w:val="auto"/>
                <w:sz w:val="15"/>
                <w:szCs w:val="15"/>
                <w:highlight w:val="none"/>
              </w:rPr>
              <w:t>-2</w:t>
            </w:r>
            <w:r>
              <w:rPr>
                <w:rFonts w:hint="eastAsia" w:ascii="宋体" w:hAnsi="宋体" w:eastAsia="宋体"/>
                <w:b w:val="0"/>
                <w:bCs w:val="0"/>
                <w:color w:val="auto"/>
                <w:sz w:val="15"/>
                <w:szCs w:val="15"/>
                <w:highlight w:val="none"/>
              </w:rPr>
              <w:t>；2.有</w:t>
            </w:r>
            <w:r>
              <w:rPr>
                <w:rFonts w:ascii="宋体" w:hAnsi="宋体" w:eastAsia="宋体"/>
                <w:b w:val="0"/>
                <w:bCs w:val="0"/>
                <w:color w:val="auto"/>
                <w:sz w:val="15"/>
                <w:szCs w:val="15"/>
                <w:highlight w:val="none"/>
              </w:rPr>
              <w:t>治理方案的，</w:t>
            </w:r>
            <w:r>
              <w:rPr>
                <w:rFonts w:hint="eastAsia" w:ascii="宋体" w:hAnsi="宋体" w:eastAsia="宋体"/>
                <w:b w:val="0"/>
                <w:bCs w:val="0"/>
                <w:color w:val="auto"/>
                <w:sz w:val="15"/>
                <w:szCs w:val="15"/>
                <w:highlight w:val="none"/>
              </w:rPr>
              <w:t>明确</w:t>
            </w:r>
            <w:r>
              <w:rPr>
                <w:rFonts w:ascii="宋体" w:hAnsi="宋体" w:eastAsia="宋体"/>
                <w:b w:val="0"/>
                <w:bCs w:val="0"/>
                <w:color w:val="auto"/>
                <w:sz w:val="15"/>
                <w:szCs w:val="15"/>
                <w:highlight w:val="none"/>
              </w:rPr>
              <w:t>事项造成缺项，且对环境</w:t>
            </w:r>
            <w:r>
              <w:rPr>
                <w:rFonts w:hint="eastAsia" w:ascii="宋体" w:hAnsi="宋体" w:eastAsia="宋体"/>
                <w:b w:val="0"/>
                <w:bCs w:val="0"/>
                <w:color w:val="auto"/>
                <w:sz w:val="15"/>
                <w:szCs w:val="15"/>
                <w:highlight w:val="none"/>
              </w:rPr>
              <w:t>秩序</w:t>
            </w:r>
            <w:r>
              <w:rPr>
                <w:rFonts w:ascii="宋体" w:hAnsi="宋体" w:eastAsia="宋体"/>
                <w:b w:val="0"/>
                <w:bCs w:val="0"/>
                <w:color w:val="auto"/>
                <w:sz w:val="15"/>
                <w:szCs w:val="15"/>
                <w:highlight w:val="none"/>
              </w:rPr>
              <w:t>造成影响的，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3</w:t>
            </w:r>
            <w:r>
              <w:rPr>
                <w:rFonts w:ascii="宋体" w:hAnsi="宋体" w:eastAsia="宋体"/>
                <w:b w:val="0"/>
                <w:bCs w:val="0"/>
                <w:color w:val="auto"/>
                <w:sz w:val="15"/>
                <w:szCs w:val="15"/>
                <w:highlight w:val="none"/>
              </w:rPr>
              <w:t>-4</w:t>
            </w:r>
            <w:r>
              <w:rPr>
                <w:rFonts w:hint="eastAsia" w:ascii="宋体" w:hAnsi="宋体" w:eastAsia="宋体"/>
                <w:b w:val="0"/>
                <w:bCs w:val="0"/>
                <w:color w:val="auto"/>
                <w:sz w:val="15"/>
                <w:szCs w:val="15"/>
                <w:highlight w:val="none"/>
              </w:rPr>
              <w:t>；3.要素</w:t>
            </w:r>
            <w:r>
              <w:rPr>
                <w:rFonts w:ascii="宋体" w:hAnsi="宋体" w:eastAsia="宋体"/>
                <w:b w:val="0"/>
                <w:bCs w:val="0"/>
                <w:color w:val="auto"/>
                <w:sz w:val="15"/>
                <w:szCs w:val="15"/>
                <w:highlight w:val="none"/>
              </w:rPr>
              <w:t>全部缺失</w:t>
            </w:r>
            <w:r>
              <w:rPr>
                <w:rFonts w:hint="eastAsia" w:ascii="宋体" w:hAnsi="宋体" w:eastAsia="宋体"/>
                <w:b w:val="0"/>
                <w:bCs w:val="0"/>
                <w:color w:val="auto"/>
                <w:sz w:val="15"/>
                <w:szCs w:val="15"/>
                <w:highlight w:val="none"/>
              </w:rPr>
              <w:t>，</w:t>
            </w:r>
            <w:r>
              <w:rPr>
                <w:rFonts w:ascii="宋体" w:hAnsi="宋体" w:eastAsia="宋体"/>
                <w:b w:val="0"/>
                <w:bCs w:val="0"/>
                <w:color w:val="auto"/>
                <w:sz w:val="15"/>
                <w:szCs w:val="15"/>
                <w:highlight w:val="none"/>
              </w:rPr>
              <w:t>对环境造成</w:t>
            </w:r>
            <w:r>
              <w:rPr>
                <w:rFonts w:hint="eastAsia" w:ascii="宋体" w:hAnsi="宋体" w:eastAsia="宋体"/>
                <w:b w:val="0"/>
                <w:bCs w:val="0"/>
                <w:color w:val="auto"/>
                <w:sz w:val="15"/>
                <w:szCs w:val="15"/>
                <w:highlight w:val="none"/>
              </w:rPr>
              <w:t>较</w:t>
            </w:r>
            <w:r>
              <w:rPr>
                <w:rFonts w:ascii="宋体" w:hAnsi="宋体" w:eastAsia="宋体"/>
                <w:b w:val="0"/>
                <w:bCs w:val="0"/>
                <w:color w:val="auto"/>
                <w:sz w:val="15"/>
                <w:szCs w:val="15"/>
                <w:highlight w:val="none"/>
              </w:rPr>
              <w:t>严重影响的，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5</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rPr>
              <w:t>9</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ascii="宋体" w:hAnsi="宋体" w:eastAsia="宋体" w:cs="宋体"/>
                <w:b w:val="0"/>
                <w:bCs w:val="0"/>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罚款数额＝3000×（1＋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建设单位（或生活垃圾分类管理责任人）委托他人</w:t>
            </w:r>
            <w:r>
              <w:rPr>
                <w:rFonts w:ascii="宋体" w:hAnsi="宋体" w:eastAsia="宋体"/>
                <w:color w:val="auto"/>
                <w:sz w:val="15"/>
                <w:szCs w:val="15"/>
                <w:highlight w:val="none"/>
              </w:rPr>
              <w:t>处置建筑垃圾未选择有资质的运输服务单位</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第三十六条 责令立即改正，处以1万元以上10万元以下罚款。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.违法行为持续时间较长、建筑垃圾产生量较大、造成环境较严重影响的，系数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未经许可擅自设置建筑垃圾消纳场所</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default" w:ascii="宋体" w:hAnsi="宋体" w:eastAsia="宋体"/>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olor w:val="auto"/>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宋体" w:hAnsi="宋体" w:eastAsia="宋体" w:cs="宋体"/>
                <w:color w:val="auto"/>
                <w:kern w:val="0"/>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strike w:val="0"/>
                <w:d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1500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numPr>
                <w:ilvl w:val="0"/>
                <w:numId w:val="0"/>
              </w:num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15</w:t>
            </w:r>
            <w:r>
              <w:rPr>
                <w:rFonts w:ascii="宋体" w:hAnsi="宋体" w:eastAsia="宋体"/>
                <w:color w:val="auto"/>
                <w:sz w:val="15"/>
                <w:szCs w:val="15"/>
                <w:highlight w:val="none"/>
              </w:rPr>
              <w:t>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拟作出</w:t>
            </w:r>
            <w:r>
              <w:rPr>
                <w:rFonts w:hint="eastAsia" w:ascii="宋体" w:hAnsi="宋体" w:eastAsia="宋体"/>
                <w:color w:val="auto"/>
                <w:sz w:val="15"/>
                <w:szCs w:val="15"/>
                <w:highlight w:val="none"/>
                <w:lang w:val="en-US" w:eastAsia="zh-CN"/>
              </w:rPr>
              <w:t>1500元以下罚款的，说明理由并报案审会决定。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宋体" w:hAnsi="宋体" w:eastAsia="宋体" w:cs="宋体"/>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2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w:t>
            </w:r>
            <w:r>
              <w:rPr>
                <w:rFonts w:ascii="宋体" w:hAnsi="宋体" w:eastAsia="宋体"/>
                <w:color w:val="auto"/>
                <w:sz w:val="15"/>
                <w:szCs w:val="15"/>
                <w:highlight w:val="none"/>
              </w:rPr>
              <w:t>场所（</w:t>
            </w:r>
            <w:r>
              <w:rPr>
                <w:rFonts w:hint="eastAsia" w:ascii="宋体" w:hAnsi="宋体" w:eastAsia="宋体"/>
                <w:color w:val="auto"/>
                <w:sz w:val="15"/>
                <w:szCs w:val="15"/>
                <w:highlight w:val="none"/>
              </w:rPr>
              <w:t>或</w:t>
            </w:r>
            <w:r>
              <w:rPr>
                <w:rFonts w:ascii="宋体" w:hAnsi="宋体" w:eastAsia="宋体"/>
                <w:color w:val="auto"/>
                <w:sz w:val="15"/>
                <w:szCs w:val="15"/>
                <w:highlight w:val="none"/>
              </w:rPr>
              <w:t>临时处置点经营单位）</w:t>
            </w:r>
            <w:r>
              <w:rPr>
                <w:rFonts w:hint="eastAsia" w:ascii="宋体" w:hAnsi="宋体" w:eastAsia="宋体"/>
                <w:color w:val="auto"/>
                <w:sz w:val="15"/>
                <w:szCs w:val="15"/>
                <w:highlight w:val="none"/>
              </w:rPr>
              <w:t>未按照消纳处置协议的约定接收符合分类标准的建筑垃圾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第三十八条</w:t>
            </w:r>
            <w:r>
              <w:rPr>
                <w:rFonts w:ascii="宋体" w:hAnsi="宋体" w:eastAsia="宋体"/>
                <w:color w:val="auto"/>
                <w:sz w:val="15"/>
                <w:szCs w:val="15"/>
                <w:highlight w:val="none"/>
              </w:rPr>
              <w:t>第一款</w:t>
            </w:r>
            <w:r>
              <w:rPr>
                <w:rFonts w:hint="eastAsia" w:ascii="宋体" w:hAnsi="宋体" w:eastAsia="宋体"/>
                <w:color w:val="auto"/>
                <w:sz w:val="15"/>
                <w:szCs w:val="15"/>
                <w:highlight w:val="none"/>
              </w:rPr>
              <w:t xml:space="preserve"> 责令限期改正，处5万元以上10万元以下罚款，情节严重的，由城市管理综合执法部门吊销建筑垃圾消纳场所设置许可。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jc w:val="left"/>
              <w:rPr>
                <w:rFonts w:hint="default" w:ascii="宋体" w:hAnsi="宋体" w:eastAsia="宋体" w:cs="宋体"/>
                <w:b/>
                <w:bCs/>
                <w:color w:val="auto"/>
                <w:kern w:val="0"/>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lang w:eastAsia="zh-CN"/>
              </w:rPr>
              <w:t>造成</w:t>
            </w:r>
            <w:r>
              <w:rPr>
                <w:rFonts w:hint="eastAsia" w:ascii="宋体" w:hAnsi="宋体" w:eastAsia="宋体"/>
                <w:color w:val="auto"/>
                <w:sz w:val="15"/>
                <w:szCs w:val="15"/>
                <w:highlight w:val="none"/>
              </w:rPr>
              <w:t>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Batang"/>
                <w:color w:val="auto"/>
                <w:sz w:val="15"/>
                <w:szCs w:val="15"/>
                <w:highlight w:val="none"/>
                <w:lang w:val="en-US" w:eastAsia="zh-CN"/>
              </w:rPr>
              <w:t>存在基准2.1.3规定情形的，系数按照相关规定确定。</w:t>
            </w:r>
          </w:p>
        </w:tc>
        <w:tc>
          <w:tcPr>
            <w:tcW w:w="1875" w:type="dxa"/>
            <w:gridSpan w:val="2"/>
            <w:noWrap w:val="0"/>
            <w:vAlign w:val="center"/>
          </w:tcPr>
          <w:p>
            <w:pPr>
              <w:spacing w:line="232" w:lineRule="exact"/>
              <w:jc w:val="center"/>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2"/>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建筑垃圾消纳场所（或临时处置点经营单位）未按照规定采取扬尘污染防治措施或者采取措施不当</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第十七条第一款第(二)项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三十八条第二款</w:t>
            </w:r>
            <w:r>
              <w:rPr>
                <w:rFonts w:hint="eastAsia" w:ascii="宋体" w:hAnsi="宋体" w:eastAsia="宋体"/>
                <w:color w:val="auto"/>
                <w:sz w:val="15"/>
                <w:szCs w:val="15"/>
                <w:highlight w:val="none"/>
              </w:rPr>
              <w:t xml:space="preserve"> 责令限期改正，处1万元以上10万元以下罚款；逾期未改正的，责令停工整治或者停业整治。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较严重后果的，</w:t>
            </w:r>
            <w:r>
              <w:rPr>
                <w:rFonts w:hint="eastAsia" w:ascii="宋体" w:hAnsi="宋体" w:eastAsia="宋体"/>
                <w:color w:val="auto"/>
                <w:sz w:val="15"/>
                <w:szCs w:val="15"/>
                <w:highlight w:val="none"/>
                <w:lang w:eastAsia="zh-CN"/>
              </w:rPr>
              <w:t>系数</w:t>
            </w:r>
            <w:r>
              <w:rPr>
                <w:rFonts w:hint="default" w:ascii="宋体" w:hAnsi="宋体" w:eastAsia="宋体"/>
                <w:color w:val="auto"/>
                <w:sz w:val="15"/>
                <w:szCs w:val="15"/>
                <w:highlight w:val="none"/>
                <w:lang w:val="en-US"/>
              </w:rPr>
              <w:t>5-6</w:t>
            </w:r>
            <w:r>
              <w:rPr>
                <w:rFonts w:hint="eastAsia" w:ascii="宋体" w:hAnsi="宋体" w:eastAsia="宋体"/>
                <w:color w:val="auto"/>
                <w:sz w:val="15"/>
                <w:szCs w:val="15"/>
                <w:highlight w:val="none"/>
                <w:lang w:eastAsia="zh-CN"/>
              </w:rPr>
              <w:t>。</w:t>
            </w:r>
            <w:r>
              <w:rPr>
                <w:rFonts w:hint="eastAsia"/>
                <w:b w:val="0"/>
                <w:bCs w:val="0"/>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w:t>
            </w:r>
            <w:r>
              <w:rPr>
                <w:rFonts w:ascii="宋体" w:hAnsi="宋体" w:eastAsia="宋体"/>
                <w:color w:val="auto"/>
                <w:sz w:val="15"/>
                <w:szCs w:val="15"/>
                <w:highlight w:val="none"/>
              </w:rPr>
              <w:t>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建筑垃圾消纳场所（或临时处置点经营单位）未按照</w:t>
            </w:r>
            <w:r>
              <w:rPr>
                <w:rFonts w:ascii="宋体" w:hAnsi="宋体" w:eastAsia="宋体"/>
                <w:color w:val="auto"/>
                <w:sz w:val="15"/>
                <w:szCs w:val="15"/>
                <w:highlight w:val="none"/>
              </w:rPr>
              <w:t>规定设置双向称重系统</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第十七条第一款第(三)项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三十八条第三款</w:t>
            </w:r>
            <w:r>
              <w:rPr>
                <w:rFonts w:hint="eastAsia" w:ascii="宋体" w:hAnsi="宋体" w:eastAsia="宋体"/>
                <w:color w:val="auto"/>
                <w:sz w:val="15"/>
                <w:szCs w:val="15"/>
                <w:highlight w:val="none"/>
              </w:rPr>
              <w:t xml:space="preserve"> 责令限期改正，处1万元以上10万元以下罚款。</w:t>
            </w:r>
          </w:p>
        </w:tc>
        <w:tc>
          <w:tcPr>
            <w:tcW w:w="851" w:type="dxa"/>
            <w:noWrap w:val="0"/>
            <w:vAlign w:val="center"/>
          </w:tcPr>
          <w:p>
            <w:pPr>
              <w:spacing w:line="232" w:lineRule="exact"/>
              <w:jc w:val="center"/>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作业场所面积：建筑垃圾消纳场所（临时处置点经营单位）的消纳、处置建筑垃圾的占地面积。可在“北京市建筑垃圾管理与服务平台”查询</w:t>
            </w:r>
            <w:r>
              <w:rPr>
                <w:rFonts w:ascii="宋体" w:hAnsi="宋体" w:eastAsia="宋体"/>
                <w:color w:val="auto"/>
                <w:sz w:val="15"/>
                <w:szCs w:val="15"/>
                <w:highlight w:val="none"/>
              </w:rPr>
              <w:t>。</w:t>
            </w:r>
          </w:p>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建筑垃圾消纳场所（或临时处置点经营单位）未保持双向称重系统正常运转</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建筑垃圾消纳场所（或临时处置点经营单位）未如实记录进出场的建筑垃圾运输车辆载重状况</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处罚条款：第三十八条第三款 责令限期改正，处1万元以上10万元以下罚款。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1.未记录车辆进出场次数1-2次或者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，系数0；3-4次或者</w:t>
            </w:r>
            <w:r>
              <w:rPr>
                <w:rFonts w:hint="eastAsia" w:ascii="宋体" w:hAnsi="宋体" w:eastAsia="宋体"/>
                <w:color w:val="auto"/>
                <w:sz w:val="15"/>
                <w:szCs w:val="15"/>
                <w:highlight w:val="none"/>
              </w:rPr>
              <w:t>20-30亩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系数1；5-6次或者</w:t>
            </w:r>
            <w:r>
              <w:rPr>
                <w:rFonts w:hint="eastAsia" w:ascii="宋体" w:hAnsi="宋体" w:eastAsia="宋体"/>
                <w:color w:val="auto"/>
                <w:sz w:val="15"/>
                <w:szCs w:val="15"/>
                <w:highlight w:val="none"/>
              </w:rPr>
              <w:t>30亩-40亩</w:t>
            </w:r>
            <w:r>
              <w:rPr>
                <w:rFonts w:hint="eastAsia" w:ascii="宋体" w:hAnsi="宋体" w:eastAsia="宋体"/>
                <w:color w:val="auto"/>
                <w:sz w:val="15"/>
                <w:szCs w:val="15"/>
                <w:highlight w:val="none"/>
                <w:lang w:eastAsia="zh-CN"/>
              </w:rPr>
              <w:t>的，</w:t>
            </w:r>
            <w:r>
              <w:rPr>
                <w:rFonts w:hint="eastAsia" w:ascii="宋体" w:hAnsi="宋体" w:eastAsia="宋体" w:cs="宋体"/>
                <w:b w:val="0"/>
                <w:bCs w:val="0"/>
                <w:strike w:val="0"/>
                <w:dstrike w:val="0"/>
                <w:color w:val="auto"/>
                <w:sz w:val="15"/>
                <w:szCs w:val="15"/>
                <w:highlight w:val="none"/>
                <w:lang w:val="en-US" w:eastAsia="zh-CN"/>
              </w:rPr>
              <w:t>系数2；7-8次或者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的，系数3；9-10次或者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的，系数4；11-12次或者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的，系数5；以此类推，19次及以上或者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w:t>
            </w:r>
            <w:r>
              <w:rPr>
                <w:rFonts w:ascii="宋体" w:hAnsi="宋体" w:eastAsia="宋体"/>
                <w:color w:val="auto"/>
                <w:sz w:val="15"/>
                <w:szCs w:val="15"/>
                <w:highlight w:val="none"/>
              </w:rPr>
              <w:t>作业场所</w:t>
            </w:r>
            <w:r>
              <w:rPr>
                <w:rFonts w:hint="eastAsia" w:ascii="宋体" w:hAnsi="宋体" w:eastAsia="宋体"/>
                <w:color w:val="auto"/>
                <w:sz w:val="15"/>
                <w:szCs w:val="15"/>
                <w:highlight w:val="none"/>
              </w:rPr>
              <w:t>未安装运输车辆识别装置（或扬尘污染实时监控装置）</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十七条第一款第（</w:t>
            </w:r>
            <w:r>
              <w:rPr>
                <w:rFonts w:hint="eastAsia" w:ascii="宋体" w:hAnsi="宋体" w:eastAsia="宋体"/>
                <w:color w:val="auto"/>
                <w:sz w:val="15"/>
                <w:szCs w:val="15"/>
                <w:highlight w:val="none"/>
              </w:rPr>
              <w:t>四</w:t>
            </w:r>
            <w:r>
              <w:rPr>
                <w:rFonts w:ascii="宋体" w:hAnsi="宋体" w:eastAsia="宋体"/>
                <w:color w:val="auto"/>
                <w:sz w:val="15"/>
                <w:szCs w:val="15"/>
                <w:highlight w:val="none"/>
              </w:rPr>
              <w:t>）</w:t>
            </w:r>
            <w:r>
              <w:rPr>
                <w:rFonts w:hint="eastAsia" w:ascii="宋体" w:hAnsi="宋体" w:eastAsia="宋体"/>
                <w:color w:val="auto"/>
                <w:sz w:val="15"/>
                <w:szCs w:val="15"/>
                <w:highlight w:val="none"/>
              </w:rPr>
              <w:t>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条款：第三十八条第四款</w:t>
            </w:r>
            <w:r>
              <w:rPr>
                <w:rFonts w:hint="eastAsia" w:ascii="宋体" w:hAnsi="宋体" w:eastAsia="宋体"/>
                <w:color w:val="auto"/>
                <w:sz w:val="15"/>
                <w:szCs w:val="15"/>
                <w:highlight w:val="none"/>
              </w:rPr>
              <w:t xml:space="preserve">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olor w:val="auto"/>
                <w:sz w:val="15"/>
                <w:szCs w:val="15"/>
                <w:highlight w:val="none"/>
                <w:lang w:eastAsia="zh-CN"/>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建筑垃圾消纳场所（或临时处置点经营单位）在作业场所未</w:t>
            </w:r>
            <w:r>
              <w:rPr>
                <w:rFonts w:ascii="宋体" w:hAnsi="宋体" w:eastAsia="宋体"/>
                <w:color w:val="auto"/>
                <w:sz w:val="15"/>
                <w:szCs w:val="15"/>
                <w:highlight w:val="none"/>
              </w:rPr>
              <w:t>正常使用</w:t>
            </w:r>
            <w:r>
              <w:rPr>
                <w:rFonts w:hint="eastAsia" w:ascii="宋体" w:hAnsi="宋体" w:eastAsia="宋体"/>
                <w:color w:val="auto"/>
                <w:sz w:val="15"/>
                <w:szCs w:val="15"/>
                <w:highlight w:val="none"/>
              </w:rPr>
              <w:t>运输车辆识别装置（或扬尘污染实时监控装置）</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违反条款：第十七条第一款第（四）项</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建筑垃圾消纳场所（或临时处置点经营单位）未将建筑垃圾接收量（或处置量或再生产品生产供应等）数据</w:t>
            </w:r>
            <w:r>
              <w:rPr>
                <w:rFonts w:ascii="宋体" w:hAnsi="宋体" w:eastAsia="宋体"/>
                <w:color w:val="auto"/>
                <w:sz w:val="15"/>
                <w:szCs w:val="15"/>
                <w:highlight w:val="none"/>
              </w:rPr>
              <w:t>实时传输至</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垃圾管理和服务平台</w:t>
            </w:r>
          </w:p>
        </w:tc>
        <w:tc>
          <w:tcPr>
            <w:tcW w:w="2789"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违反条款：第十七条第一款第（五）项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处罚条款：第三十八条第四款 责令限期改正，处2000元以上2万元以下罚款。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s="宋体"/>
                <w:b w:val="0"/>
                <w:bCs w:val="0"/>
                <w:strike w:val="0"/>
                <w:dstrike w:val="0"/>
                <w:color w:val="auto"/>
                <w:sz w:val="15"/>
                <w:szCs w:val="15"/>
                <w:highlight w:val="none"/>
                <w:lang w:val="en-US" w:eastAsia="zh-CN"/>
              </w:rPr>
              <w:t>1.持续时间5天及以下或者</w:t>
            </w:r>
            <w:r>
              <w:rPr>
                <w:rFonts w:hint="eastAsia" w:ascii="宋体" w:hAnsi="宋体" w:eastAsia="宋体"/>
                <w:color w:val="auto"/>
                <w:sz w:val="15"/>
                <w:szCs w:val="15"/>
                <w:highlight w:val="none"/>
              </w:rPr>
              <w:t>作业场所20亩以下</w:t>
            </w:r>
            <w:r>
              <w:rPr>
                <w:rFonts w:hint="eastAsia" w:ascii="宋体" w:hAnsi="宋体" w:eastAsia="宋体"/>
                <w:color w:val="auto"/>
                <w:sz w:val="15"/>
                <w:szCs w:val="15"/>
                <w:highlight w:val="none"/>
                <w:lang w:eastAsia="zh-CN"/>
              </w:rPr>
              <w:t>（不含</w:t>
            </w:r>
            <w:r>
              <w:rPr>
                <w:rFonts w:hint="eastAsia" w:ascii="宋体" w:hAnsi="宋体" w:eastAsia="宋体"/>
                <w:color w:val="auto"/>
                <w:sz w:val="15"/>
                <w:szCs w:val="15"/>
                <w:highlight w:val="none"/>
                <w:lang w:val="en-US" w:eastAsia="zh-CN"/>
              </w:rPr>
              <w:t>20亩</w:t>
            </w:r>
            <w:r>
              <w:rPr>
                <w:rFonts w:hint="eastAsia" w:ascii="宋体" w:hAnsi="宋体" w:eastAsia="宋体"/>
                <w:color w:val="auto"/>
                <w:sz w:val="15"/>
                <w:szCs w:val="15"/>
                <w:highlight w:val="none"/>
                <w:lang w:eastAsia="zh-CN"/>
              </w:rPr>
              <w:t>）</w:t>
            </w:r>
            <w:r>
              <w:rPr>
                <w:rFonts w:hint="eastAsia" w:ascii="宋体" w:hAnsi="宋体" w:eastAsia="宋体" w:cs="宋体"/>
                <w:b w:val="0"/>
                <w:bCs w:val="0"/>
                <w:strike w:val="0"/>
                <w:dstrike w:val="0"/>
                <w:color w:val="auto"/>
                <w:sz w:val="15"/>
                <w:szCs w:val="15"/>
                <w:highlight w:val="none"/>
                <w:lang w:val="en-US" w:eastAsia="zh-CN"/>
              </w:rPr>
              <w:t>的，系数0；6-10天或者</w:t>
            </w:r>
            <w:r>
              <w:rPr>
                <w:rFonts w:hint="eastAsia" w:ascii="宋体" w:hAnsi="宋体" w:eastAsia="宋体"/>
                <w:color w:val="auto"/>
                <w:sz w:val="15"/>
                <w:szCs w:val="15"/>
                <w:highlight w:val="none"/>
              </w:rPr>
              <w:t>20-30亩</w:t>
            </w:r>
            <w:r>
              <w:rPr>
                <w:rFonts w:hint="eastAsia" w:ascii="宋体" w:hAnsi="宋体" w:eastAsia="宋体" w:cs="宋体"/>
                <w:b w:val="0"/>
                <w:bCs w:val="0"/>
                <w:strike w:val="0"/>
                <w:dstrike w:val="0"/>
                <w:color w:val="auto"/>
                <w:sz w:val="15"/>
                <w:szCs w:val="15"/>
                <w:highlight w:val="none"/>
                <w:lang w:val="en-US" w:eastAsia="zh-CN"/>
              </w:rPr>
              <w:t>的，系数1；11-15天或者</w:t>
            </w:r>
            <w:r>
              <w:rPr>
                <w:rFonts w:hint="eastAsia" w:ascii="宋体" w:hAnsi="宋体" w:eastAsia="宋体"/>
                <w:color w:val="auto"/>
                <w:sz w:val="15"/>
                <w:szCs w:val="15"/>
                <w:highlight w:val="none"/>
                <w:lang w:val="en-US" w:eastAsia="zh-CN"/>
              </w:rPr>
              <w:t>30-40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的，系数2；16-20天或者</w:t>
            </w:r>
            <w:r>
              <w:rPr>
                <w:rFonts w:hint="eastAsia" w:ascii="宋体" w:hAnsi="宋体" w:eastAsia="宋体"/>
                <w:color w:val="auto"/>
                <w:sz w:val="15"/>
                <w:szCs w:val="15"/>
                <w:highlight w:val="none"/>
                <w:lang w:val="en-US" w:eastAsia="zh-CN"/>
              </w:rPr>
              <w:t>40-50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的，系数3；21-25天或者</w:t>
            </w:r>
            <w:r>
              <w:rPr>
                <w:rFonts w:hint="eastAsia" w:ascii="宋体" w:hAnsi="宋体" w:eastAsia="宋体"/>
                <w:color w:val="auto"/>
                <w:sz w:val="15"/>
                <w:szCs w:val="15"/>
                <w:highlight w:val="none"/>
                <w:lang w:val="en-US" w:eastAsia="zh-CN"/>
              </w:rPr>
              <w:t>50-60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的，系数4；26-30天或者</w:t>
            </w:r>
            <w:r>
              <w:rPr>
                <w:rFonts w:hint="eastAsia" w:ascii="宋体" w:hAnsi="宋体" w:eastAsia="宋体"/>
                <w:color w:val="auto"/>
                <w:sz w:val="15"/>
                <w:szCs w:val="15"/>
                <w:highlight w:val="none"/>
                <w:lang w:val="en-US" w:eastAsia="zh-CN"/>
              </w:rPr>
              <w:t>60-70</w:t>
            </w:r>
            <w:r>
              <w:rPr>
                <w:rFonts w:hint="eastAsia" w:ascii="宋体" w:hAnsi="宋体" w:eastAsia="宋体"/>
                <w:color w:val="auto"/>
                <w:sz w:val="15"/>
                <w:szCs w:val="15"/>
                <w:highlight w:val="none"/>
              </w:rPr>
              <w:t>亩</w:t>
            </w:r>
            <w:r>
              <w:rPr>
                <w:rFonts w:hint="eastAsia" w:ascii="宋体" w:hAnsi="宋体" w:eastAsia="宋体" w:cs="宋体"/>
                <w:b w:val="0"/>
                <w:bCs w:val="0"/>
                <w:strike w:val="0"/>
                <w:dstrike w:val="0"/>
                <w:color w:val="auto"/>
                <w:sz w:val="15"/>
                <w:szCs w:val="15"/>
                <w:highlight w:val="none"/>
                <w:lang w:val="en-US" w:eastAsia="zh-CN"/>
              </w:rPr>
              <w:t>的，系数5；以此类推，46天及以上或者</w:t>
            </w:r>
            <w:r>
              <w:rPr>
                <w:rFonts w:hint="eastAsia" w:ascii="宋体" w:hAnsi="宋体" w:eastAsia="宋体"/>
                <w:color w:val="auto"/>
                <w:sz w:val="15"/>
                <w:szCs w:val="15"/>
                <w:highlight w:val="none"/>
                <w:lang w:val="en-US" w:eastAsia="zh-CN"/>
              </w:rPr>
              <w:t>100亩及以上</w:t>
            </w:r>
            <w:r>
              <w:rPr>
                <w:rFonts w:hint="eastAsia" w:ascii="宋体" w:hAnsi="宋体" w:eastAsia="宋体" w:cs="宋体"/>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案由根据实际情况选择</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7"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未取得生活垃圾运输经营许可擅自运输建筑垃圾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w:t>
            </w:r>
            <w:r>
              <w:rPr>
                <w:rFonts w:ascii="宋体" w:hAnsi="宋体" w:eastAsia="宋体"/>
                <w:color w:val="auto"/>
                <w:sz w:val="15"/>
                <w:szCs w:val="15"/>
                <w:highlight w:val="none"/>
              </w:rPr>
              <w:t>：第</w:t>
            </w:r>
            <w:r>
              <w:rPr>
                <w:rFonts w:hint="eastAsia" w:ascii="宋体" w:hAnsi="宋体" w:eastAsia="宋体"/>
                <w:color w:val="auto"/>
                <w:sz w:val="15"/>
                <w:szCs w:val="15"/>
                <w:highlight w:val="none"/>
              </w:rPr>
              <w:t>三十九条 责令限期改正，给予警告，处5000元以上3万元以下罚款</w:t>
            </w:r>
            <w:r>
              <w:rPr>
                <w:rFonts w:ascii="宋体" w:hAnsi="宋体" w:eastAsia="宋体"/>
                <w:color w:val="auto"/>
                <w:sz w:val="15"/>
                <w:szCs w:val="15"/>
                <w:highlight w:val="none"/>
              </w:rPr>
              <w:t>。</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违法时间</w:t>
            </w:r>
            <w:r>
              <w:rPr>
                <w:rFonts w:ascii="宋体" w:hAnsi="宋体" w:eastAsia="宋体"/>
                <w:color w:val="auto"/>
                <w:sz w:val="15"/>
                <w:szCs w:val="15"/>
                <w:highlight w:val="none"/>
              </w:rPr>
              <w:t>持续较长，造成严重环境秩序影响的，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0"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r>
              <w:rPr>
                <w:rFonts w:hint="eastAsia" w:ascii="宋体" w:hAnsi="宋体" w:eastAsia="宋体"/>
                <w:color w:val="auto"/>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使用不符合</w:t>
            </w:r>
            <w:r>
              <w:rPr>
                <w:rFonts w:ascii="宋体" w:hAnsi="宋体" w:eastAsia="宋体"/>
                <w:color w:val="auto"/>
                <w:sz w:val="15"/>
                <w:szCs w:val="15"/>
                <w:highlight w:val="none"/>
              </w:rPr>
              <w:t>标准的车辆（</w:t>
            </w:r>
            <w:r>
              <w:rPr>
                <w:rFonts w:hint="eastAsia" w:ascii="宋体" w:hAnsi="宋体" w:eastAsia="宋体"/>
                <w:color w:val="auto"/>
                <w:sz w:val="15"/>
                <w:szCs w:val="15"/>
                <w:highlight w:val="none"/>
              </w:rPr>
              <w:t>或未取得建筑垃圾准运许可</w:t>
            </w:r>
            <w:r>
              <w:rPr>
                <w:rFonts w:ascii="宋体" w:hAnsi="宋体" w:eastAsia="宋体"/>
                <w:color w:val="auto"/>
                <w:sz w:val="15"/>
                <w:szCs w:val="15"/>
                <w:highlight w:val="none"/>
              </w:rPr>
              <w:t>）</w:t>
            </w:r>
            <w:r>
              <w:rPr>
                <w:rFonts w:hint="eastAsia" w:ascii="宋体" w:hAnsi="宋体" w:eastAsia="宋体"/>
                <w:color w:val="auto"/>
                <w:sz w:val="15"/>
                <w:szCs w:val="15"/>
                <w:highlight w:val="none"/>
              </w:rPr>
              <w:t>运输建筑垃圾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条款：第十八条第一款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第三十九条 责令限期改正，并处1万元以上3万元以下罚款；情节严重的，由城市管理综合执法部门吊销生活垃圾运输经营许可。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ascii="宋体" w:hAnsi="宋体" w:eastAsia="宋体"/>
                <w:color w:val="auto"/>
                <w:sz w:val="15"/>
                <w:szCs w:val="15"/>
                <w:highlight w:val="none"/>
              </w:rPr>
              <w:t>系数</w:t>
            </w:r>
            <w:r>
              <w:rPr>
                <w:rFonts w:hint="eastAsia" w:ascii="宋体" w:hAnsi="宋体" w:eastAsia="宋体"/>
                <w:color w:val="auto"/>
                <w:sz w:val="15"/>
                <w:szCs w:val="15"/>
                <w:highlight w:val="none"/>
              </w:rPr>
              <w:t>）</w:t>
            </w:r>
          </w:p>
        </w:tc>
        <w:tc>
          <w:tcPr>
            <w:tcW w:w="1982" w:type="dxa"/>
            <w:gridSpan w:val="2"/>
            <w:noWrap w:val="0"/>
            <w:vAlign w:val="center"/>
          </w:tcPr>
          <w:p>
            <w:pPr>
              <w:numPr>
                <w:ilvl w:val="0"/>
                <w:numId w:val="3"/>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b w:val="0"/>
                <w:bCs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21-25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3；26-30</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4；31-35</w:t>
            </w:r>
            <w:r>
              <w:rPr>
                <w:rFonts w:hint="eastAsia" w:ascii="宋体" w:hAnsi="宋体" w:eastAsia="宋体" w:cs="Batang"/>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eastAsia="宋体" w:cs="宋体"/>
                <w:color w:val="auto"/>
                <w:kern w:val="0"/>
                <w:sz w:val="15"/>
                <w:szCs w:val="15"/>
                <w:highlight w:val="none"/>
                <w:lang w:val="en-US" w:eastAsia="zh-CN"/>
              </w:rPr>
              <w:t>61-70</w:t>
            </w:r>
            <w:r>
              <w:rPr>
                <w:rFonts w:hint="eastAsia" w:ascii="宋体" w:hAnsi="宋体" w:eastAsia="宋体" w:cs="宋体"/>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numPr>
                <w:ilvl w:val="0"/>
                <w:numId w:val="4"/>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w:t>
            </w:r>
            <w:r>
              <w:rPr>
                <w:rFonts w:ascii="宋体" w:hAnsi="宋体" w:eastAsia="宋体"/>
                <w:color w:val="auto"/>
                <w:sz w:val="15"/>
                <w:szCs w:val="15"/>
                <w:highlight w:val="none"/>
              </w:rPr>
              <w:t>部门</w:t>
            </w:r>
            <w:r>
              <w:rPr>
                <w:rFonts w:hint="eastAsia" w:ascii="宋体" w:hAnsi="宋体" w:eastAsia="宋体"/>
                <w:color w:val="auto"/>
                <w:sz w:val="15"/>
                <w:szCs w:val="15"/>
                <w:highlight w:val="none"/>
              </w:rPr>
              <w:t>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90" w:hRule="atLeast"/>
        </w:trPr>
        <w:tc>
          <w:tcPr>
            <w:tcW w:w="610" w:type="dxa"/>
            <w:noWrap w:val="0"/>
            <w:vAlign w:val="center"/>
          </w:tcPr>
          <w:p>
            <w:pPr>
              <w:spacing w:line="232" w:lineRule="exact"/>
              <w:jc w:val="center"/>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宋体" w:hAnsi="宋体" w:eastAsia="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垃圾运输服务单位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按照规定使用电子运单</w:t>
            </w:r>
            <w:r>
              <w:rPr>
                <w:rFonts w:hint="eastAsia" w:ascii="宋体" w:hAnsi="宋体" w:eastAsia="宋体"/>
                <w:color w:val="auto"/>
                <w:sz w:val="15"/>
                <w:szCs w:val="15"/>
                <w:highlight w:val="none"/>
              </w:rPr>
              <w:t>，</w:t>
            </w:r>
            <w:r>
              <w:rPr>
                <w:rFonts w:ascii="宋体" w:hAnsi="宋体" w:eastAsia="宋体"/>
                <w:color w:val="auto"/>
                <w:sz w:val="15"/>
                <w:szCs w:val="15"/>
                <w:highlight w:val="none"/>
              </w:rPr>
              <w:t>如实记录建筑垃圾处置情况</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十九条第</w:t>
            </w:r>
            <w:r>
              <w:rPr>
                <w:rFonts w:hint="eastAsia" w:ascii="宋体" w:hAnsi="宋体" w:eastAsia="宋体"/>
                <w:color w:val="auto"/>
                <w:sz w:val="15"/>
                <w:szCs w:val="15"/>
                <w:highlight w:val="none"/>
              </w:rPr>
              <w:t>二</w:t>
            </w:r>
            <w:r>
              <w:rPr>
                <w:rFonts w:ascii="宋体" w:hAnsi="宋体" w:eastAsia="宋体"/>
                <w:color w:val="auto"/>
                <w:sz w:val="15"/>
                <w:szCs w:val="15"/>
                <w:highlight w:val="none"/>
              </w:rPr>
              <w:t>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四十条第二款</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宋体" w:hAnsi="宋体" w:eastAsia="宋体"/>
                <w:color w:val="auto"/>
                <w:sz w:val="15"/>
                <w:szCs w:val="15"/>
                <w:highlight w:val="none"/>
                <w:lang w:val="en-US" w:eastAsia="zh-CN"/>
              </w:rPr>
              <w:t>同一运输单位多辆（3辆及以上）车辆存在违规的，系数5-9。3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rPr>
                <w:rFonts w:hint="eastAsia"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6"/>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京政发〔2017〕32号），拟作出吊销处罚的，作出处罚决定前，要邀请城市管理部门共同会商；对于可能影响公共利益的，提请城市管理部门拟定接管方案。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5"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w:t>
            </w:r>
            <w:r>
              <w:rPr>
                <w:rFonts w:ascii="宋体" w:hAnsi="宋体" w:eastAsia="宋体"/>
                <w:color w:val="auto"/>
                <w:sz w:val="15"/>
                <w:szCs w:val="15"/>
                <w:highlight w:val="none"/>
              </w:rPr>
              <w:t>单位</w:t>
            </w:r>
            <w:r>
              <w:rPr>
                <w:rFonts w:hint="eastAsia" w:ascii="宋体" w:hAnsi="宋体" w:eastAsia="宋体"/>
                <w:color w:val="auto"/>
                <w:sz w:val="15"/>
                <w:szCs w:val="15"/>
                <w:highlight w:val="none"/>
              </w:rPr>
              <w:t>未</w:t>
            </w:r>
            <w:r>
              <w:rPr>
                <w:rFonts w:ascii="宋体" w:hAnsi="宋体" w:eastAsia="宋体"/>
                <w:color w:val="auto"/>
                <w:sz w:val="15"/>
                <w:szCs w:val="15"/>
                <w:highlight w:val="none"/>
              </w:rPr>
              <w:t>编制建筑垃圾处理方案</w:t>
            </w:r>
            <w:r>
              <w:rPr>
                <w:rFonts w:hint="eastAsia" w:ascii="宋体" w:hAnsi="宋体" w:eastAsia="宋体"/>
                <w:color w:val="auto"/>
                <w:sz w:val="15"/>
                <w:szCs w:val="15"/>
                <w:highlight w:val="none"/>
              </w:rPr>
              <w:t>报备案</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处罚条款：第四十一条第一款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宋体" w:hAnsi="宋体" w:eastAsia="宋体" w:cs="宋体"/>
                <w:b w:val="0"/>
                <w:bCs w:val="0"/>
                <w:strike w:val="0"/>
                <w:dstrike w:val="0"/>
                <w:color w:val="auto"/>
                <w:sz w:val="15"/>
                <w:szCs w:val="15"/>
                <w:highlight w:val="none"/>
                <w:lang w:val="en-US" w:eastAsia="zh-CN"/>
              </w:rPr>
              <w:t>1.工程建筑面积在300㎡及以下的，系数0；300㎡以上5000㎡及以下的，系数1-</w:t>
            </w:r>
            <w:r>
              <w:rPr>
                <w:rFonts w:hint="default" w:ascii="宋体" w:hAnsi="宋体" w:eastAsia="宋体" w:cs="宋体"/>
                <w:b w:val="0"/>
                <w:bCs w:val="0"/>
                <w:strike w:val="0"/>
                <w:dstrike w:val="0"/>
                <w:color w:val="auto"/>
                <w:sz w:val="15"/>
                <w:szCs w:val="15"/>
                <w:highlight w:val="none"/>
                <w:lang w:val="en-US" w:eastAsia="zh-CN"/>
              </w:rPr>
              <w:t>2</w:t>
            </w:r>
            <w:r>
              <w:rPr>
                <w:rFonts w:hint="eastAsia" w:ascii="宋体" w:hAnsi="宋体" w:eastAsia="宋体" w:cs="宋体"/>
                <w:b w:val="0"/>
                <w:bCs w:val="0"/>
                <w:strike w:val="0"/>
                <w:dstrike w:val="0"/>
                <w:color w:val="auto"/>
                <w:sz w:val="15"/>
                <w:szCs w:val="15"/>
                <w:highlight w:val="none"/>
                <w:lang w:val="en-US" w:eastAsia="zh-CN"/>
              </w:rPr>
              <w:t>；5000㎡以上2万㎡及以下的，系数</w:t>
            </w:r>
            <w:r>
              <w:rPr>
                <w:rFonts w:hint="default" w:ascii="宋体" w:hAnsi="宋体" w:eastAsia="宋体" w:cs="宋体"/>
                <w:b w:val="0"/>
                <w:bCs w:val="0"/>
                <w:strike w:val="0"/>
                <w:dstrike w:val="0"/>
                <w:color w:val="auto"/>
                <w:sz w:val="15"/>
                <w:szCs w:val="15"/>
                <w:highlight w:val="none"/>
                <w:lang w:val="en-US" w:eastAsia="zh-CN"/>
              </w:rPr>
              <w:t>3-4</w:t>
            </w:r>
            <w:r>
              <w:rPr>
                <w:rFonts w:hint="eastAsia" w:ascii="宋体" w:hAnsi="宋体" w:eastAsia="宋体" w:cs="宋体"/>
                <w:b w:val="0"/>
                <w:bCs w:val="0"/>
                <w:strike w:val="0"/>
                <w:dstrike w:val="0"/>
                <w:color w:val="auto"/>
                <w:sz w:val="15"/>
                <w:szCs w:val="15"/>
                <w:highlight w:val="none"/>
                <w:lang w:val="en-US" w:eastAsia="zh-CN"/>
              </w:rPr>
              <w:t>；2万㎡以上的，系数</w:t>
            </w:r>
            <w:r>
              <w:rPr>
                <w:rFonts w:hint="default" w:ascii="宋体" w:hAnsi="宋体" w:eastAsia="宋体" w:cs="宋体"/>
                <w:b w:val="0"/>
                <w:bCs w:val="0"/>
                <w:strike w:val="0"/>
                <w:dstrike w:val="0"/>
                <w:color w:val="auto"/>
                <w:sz w:val="15"/>
                <w:szCs w:val="15"/>
                <w:highlight w:val="none"/>
                <w:lang w:val="en-US" w:eastAsia="zh-CN"/>
              </w:rPr>
              <w:t>5-6</w:t>
            </w:r>
            <w:r>
              <w:rPr>
                <w:rFonts w:hint="eastAsia" w:ascii="宋体" w:hAnsi="宋体" w:eastAsia="宋体" w:cs="宋体"/>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ascii="宋体" w:hAnsi="宋体" w:eastAsia="宋体" w:cs="宋体"/>
                <w:color w:val="auto"/>
                <w:sz w:val="15"/>
                <w:szCs w:val="15"/>
                <w:highlight w:val="none"/>
                <w:lang w:val="en-US" w:eastAsia="zh-CN"/>
              </w:rPr>
              <w:t>3.造</w:t>
            </w:r>
            <w:r>
              <w:rPr>
                <w:rFonts w:hint="eastAsia" w:ascii="宋体" w:hAnsi="宋体" w:eastAsia="宋体" w:cs="宋体"/>
                <w:color w:val="auto"/>
                <w:sz w:val="15"/>
                <w:szCs w:val="15"/>
                <w:highlight w:val="none"/>
              </w:rPr>
              <w:t>成环境秩序较严重影响的，系数5-</w:t>
            </w:r>
            <w:r>
              <w:rPr>
                <w:rFonts w:hint="eastAsia" w:ascii="宋体" w:hAnsi="宋体" w:eastAsia="宋体" w:cs="宋体"/>
                <w:color w:val="auto"/>
                <w:sz w:val="15"/>
                <w:szCs w:val="15"/>
                <w:highlight w:val="none"/>
                <w:lang w:val="en-US" w:eastAsia="zh-CN"/>
              </w:rPr>
              <w:t>6</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ascii="宋体" w:hAnsi="宋体" w:eastAsia="宋体" w:cs="宋体"/>
                <w:color w:val="auto"/>
                <w:sz w:val="15"/>
                <w:szCs w:val="15"/>
                <w:highlight w:val="none"/>
              </w:rPr>
            </w:pPr>
          </w:p>
        </w:tc>
        <w:tc>
          <w:tcPr>
            <w:tcW w:w="1875" w:type="dxa"/>
            <w:gridSpan w:val="2"/>
            <w:noWrap w:val="0"/>
            <w:vAlign w:val="center"/>
          </w:tcPr>
          <w:p>
            <w:pPr>
              <w:widowControl w:val="0"/>
              <w:numPr>
                <w:ilvl w:val="0"/>
                <w:numId w:val="0"/>
              </w:numPr>
              <w:jc w:val="both"/>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eastAsia="宋体" w:cs="宋体"/>
                <w:color w:val="auto"/>
                <w:sz w:val="15"/>
                <w:szCs w:val="15"/>
                <w:highlight w:val="none"/>
                <w:lang w:eastAsia="zh-CN"/>
              </w:rPr>
              <w:t>情节</w:t>
            </w:r>
            <w:r>
              <w:rPr>
                <w:rFonts w:hint="eastAsia" w:ascii="宋体" w:hAnsi="宋体" w:eastAsia="宋体" w:cs="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w:t>
            </w:r>
            <w:r>
              <w:rPr>
                <w:rFonts w:ascii="宋体" w:hAnsi="宋体" w:eastAsia="宋体"/>
                <w:color w:val="auto"/>
                <w:sz w:val="15"/>
                <w:szCs w:val="15"/>
                <w:highlight w:val="none"/>
              </w:rPr>
              <w:t>未及时清运建筑垃圾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四十一条第二款</w:t>
            </w:r>
            <w:r>
              <w:rPr>
                <w:rFonts w:hint="eastAsia" w:ascii="宋体" w:hAnsi="宋体" w:eastAsia="宋体"/>
                <w:color w:val="auto"/>
                <w:sz w:val="15"/>
                <w:szCs w:val="15"/>
                <w:highlight w:val="none"/>
              </w:rPr>
              <w:t xml:space="preserve">  责令限期改正，处10万元以上100万元以下罚款。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rPr>
                <w:rFonts w:ascii="宋体" w:hAnsi="宋体" w:eastAsia="宋体" w:cs="宋体"/>
                <w:b/>
                <w:bCs/>
                <w:color w:val="auto"/>
                <w:kern w:val="0"/>
                <w:sz w:val="15"/>
                <w:szCs w:val="15"/>
                <w:highlight w:val="none"/>
              </w:rPr>
            </w:pPr>
            <w:r>
              <w:rPr>
                <w:rFonts w:hint="eastAsia" w:ascii="宋体" w:hAnsi="宋体" w:eastAsia="宋体" w:cs="宋体"/>
                <w:color w:val="auto"/>
                <w:sz w:val="15"/>
                <w:szCs w:val="15"/>
                <w:highlight w:val="none"/>
              </w:rPr>
              <w:t>1.垃圾占地面积10㎡</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0；11－15㎡</w:t>
            </w:r>
            <w:r>
              <w:rPr>
                <w:rFonts w:hint="eastAsia" w:ascii="宋体" w:hAnsi="宋体" w:eastAsia="宋体" w:cs="仿宋_GB2312"/>
                <w:color w:val="auto"/>
                <w:sz w:val="15"/>
                <w:szCs w:val="15"/>
                <w:highlight w:val="none"/>
              </w:rPr>
              <w:t>的，系</w:t>
            </w:r>
            <w:r>
              <w:rPr>
                <w:rFonts w:hint="eastAsia" w:ascii="宋体" w:hAnsi="宋体" w:eastAsia="宋体" w:cs="宋体"/>
                <w:color w:val="auto"/>
                <w:sz w:val="15"/>
                <w:szCs w:val="15"/>
                <w:highlight w:val="none"/>
              </w:rPr>
              <w:t>数1；16－20㎡</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1"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施工</w:t>
            </w:r>
            <w:r>
              <w:rPr>
                <w:rFonts w:ascii="宋体" w:hAnsi="宋体" w:eastAsia="宋体"/>
                <w:b w:val="0"/>
                <w:bCs w:val="0"/>
                <w:color w:val="auto"/>
                <w:sz w:val="15"/>
                <w:szCs w:val="15"/>
                <w:highlight w:val="none"/>
              </w:rPr>
              <w:t>单位</w:t>
            </w:r>
            <w:r>
              <w:rPr>
                <w:rFonts w:hint="eastAsia" w:ascii="宋体" w:hAnsi="宋体" w:eastAsia="宋体"/>
                <w:b w:val="0"/>
                <w:bCs w:val="0"/>
                <w:color w:val="auto"/>
                <w:sz w:val="15"/>
                <w:szCs w:val="15"/>
                <w:highlight w:val="none"/>
              </w:rPr>
              <w:t>未按照规定对施工过程中产生的建筑垃圾进行资源化利用或者处置</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万元以上10</w:t>
            </w:r>
            <w:r>
              <w:rPr>
                <w:rFonts w:ascii="宋体" w:hAnsi="宋体" w:eastAsia="宋体"/>
                <w:color w:val="auto"/>
                <w:sz w:val="15"/>
                <w:szCs w:val="15"/>
                <w:highlight w:val="none"/>
              </w:rPr>
              <w:t>0</w:t>
            </w:r>
            <w:r>
              <w:rPr>
                <w:rFonts w:hint="eastAsia" w:ascii="宋体" w:hAnsi="宋体" w:eastAsia="宋体"/>
                <w:color w:val="auto"/>
                <w:sz w:val="15"/>
                <w:szCs w:val="15"/>
                <w:highlight w:val="none"/>
              </w:rPr>
              <w:t>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r>
              <w:rPr>
                <w:rFonts w:ascii="宋体" w:hAnsi="宋体" w:eastAsia="宋体"/>
                <w:color w:val="auto"/>
                <w:sz w:val="15"/>
                <w:szCs w:val="15"/>
                <w:highlight w:val="none"/>
              </w:rPr>
              <w:t>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w:t>
            </w:r>
            <w:r>
              <w:rPr>
                <w:rFonts w:ascii="宋体" w:hAnsi="宋体" w:eastAsia="宋体"/>
                <w:color w:val="auto"/>
                <w:sz w:val="15"/>
                <w:szCs w:val="15"/>
                <w:highlight w:val="none"/>
              </w:rPr>
              <w:t>按规定利用或</w:t>
            </w:r>
            <w:r>
              <w:rPr>
                <w:rFonts w:hint="eastAsia" w:ascii="宋体" w:hAnsi="宋体" w:eastAsia="宋体"/>
                <w:color w:val="auto"/>
                <w:sz w:val="15"/>
                <w:szCs w:val="15"/>
                <w:highlight w:val="none"/>
              </w:rPr>
              <w:t>处置</w:t>
            </w:r>
            <w:r>
              <w:rPr>
                <w:rFonts w:ascii="宋体" w:hAnsi="宋体" w:eastAsia="宋体"/>
                <w:color w:val="auto"/>
                <w:sz w:val="15"/>
                <w:szCs w:val="15"/>
                <w:highlight w:val="none"/>
              </w:rPr>
              <w:t>的</w:t>
            </w:r>
            <w:r>
              <w:rPr>
                <w:rFonts w:hint="eastAsia" w:ascii="宋体" w:hAnsi="宋体" w:eastAsia="宋体"/>
                <w:color w:val="auto"/>
                <w:sz w:val="15"/>
                <w:szCs w:val="15"/>
                <w:highlight w:val="none"/>
              </w:rPr>
              <w:t>建筑</w:t>
            </w:r>
            <w:r>
              <w:rPr>
                <w:rFonts w:ascii="宋体" w:hAnsi="宋体" w:eastAsia="宋体"/>
                <w:color w:val="auto"/>
                <w:sz w:val="15"/>
                <w:szCs w:val="15"/>
                <w:highlight w:val="none"/>
              </w:rPr>
              <w:t>垃圾占地面积</w:t>
            </w:r>
            <w:r>
              <w:rPr>
                <w:rFonts w:hint="eastAsia" w:ascii="宋体" w:hAnsi="宋体" w:eastAsia="宋体"/>
                <w:color w:val="auto"/>
                <w:sz w:val="15"/>
                <w:szCs w:val="15"/>
                <w:highlight w:val="none"/>
              </w:rPr>
              <w:t>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宋体" w:hAnsi="宋体" w:eastAsia="宋体"/>
                <w:b w:val="0"/>
                <w:bCs w:val="0"/>
                <w:color w:val="auto"/>
                <w:sz w:val="15"/>
                <w:szCs w:val="15"/>
                <w:highlight w:val="none"/>
              </w:rPr>
              <w:t>，</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0；11—15</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1；16</w:t>
            </w:r>
            <w:r>
              <w:rPr>
                <w:rFonts w:ascii="宋体" w:hAnsi="宋体" w:eastAsia="宋体"/>
                <w:b w:val="0"/>
                <w:bCs w:val="0"/>
                <w:color w:val="auto"/>
                <w:sz w:val="15"/>
                <w:szCs w:val="15"/>
                <w:highlight w:val="none"/>
              </w:rPr>
              <w:t>-20</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或者</w:t>
            </w:r>
            <w:r>
              <w:rPr>
                <w:rFonts w:hint="eastAsia" w:ascii="宋体" w:hAnsi="宋体" w:eastAsia="宋体" w:cs="Batang"/>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宋体" w:hAnsi="宋体" w:eastAsia="宋体"/>
                <w:b w:val="0"/>
                <w:bCs w:val="0"/>
                <w:color w:val="auto"/>
                <w:sz w:val="15"/>
                <w:szCs w:val="15"/>
                <w:highlight w:val="none"/>
                <w:lang w:eastAsia="zh-CN"/>
              </w:rPr>
              <w:t>系数</w:t>
            </w:r>
            <w:r>
              <w:rPr>
                <w:rFonts w:hint="eastAsia" w:ascii="宋体" w:hAnsi="宋体" w:eastAsia="宋体"/>
                <w:b w:val="0"/>
                <w:bCs w:val="0"/>
                <w:color w:val="auto"/>
                <w:sz w:val="15"/>
                <w:szCs w:val="15"/>
                <w:highlight w:val="none"/>
              </w:rPr>
              <w:t>2</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b w:val="0"/>
                <w:bCs w:val="0"/>
                <w:color w:val="auto"/>
                <w:sz w:val="15"/>
                <w:szCs w:val="15"/>
                <w:highlight w:val="none"/>
              </w:rPr>
              <w:t>以此</w:t>
            </w:r>
            <w:r>
              <w:rPr>
                <w:rFonts w:ascii="宋体" w:hAnsi="宋体" w:eastAsia="宋体"/>
                <w:b w:val="0"/>
                <w:bCs w:val="0"/>
                <w:color w:val="auto"/>
                <w:sz w:val="15"/>
                <w:szCs w:val="15"/>
                <w:highlight w:val="none"/>
              </w:rPr>
              <w:t>类推</w:t>
            </w:r>
            <w:r>
              <w:rPr>
                <w:rFonts w:hint="eastAsia" w:ascii="宋体" w:hAnsi="宋体" w:eastAsia="宋体"/>
                <w:b w:val="0"/>
                <w:bCs w:val="0"/>
                <w:color w:val="auto"/>
                <w:sz w:val="15"/>
                <w:szCs w:val="15"/>
                <w:highlight w:val="none"/>
                <w:lang w:eastAsia="zh-CN"/>
              </w:rPr>
              <w:t>，面积</w:t>
            </w:r>
            <w:r>
              <w:rPr>
                <w:rFonts w:hint="eastAsia" w:ascii="宋体" w:hAnsi="宋体" w:eastAsia="宋体"/>
                <w:b w:val="0"/>
                <w:bCs w:val="0"/>
                <w:color w:val="auto"/>
                <w:sz w:val="15"/>
                <w:szCs w:val="15"/>
                <w:highlight w:val="none"/>
                <w:lang w:val="en-US" w:eastAsia="zh-CN"/>
              </w:rPr>
              <w:t>51</w:t>
            </w:r>
            <w:r>
              <w:rPr>
                <w:rFonts w:hint="eastAsia" w:ascii="宋体" w:hAnsi="宋体" w:eastAsia="宋体" w:cs="Batang"/>
                <w:b w:val="0"/>
                <w:bCs w:val="0"/>
                <w:color w:val="auto"/>
                <w:sz w:val="15"/>
                <w:szCs w:val="15"/>
                <w:highlight w:val="none"/>
              </w:rPr>
              <w:t>㎡</w:t>
            </w:r>
            <w:r>
              <w:rPr>
                <w:rFonts w:hint="eastAsia" w:ascii="宋体" w:hAnsi="宋体" w:eastAsia="宋体" w:cs="Batang"/>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ascii="宋体" w:hAnsi="宋体" w:eastAsia="宋体" w:cs="Batang"/>
                <w:b w:val="0"/>
                <w:bCs w:val="0"/>
                <w:color w:val="auto"/>
                <w:sz w:val="15"/>
                <w:szCs w:val="15"/>
                <w:highlight w:val="none"/>
                <w:lang w:eastAsia="zh-CN"/>
              </w:rPr>
              <w:t>，系数</w:t>
            </w:r>
            <w:r>
              <w:rPr>
                <w:rFonts w:hint="eastAsia" w:ascii="宋体" w:hAnsi="宋体" w:eastAsia="宋体" w:cs="Batang"/>
                <w:b w:val="0"/>
                <w:bCs w:val="0"/>
                <w:color w:val="auto"/>
                <w:sz w:val="15"/>
                <w:szCs w:val="15"/>
                <w:highlight w:val="none"/>
                <w:lang w:val="en-US" w:eastAsia="zh-CN"/>
              </w:rPr>
              <w:t>9</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strike w:val="0"/>
                <w:dstrike w:val="0"/>
                <w:color w:val="auto"/>
                <w:sz w:val="15"/>
                <w:szCs w:val="15"/>
                <w:highlight w:val="none"/>
                <w:lang w:val="en-US" w:eastAsia="zh-CN"/>
              </w:rPr>
              <w:t>2.未按规定进行资源化利用或者处置建筑垃圾数量较大的或</w:t>
            </w:r>
            <w:r>
              <w:rPr>
                <w:rFonts w:hint="eastAsia" w:ascii="宋体" w:hAnsi="宋体" w:eastAsia="宋体" w:cs="宋体"/>
                <w:color w:val="auto"/>
                <w:sz w:val="15"/>
                <w:szCs w:val="15"/>
                <w:highlight w:val="none"/>
                <w:lang w:val="en-US" w:eastAsia="zh-CN"/>
              </w:rPr>
              <w:t>严重污染环境</w:t>
            </w:r>
            <w:r>
              <w:rPr>
                <w:rFonts w:hint="eastAsia" w:ascii="宋体" w:hAnsi="宋体" w:eastAsia="宋体" w:cs="宋体"/>
                <w:b w:val="0"/>
                <w:bCs w:val="0"/>
                <w:strike w:val="0"/>
                <w:dstrike w:val="0"/>
                <w:color w:val="auto"/>
                <w:sz w:val="15"/>
                <w:szCs w:val="15"/>
                <w:highlight w:val="none"/>
                <w:lang w:val="en-US" w:eastAsia="zh-CN"/>
              </w:rPr>
              <w:t>或者</w:t>
            </w:r>
            <w:r>
              <w:rPr>
                <w:rFonts w:hint="eastAsia" w:ascii="宋体" w:hAnsi="宋体" w:eastAsia="宋体" w:cs="宋体"/>
                <w:color w:val="auto"/>
                <w:sz w:val="15"/>
                <w:szCs w:val="15"/>
                <w:highlight w:val="none"/>
                <w:lang w:val="en-US" w:eastAsia="zh-CN"/>
              </w:rPr>
              <w:t>造成其他严重社会影响的，系数5-6。</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罚款数额＝10000</w:t>
            </w:r>
            <w:r>
              <w:rPr>
                <w:rFonts w:ascii="宋体" w:hAnsi="宋体" w:eastAsia="宋体"/>
                <w:color w:val="auto"/>
                <w:sz w:val="15"/>
                <w:szCs w:val="15"/>
                <w:highlight w:val="none"/>
              </w:rPr>
              <w:t>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r>
              <w:rPr>
                <w:rFonts w:hint="eastAsia" w:ascii="宋体" w:hAnsi="宋体" w:eastAsia="宋体"/>
                <w:color w:val="auto"/>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施工单位未按照规定对现场贮存的建筑垃圾采取扬尘防治措施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第二十条第二款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第四十</w:t>
            </w:r>
            <w:r>
              <w:rPr>
                <w:rFonts w:ascii="宋体" w:hAnsi="宋体" w:eastAsia="宋体"/>
                <w:color w:val="auto"/>
                <w:sz w:val="15"/>
                <w:szCs w:val="15"/>
                <w:highlight w:val="none"/>
              </w:rPr>
              <w:t>一条第二款</w:t>
            </w:r>
            <w:r>
              <w:rPr>
                <w:rFonts w:hint="eastAsia" w:ascii="宋体" w:hAnsi="宋体" w:eastAsia="宋体"/>
                <w:color w:val="auto"/>
                <w:sz w:val="15"/>
                <w:szCs w:val="15"/>
                <w:highlight w:val="none"/>
              </w:rPr>
              <w:t xml:space="preserve"> 责令限期改正，处1万元以上10万元以下罚款；拒不改正的，责令停工整治。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numPr>
                <w:ilvl w:val="0"/>
                <w:numId w:val="0"/>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38"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未按照规定建立台账并如实报告建筑垃圾处置情况</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ascii="宋体" w:hAnsi="宋体" w:eastAsia="宋体"/>
                <w:color w:val="auto"/>
                <w:sz w:val="15"/>
                <w:szCs w:val="15"/>
                <w:highlight w:val="none"/>
              </w:rPr>
              <w:t>：第二十七条</w:t>
            </w:r>
          </w:p>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处罚</w:t>
            </w:r>
            <w:r>
              <w:rPr>
                <w:rFonts w:ascii="宋体" w:hAnsi="宋体" w:eastAsia="宋体"/>
                <w:color w:val="auto"/>
                <w:sz w:val="15"/>
                <w:szCs w:val="15"/>
                <w:highlight w:val="none"/>
              </w:rPr>
              <w:t>条款：</w:t>
            </w:r>
            <w:r>
              <w:rPr>
                <w:rFonts w:hint="eastAsia" w:ascii="宋体" w:hAnsi="宋体" w:eastAsia="宋体"/>
                <w:color w:val="auto"/>
                <w:sz w:val="15"/>
                <w:szCs w:val="15"/>
                <w:highlight w:val="none"/>
              </w:rPr>
              <w:t>第</w:t>
            </w:r>
            <w:r>
              <w:rPr>
                <w:rFonts w:ascii="宋体" w:hAnsi="宋体" w:eastAsia="宋体"/>
                <w:color w:val="auto"/>
                <w:sz w:val="15"/>
                <w:szCs w:val="15"/>
                <w:highlight w:val="none"/>
              </w:rPr>
              <w:t>四十三条</w:t>
            </w:r>
            <w:r>
              <w:rPr>
                <w:rFonts w:hint="eastAsia" w:ascii="宋体" w:hAnsi="宋体" w:eastAsia="宋体"/>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hint="eastAsia" w:ascii="宋体" w:hAnsi="宋体" w:eastAsia="宋体" w:cs="宋体"/>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spacing w:line="232" w:lineRule="exact"/>
              <w:rPr>
                <w:rFonts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1.已记录</w:t>
            </w:r>
            <w:r>
              <w:rPr>
                <w:rFonts w:ascii="宋体" w:hAnsi="宋体" w:eastAsia="宋体"/>
                <w:color w:val="auto"/>
                <w:sz w:val="15"/>
                <w:szCs w:val="15"/>
                <w:highlight w:val="none"/>
              </w:rPr>
              <w:t>台账而记录内容不完整的，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ascii="宋体" w:hAnsi="宋体" w:eastAsia="宋体"/>
                <w:color w:val="auto"/>
                <w:sz w:val="15"/>
                <w:szCs w:val="15"/>
                <w:highlight w:val="none"/>
              </w:rPr>
              <w:t>-1</w:t>
            </w:r>
            <w:r>
              <w:rPr>
                <w:rFonts w:hint="eastAsia" w:ascii="宋体" w:hAnsi="宋体" w:eastAsia="宋体"/>
                <w:color w:val="auto"/>
                <w:sz w:val="15"/>
                <w:szCs w:val="15"/>
                <w:highlight w:val="none"/>
              </w:rPr>
              <w:t>；2.未建立台账的</w:t>
            </w:r>
            <w:r>
              <w:rPr>
                <w:rFonts w:ascii="宋体" w:hAnsi="宋体" w:eastAsia="宋体"/>
                <w:color w:val="auto"/>
                <w:sz w:val="15"/>
                <w:szCs w:val="15"/>
                <w:highlight w:val="none"/>
              </w:rPr>
              <w:t>或者台账弄虚作假的，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ascii="宋体" w:hAnsi="宋体" w:eastAsia="宋体"/>
                <w:color w:val="auto"/>
                <w:sz w:val="15"/>
                <w:szCs w:val="15"/>
                <w:highlight w:val="none"/>
              </w:rPr>
              <w:t>-6</w:t>
            </w:r>
            <w:r>
              <w:rPr>
                <w:rFonts w:hint="eastAsia" w:ascii="宋体" w:hAnsi="宋体" w:eastAsia="宋体"/>
                <w:color w:val="auto"/>
                <w:sz w:val="15"/>
                <w:szCs w:val="15"/>
                <w:highlight w:val="none"/>
              </w:rPr>
              <w:t>；3.同时造成</w:t>
            </w:r>
            <w:r>
              <w:rPr>
                <w:rFonts w:ascii="宋体" w:hAnsi="宋体" w:eastAsia="宋体"/>
                <w:color w:val="auto"/>
                <w:sz w:val="15"/>
                <w:szCs w:val="15"/>
                <w:highlight w:val="none"/>
              </w:rPr>
              <w:t>环境秩序严重影响的</w:t>
            </w:r>
            <w:r>
              <w:rPr>
                <w:rFonts w:hint="eastAsia" w:ascii="宋体" w:hAnsi="宋体" w:eastAsia="宋体"/>
                <w:color w:val="auto"/>
                <w:sz w:val="15"/>
                <w:szCs w:val="15"/>
                <w:highlight w:val="none"/>
              </w:rPr>
              <w:t>为7</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b/>
                <w:bCs/>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numPr>
                <w:ilvl w:val="0"/>
                <w:numId w:val="7"/>
              </w:num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存在下列情形的，可视为“情节严重”：一年内因同类违法行为，受到城管执法机关</w:t>
            </w:r>
            <w:r>
              <w:rPr>
                <w:rFonts w:hint="eastAsia" w:ascii="宋体" w:hAnsi="宋体" w:eastAsia="宋体"/>
                <w:color w:val="auto"/>
                <w:sz w:val="15"/>
                <w:szCs w:val="15"/>
                <w:highlight w:val="none"/>
                <w:lang w:val="en-US" w:eastAsia="zh-CN"/>
              </w:rPr>
              <w:t>2次</w:t>
            </w:r>
            <w:r>
              <w:rPr>
                <w:rFonts w:hint="eastAsia" w:ascii="宋体" w:hAnsi="宋体" w:eastAsia="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可以认定为“情节严重”情形的；</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olor w:val="auto"/>
                <w:sz w:val="15"/>
                <w:szCs w:val="15"/>
                <w:highlight w:val="none"/>
              </w:rPr>
              <w:t>京政发〔2017〕32号），拟作出吊销处罚的，作出处罚决定前，邀请城市管理部门划出部门共同会商；对于可能影响公共利益的，提请城市管理部门拟定接管方案。</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1"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4" w:name="_Toc354917189"/>
            <w:bookmarkStart w:id="35" w:name="_Toc495418307"/>
            <w:bookmarkStart w:id="36" w:name="_Toc110851448"/>
            <w:r>
              <w:rPr>
                <w:rFonts w:hint="eastAsia" w:ascii="宋体" w:hAnsi="宋体" w:eastAsia="宋体"/>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携犬人未清除户外犬粪便</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违反条款：第十七条第（六）项；处罚条款：第三十条：责令改正，并可处50元罚款。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jc w:val="center"/>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37" w:name="_Toc110851449"/>
            <w:bookmarkStart w:id="38" w:name="_Toc65248453"/>
            <w:bookmarkStart w:id="39" w:name="_Toc986557284"/>
            <w:r>
              <w:rPr>
                <w:rFonts w:hint="eastAsia" w:ascii="宋体" w:hAnsi="宋体" w:eastAsia="宋体"/>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在长城保护范围和建设控制地带内设置</w:t>
            </w:r>
            <w:r>
              <w:rPr>
                <w:rFonts w:hint="eastAsia" w:ascii="宋体" w:hAnsi="宋体" w:eastAsia="宋体" w:cs="宋体"/>
                <w:color w:val="auto"/>
                <w:kern w:val="0"/>
                <w:sz w:val="15"/>
                <w:szCs w:val="15"/>
                <w:highlight w:val="none"/>
              </w:rPr>
              <w:t>不符合要求</w:t>
            </w:r>
            <w:r>
              <w:rPr>
                <w:rFonts w:ascii="宋体" w:hAnsi="宋体" w:eastAsia="宋体" w:cs="宋体"/>
                <w:color w:val="auto"/>
                <w:kern w:val="0"/>
                <w:sz w:val="15"/>
                <w:szCs w:val="15"/>
                <w:highlight w:val="none"/>
              </w:rPr>
              <w:t>的标志标牌</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第十二条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第十七条</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 xml:space="preserve">责令拆除或者更换，并可处200元以上1000元以下的罚款。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5"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宋体" w:hAnsi="宋体" w:eastAsia="宋体"/>
                <w:color w:val="auto"/>
                <w:sz w:val="15"/>
                <w:szCs w:val="15"/>
                <w:highlight w:val="none"/>
              </w:rPr>
            </w:pPr>
            <w:bookmarkStart w:id="40" w:name="_Toc703776516"/>
            <w:bookmarkStart w:id="41" w:name="_Toc110851450"/>
            <w:bookmarkStart w:id="42" w:name="_Toc359698714"/>
            <w:r>
              <w:rPr>
                <w:rFonts w:hint="eastAsia" w:ascii="宋体" w:hAnsi="宋体" w:eastAsia="宋体"/>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任何单位或个人擅自设置、移动、拆除或者损毁、涂改、遮挡保护标志</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5-9；2.存在基准2.1.3规定情形的，系数按照相关规定确定（基准2.1.3.5不适用）。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造成较大社会影响的，系数</w:t>
            </w:r>
            <w:r>
              <w:rPr>
                <w:rFonts w:hint="eastAsia" w:ascii="宋体" w:hAnsi="宋体" w:eastAsia="宋体" w:cs="宋体"/>
                <w:color w:val="auto"/>
                <w:kern w:val="0"/>
                <w:sz w:val="15"/>
                <w:szCs w:val="15"/>
                <w:highlight w:val="none"/>
                <w:lang w:val="en-US" w:eastAsia="zh-CN"/>
              </w:rPr>
              <w:t>2-4；2.存在基准2.1.3规定情形的，系数按照相关规定确定（基准2.1.3.5不适用）。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olor w:val="auto"/>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4"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宋体" w:hAnsi="宋体" w:eastAsia="宋体"/>
                <w:color w:val="auto"/>
                <w:sz w:val="15"/>
                <w:szCs w:val="15"/>
                <w:highlight w:val="none"/>
              </w:rPr>
            </w:pPr>
            <w:bookmarkStart w:id="43" w:name="_Toc472363297"/>
            <w:bookmarkStart w:id="44" w:name="_Toc110851451"/>
            <w:bookmarkStart w:id="45" w:name="_Toc958675012"/>
            <w:r>
              <w:rPr>
                <w:rFonts w:hint="eastAsia" w:ascii="宋体" w:hAnsi="宋体" w:eastAsia="宋体"/>
                <w:color w:val="auto"/>
                <w:sz w:val="21"/>
                <w:szCs w:val="21"/>
                <w:highlight w:val="none"/>
              </w:rPr>
              <w:t>《北京市架空线管理若干规定》案由</w:t>
            </w:r>
            <w:r>
              <w:rPr>
                <w:rFonts w:ascii="宋体" w:hAnsi="宋体" w:eastAsia="宋体"/>
                <w:color w:val="auto"/>
                <w:sz w:val="21"/>
                <w:szCs w:val="21"/>
                <w:highlight w:val="none"/>
              </w:rPr>
              <w:t>7</w:t>
            </w:r>
            <w:r>
              <w:rPr>
                <w:rFonts w:hint="eastAsia" w:ascii="宋体" w:hAnsi="宋体" w:eastAsia="宋体"/>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设置架空线不符合设置架空线行政许可决定</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违反条款：第九条第一款；处罚条款：第十九条第一款 责令限期改正，可以处200元以上2000元以下罚款。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s="宋体"/>
                <w:color w:val="auto"/>
                <w:kern w:val="0"/>
                <w:sz w:val="15"/>
                <w:szCs w:val="15"/>
                <w:highlight w:val="none"/>
                <w:lang w:eastAsia="zh-CN"/>
              </w:rPr>
              <w:t>；</w:t>
            </w:r>
          </w:p>
          <w:p>
            <w:pPr>
              <w:numPr>
                <w:ilvl w:val="0"/>
                <w:numId w:val="0"/>
              </w:num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行政许可有效期届满未清除架空线</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3</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未按要求在架空线的显著位置设置标识信息</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违反条款：第十条第(一)项；处罚条款：第二十条第一款；责令限期改正，可以处200元以上2000元以下罚款。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管线正常使用造成影响，或者造成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4</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发现架空线存在影响安全或者市容景观情况未</w:t>
            </w:r>
            <w:r>
              <w:rPr>
                <w:rFonts w:hint="eastAsia" w:ascii="宋体" w:hAnsi="宋体" w:eastAsia="宋体"/>
                <w:color w:val="auto"/>
                <w:sz w:val="15"/>
                <w:szCs w:val="15"/>
                <w:highlight w:val="none"/>
                <w:lang w:eastAsia="zh-CN"/>
              </w:rPr>
              <w:t>立即</w:t>
            </w:r>
            <w:r>
              <w:rPr>
                <w:rFonts w:hint="eastAsia" w:ascii="宋体" w:hAnsi="宋体" w:eastAsia="宋体"/>
                <w:color w:val="auto"/>
                <w:sz w:val="15"/>
                <w:szCs w:val="15"/>
                <w:highlight w:val="none"/>
              </w:rPr>
              <w:t xml:space="preserve">处理 </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违反条款：第十条第(四)项；处罚条款：第二十条第一款；责令限期改正，可以处200元以上2000元以下罚款。 </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发现擅自搭挂的线缆，未按要求清除或者报告</w:t>
            </w:r>
          </w:p>
        </w:tc>
        <w:tc>
          <w:tcPr>
            <w:tcW w:w="2789" w:type="dxa"/>
            <w:noWrap w:val="0"/>
            <w:vAlign w:val="center"/>
          </w:tcPr>
          <w:p>
            <w:pPr>
              <w:spacing w:line="24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违反条款：第十条第(六)项；处罚条款：第二十条第一款；责令限期改正，可以处200元以上2000元以下罚款。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经责令改正仍未及时清除或者报告的，自责改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未及时清除废弃架空线</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经责令改正仍未及时处理的，自责改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未按要求实施架空线埋设入地</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经责令改正，仍未制定入地方案，并及时采取入地措施的，自责改</w:t>
            </w:r>
            <w:r>
              <w:rPr>
                <w:rFonts w:hint="eastAsia" w:ascii="宋体" w:hAnsi="宋体" w:eastAsia="宋体" w:cs="宋体"/>
                <w:color w:val="auto"/>
                <w:kern w:val="0"/>
                <w:sz w:val="15"/>
                <w:szCs w:val="15"/>
                <w:highlight w:val="none"/>
                <w:lang w:eastAsia="zh-CN"/>
              </w:rPr>
              <w:t>期满</w:t>
            </w:r>
            <w:r>
              <w:rPr>
                <w:rFonts w:hint="eastAsia" w:ascii="宋体" w:hAnsi="宋体" w:eastAsia="宋体" w:cs="宋体"/>
                <w:color w:val="auto"/>
                <w:kern w:val="0"/>
                <w:sz w:val="15"/>
                <w:szCs w:val="15"/>
                <w:highlight w:val="none"/>
              </w:rPr>
              <w:t>之日起</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5-9天的，系数1；10-14天的，系数2；15-19天的，系数3；20-24天的，系数4；25-29天的，系数5；以此类推，</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45天及以上的，系数9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宋体" w:hAnsi="宋体" w:eastAsia="宋体"/>
                <w:color w:val="auto"/>
                <w:sz w:val="15"/>
                <w:szCs w:val="15"/>
                <w:highlight w:val="none"/>
              </w:rPr>
            </w:pPr>
            <w:bookmarkStart w:id="46" w:name="_Toc1563678502"/>
            <w:bookmarkStart w:id="47" w:name="_Toc110851452"/>
            <w:bookmarkStart w:id="48" w:name="_Toc1588431003"/>
            <w:r>
              <w:rPr>
                <w:rFonts w:hint="eastAsia" w:ascii="宋体" w:hAnsi="宋体" w:eastAsia="宋体"/>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在城市景观照明中有过度照明等超能耗标准行为</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违反条款：第十九条第二款；处罚条款：　第三十一条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责令限期改正；逾期未改正的，处以1000元以上3万元以下的罚款。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default"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1.持续时间较长的，系数1-9；2.造成较大社会影响的，系数10-19；3.造成严重社会影响的，系数20-29。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widowControl w:val="0"/>
              <w:numPr>
                <w:ilvl w:val="0"/>
                <w:numId w:val="0"/>
              </w:numPr>
              <w:jc w:val="both"/>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4"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实施影响城市照明设施正常运行的行为</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违反条款：第二十八条第（一）项、第（二）项、第（三）项、第（四）项、第（五）项、第（六）项；处罚条款：第三十二条</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责令限期改正，对个人处以200元以上1000元以下的罚款；对单位处以1000元以上3万元以下的罚款；造成损失的，依法赔偿损失。</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1.</w:t>
            </w:r>
            <w:r>
              <w:rPr>
                <w:rFonts w:hint="eastAsia" w:ascii="宋体" w:hAnsi="宋体" w:eastAsia="宋体" w:cs="宋体"/>
                <w:color w:val="auto"/>
                <w:kern w:val="0"/>
                <w:sz w:val="15"/>
                <w:szCs w:val="15"/>
                <w:highlight w:val="none"/>
              </w:rPr>
              <w:t>刻划、涂污照明设施多处，或者严重污损照明设施的，系数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default" w:ascii="宋体" w:hAnsi="宋体" w:eastAsia="宋体" w:cs="宋体"/>
                <w:color w:val="auto"/>
                <w:kern w:val="0"/>
                <w:sz w:val="15"/>
                <w:szCs w:val="15"/>
                <w:highlight w:val="none"/>
                <w:lang w:val="en-US"/>
              </w:rPr>
              <w:t>2.</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2-4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1.刻划、涂污照明设施多处，系数1-9；2.严重污损照明设施的，系数10-19；3.存在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严重危害或者影响设施正常运行的行为，</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20-29。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1000</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9"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宋体" w:hAnsi="宋体" w:eastAsia="宋体"/>
                <w:color w:val="auto"/>
                <w:sz w:val="15"/>
                <w:szCs w:val="15"/>
                <w:highlight w:val="none"/>
              </w:rPr>
            </w:pPr>
            <w:bookmarkStart w:id="49" w:name="_Toc110851453"/>
            <w:bookmarkStart w:id="50" w:name="_Toc740825924"/>
            <w:bookmarkStart w:id="51" w:name="_Toc275604405"/>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物业管理条例</w:t>
            </w:r>
            <w:r>
              <w:rPr>
                <w:rFonts w:hint="eastAsia" w:ascii="宋体" w:hAnsi="宋体" w:eastAsia="宋体"/>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3" w:hRule="atLeast"/>
        </w:trPr>
        <w:tc>
          <w:tcPr>
            <w:tcW w:w="61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占用、堵塞、封闭其他共用部位（或者损坏其他共用设施设备）</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处罚条款：第九十八条第(十)项，责令改正，给予警告，对单位处二千元以上二万元以下的罚款，对个人处二百元以上五百元以下的罚款。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做</w:t>
            </w:r>
            <w:r>
              <w:rPr>
                <w:rFonts w:hint="eastAsia" w:ascii="宋体" w:hAnsi="宋体" w:eastAsia="宋体" w:cs="宋体"/>
                <w:color w:val="auto"/>
                <w:kern w:val="0"/>
                <w:sz w:val="15"/>
                <w:szCs w:val="15"/>
                <w:highlight w:val="none"/>
              </w:rPr>
              <w:t>好与本市机动车停车管理法规、规章，以及与消防部门职责分工的衔接。</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占用、堵塞、封闭共用部位空间较大、损坏共用设施设备较为严重的，系数</w:t>
            </w: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617" w:hRule="atLeast"/>
        </w:trPr>
        <w:tc>
          <w:tcPr>
            <w:tcW w:w="15100" w:type="dxa"/>
            <w:gridSpan w:val="14"/>
            <w:tcBorders>
              <w:left w:val="single" w:color="000000" w:sz="4" w:space="0"/>
              <w:bottom w:val="single" w:color="000000" w:sz="4" w:space="0"/>
              <w:right w:val="single" w:color="000000" w:sz="4" w:space="0"/>
            </w:tcBorders>
            <w:shd w:val="clear" w:color="auto" w:fill="auto"/>
            <w:noWrap w:val="0"/>
            <w:vAlign w:val="center"/>
          </w:tcPr>
          <w:p>
            <w:pPr>
              <w:pStyle w:val="2"/>
              <w:bidi w:val="0"/>
              <w:rPr>
                <w:rFonts w:ascii="黑体" w:hAnsi="黑体" w:eastAsia="黑体" w:cs="仿宋_GB2312"/>
                <w:color w:val="auto"/>
                <w:highlight w:val="none"/>
                <w:lang w:val="en"/>
              </w:rPr>
            </w:pPr>
            <w:bookmarkStart w:id="52" w:name="_Toc1915318786"/>
            <w:bookmarkStart w:id="53" w:name="_Toc43570540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CellMar>
            <w:top w:w="0" w:type="dxa"/>
            <w:left w:w="57" w:type="dxa"/>
            <w:bottom w:w="0" w:type="dxa"/>
            <w:right w:w="57" w:type="dxa"/>
          </w:tblCellMar>
        </w:tblPrEx>
        <w:trPr>
          <w:gridAfter w:val="1"/>
          <w:wAfter w:w="16" w:type="dxa"/>
          <w:trHeight w:val="453" w:hRule="atLeast"/>
        </w:trPr>
        <w:tc>
          <w:tcPr>
            <w:tcW w:w="15100" w:type="dxa"/>
            <w:gridSpan w:val="14"/>
            <w:tcBorders>
              <w:left w:val="single" w:color="000000" w:sz="4" w:space="0"/>
              <w:bottom w:val="single" w:color="000000" w:sz="4" w:space="0"/>
              <w:right w:val="single" w:color="000000" w:sz="4" w:space="0"/>
            </w:tcBorders>
            <w:shd w:val="clear" w:color="auto" w:fill="auto"/>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eastAsia="宋体" w:cs="方正小标宋简体"/>
                <w:b/>
                <w:bCs/>
                <w:color w:val="auto"/>
                <w:szCs w:val="15"/>
                <w:highlight w:val="none"/>
                <w:lang w:val="en"/>
              </w:rPr>
            </w:pPr>
            <w:bookmarkStart w:id="54" w:name="_Toc1018838380"/>
            <w:bookmarkStart w:id="55" w:name="_Toc1959760423"/>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0"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1830" w:type="dxa"/>
            <w:gridSpan w:val="3"/>
            <w:noWrap w:val="0"/>
            <w:vAlign w:val="center"/>
          </w:tcPr>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管理责任人未履行维护管理责任</w:t>
            </w:r>
          </w:p>
        </w:tc>
        <w:tc>
          <w:tcPr>
            <w:tcW w:w="2789" w:type="dxa"/>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处罚条款：第三十七条，责令限期改正；逾期不改正的，处三千元以上三万元以下罚款。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同时违反第十四条第一款规定中两项的，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4；同时违反三项及三项以上的，</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9。</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32"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19"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w:t>
            </w:r>
          </w:p>
        </w:tc>
        <w:tc>
          <w:tcPr>
            <w:tcW w:w="1830" w:type="dxa"/>
            <w:gridSpan w:val="3"/>
            <w:noWrap w:val="0"/>
            <w:vAlign w:val="center"/>
          </w:tcPr>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管理责任人未在限定的时间内完成整改</w:t>
            </w:r>
          </w:p>
        </w:tc>
        <w:tc>
          <w:tcPr>
            <w:tcW w:w="2789" w:type="dxa"/>
            <w:noWrap w:val="0"/>
            <w:vAlign w:val="center"/>
          </w:tcPr>
          <w:p>
            <w:pPr>
              <w:spacing w:line="250" w:lineRule="exact"/>
              <w:textAlignment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违反条款：第十五条第一款、第二款</w:t>
            </w:r>
            <w:r>
              <w:rPr>
                <w:rFonts w:hint="eastAsia" w:ascii="宋体" w:hAnsi="宋体" w:eastAsia="宋体" w:cs="仿宋_GB2312"/>
                <w:color w:val="auto"/>
                <w:sz w:val="15"/>
                <w:szCs w:val="15"/>
                <w:highlight w:val="none"/>
                <w:lang w:val="en"/>
              </w:rPr>
              <w:t>（需根据实际发生的违法行为选择）</w:t>
            </w:r>
            <w:r>
              <w:rPr>
                <w:rFonts w:hint="eastAsia" w:ascii="宋体" w:hAnsi="宋体" w:eastAsia="宋体" w:cs="仿宋_GB2312"/>
                <w:color w:val="auto"/>
                <w:sz w:val="15"/>
                <w:szCs w:val="15"/>
                <w:highlight w:val="none"/>
              </w:rPr>
              <w:t>；</w:t>
            </w:r>
          </w:p>
          <w:p>
            <w:pPr>
              <w:spacing w:line="250" w:lineRule="exact"/>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处罚条款：第三十八条，责令限期改正；逾期不改正的，处应当建设或者改造的无障碍设施工程造价一倍以上二倍以下罚款。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无障碍设施工程造价款</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罚款数额=无障碍设施工程造价款×（1+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1"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公共停车场</w:t>
            </w:r>
            <w:r>
              <w:rPr>
                <w:rFonts w:hint="eastAsia" w:ascii="宋体" w:hAnsi="宋体" w:eastAsia="宋体" w:cs="仿宋_GB2312"/>
                <w:color w:val="auto"/>
                <w:sz w:val="15"/>
                <w:szCs w:val="15"/>
                <w:highlight w:val="none"/>
                <w:lang w:val="zh-CN"/>
              </w:rPr>
              <w:t>擅自改变无障碍停车位用途</w:t>
            </w:r>
          </w:p>
        </w:tc>
        <w:tc>
          <w:tcPr>
            <w:tcW w:w="2789"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第十七条第一款；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第三十九条第一款，责令限期改正；逾期不改正的，按照擅自改变用途的无障碍停车位数量，每个泊位处一万元罚款。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10000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p>
        </w:tc>
        <w:tc>
          <w:tcPr>
            <w:tcW w:w="3426" w:type="dxa"/>
            <w:noWrap w:val="0"/>
            <w:vAlign w:val="center"/>
          </w:tcPr>
          <w:p>
            <w:pPr>
              <w:spacing w:line="250" w:lineRule="exact"/>
              <w:rPr>
                <w:rFonts w:ascii="宋体" w:hAnsi="宋体" w:eastAsia="宋体" w:cs="仿宋_GB2312"/>
                <w:color w:val="auto"/>
                <w:kern w:val="0"/>
                <w:sz w:val="15"/>
                <w:szCs w:val="15"/>
                <w:highlight w:val="none"/>
              </w:rPr>
            </w:pP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罚款数额=10000×改变用途</w:t>
            </w:r>
            <w:r>
              <w:rPr>
                <w:rFonts w:hint="eastAsia" w:ascii="宋体" w:hAnsi="宋体" w:eastAsia="宋体" w:cs="仿宋_GB2312"/>
                <w:color w:val="auto"/>
                <w:sz w:val="15"/>
                <w:szCs w:val="15"/>
                <w:highlight w:val="none"/>
                <w:lang w:val="zh-CN"/>
              </w:rPr>
              <w:t>停车</w:t>
            </w:r>
            <w:r>
              <w:rPr>
                <w:rFonts w:hint="eastAsia" w:ascii="宋体" w:hAnsi="宋体" w:eastAsia="宋体" w:cs="仿宋_GB2312"/>
                <w:color w:val="auto"/>
                <w:sz w:val="15"/>
                <w:szCs w:val="15"/>
                <w:highlight w:val="none"/>
              </w:rPr>
              <w:t>泊位数</w:t>
            </w:r>
          </w:p>
        </w:tc>
        <w:tc>
          <w:tcPr>
            <w:tcW w:w="1982" w:type="dxa"/>
            <w:gridSpan w:val="2"/>
            <w:noWrap w:val="0"/>
            <w:vAlign w:val="center"/>
          </w:tcPr>
          <w:p>
            <w:pPr>
              <w:spacing w:line="250" w:lineRule="exact"/>
              <w:rPr>
                <w:rFonts w:hint="eastAsia" w:ascii="宋体" w:hAnsi="宋体" w:eastAsia="宋体" w:cs="仿宋_GB2312"/>
                <w:color w:val="auto"/>
                <w:kern w:val="0"/>
                <w:sz w:val="15"/>
                <w:szCs w:val="15"/>
                <w:highlight w:val="none"/>
                <w:lang w:val="en" w:eastAsia="zh-CN"/>
              </w:rPr>
            </w:pP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8"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4</w:t>
            </w:r>
          </w:p>
        </w:tc>
        <w:tc>
          <w:tcPr>
            <w:tcW w:w="1830" w:type="dxa"/>
            <w:gridSpan w:val="3"/>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zh-CN"/>
              </w:rPr>
              <w:t>损毁、侵占或者擅自停止使用道路内无障碍设施</w:t>
            </w:r>
          </w:p>
        </w:tc>
        <w:tc>
          <w:tcPr>
            <w:tcW w:w="2789" w:type="dxa"/>
            <w:noWrap w:val="0"/>
            <w:vAlign w:val="center"/>
          </w:tcPr>
          <w:p>
            <w:pPr>
              <w:spacing w:line="250" w:lineRule="exact"/>
              <w:rPr>
                <w:rFonts w:ascii="宋体" w:hAnsi="宋体" w:eastAsia="宋体" w:cs="仿宋_GB2312"/>
                <w:color w:val="auto"/>
                <w:sz w:val="15"/>
                <w:szCs w:val="15"/>
                <w:highlight w:val="none"/>
                <w:lang w:val="zh-CN"/>
              </w:rPr>
            </w:pPr>
            <w:r>
              <w:rPr>
                <w:rFonts w:hint="eastAsia" w:ascii="宋体" w:hAnsi="宋体" w:eastAsia="宋体" w:cs="仿宋_GB2312"/>
                <w:color w:val="auto"/>
                <w:sz w:val="15"/>
                <w:szCs w:val="15"/>
                <w:highlight w:val="none"/>
              </w:rPr>
              <w:t>违反条款：</w:t>
            </w:r>
            <w:r>
              <w:rPr>
                <w:rFonts w:hint="eastAsia" w:ascii="宋体" w:hAnsi="宋体" w:eastAsia="宋体" w:cs="仿宋_GB2312"/>
                <w:color w:val="auto"/>
                <w:sz w:val="15"/>
                <w:szCs w:val="15"/>
                <w:highlight w:val="none"/>
                <w:lang w:val="zh-CN"/>
              </w:rPr>
              <w:t>第十九条第一款；</w:t>
            </w:r>
          </w:p>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eastAsia="宋体" w:cs="仿宋_GB2312"/>
                <w:color w:val="auto"/>
                <w:sz w:val="15"/>
                <w:szCs w:val="15"/>
                <w:highlight w:val="none"/>
                <w:lang w:val="zh-CN"/>
              </w:rPr>
              <w:t>第四十条第一款，责令限期改正；逾期不改正的，处三千元以上三万元以下罚款。</w:t>
            </w:r>
          </w:p>
        </w:tc>
        <w:tc>
          <w:tcPr>
            <w:tcW w:w="851"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5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1.对通行秩序、市容秩序造成较大影响的，系数4；2.造成行人伤亡或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5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2"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经批准临时占用道路内无障碍设施的，</w:t>
            </w:r>
            <w:r>
              <w:rPr>
                <w:rFonts w:hint="eastAsia" w:ascii="宋体" w:hAnsi="宋体" w:eastAsia="宋体" w:cs="仿宋_GB2312"/>
                <w:color w:val="auto"/>
                <w:sz w:val="15"/>
                <w:szCs w:val="15"/>
                <w:highlight w:val="none"/>
                <w:lang w:val="zh-CN"/>
              </w:rPr>
              <w:t>未设置护栏、警示标志或者语音提示，或者未采取必要的替代措施</w:t>
            </w:r>
            <w:r>
              <w:rPr>
                <w:rFonts w:hint="eastAsia" w:ascii="宋体" w:hAnsi="宋体" w:eastAsia="宋体" w:cs="仿宋_GB2312"/>
                <w:color w:val="auto"/>
                <w:sz w:val="15"/>
                <w:szCs w:val="15"/>
                <w:highlight w:val="none"/>
                <w:lang w:val="en"/>
              </w:rPr>
              <w:t>（需根据实际发生的违法行为选择）</w:t>
            </w:r>
          </w:p>
        </w:tc>
        <w:tc>
          <w:tcPr>
            <w:tcW w:w="2789"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处罚条款：第四十条第二款，责令限期改正；逾期不改正的，处三千元以上三万元以下罚款。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3000</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1.对通行秩序造成较大影响的，系数4；2.造成行人伤亡或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事故的，系数9</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罚款数额＝3000×（1+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5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6</w:t>
            </w:r>
          </w:p>
        </w:tc>
        <w:tc>
          <w:tcPr>
            <w:tcW w:w="1830" w:type="dxa"/>
            <w:gridSpan w:val="3"/>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经批准临时占用道路内无障碍设施占用期届满，未及时恢复无障碍设施功能</w:t>
            </w:r>
          </w:p>
        </w:tc>
        <w:tc>
          <w:tcPr>
            <w:tcW w:w="2789" w:type="dxa"/>
            <w:noWrap w:val="0"/>
            <w:vAlign w:val="center"/>
          </w:tcPr>
          <w:p>
            <w:pPr>
              <w:spacing w:line="220" w:lineRule="exact"/>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违反条款：第十九条第二款；</w:t>
            </w:r>
          </w:p>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处罚条款：第四十条第二款，责令限期改正；逾期不改正的，处恢复无障碍设施功能所需的工程造价一倍以上二倍以下罚款。</w:t>
            </w:r>
          </w:p>
        </w:tc>
        <w:tc>
          <w:tcPr>
            <w:tcW w:w="851"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恢复无障碍设施功能所需的工程造价</w:t>
            </w:r>
          </w:p>
        </w:tc>
        <w:tc>
          <w:tcPr>
            <w:tcW w:w="840" w:type="dxa"/>
            <w:noWrap w:val="0"/>
            <w:vAlign w:val="center"/>
          </w:tcPr>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对通行秩序、市容秩序造成较大影响的，或者造成行人伤亡或</w:t>
            </w:r>
            <w:r>
              <w:rPr>
                <w:rFonts w:hint="eastAsia" w:ascii="宋体" w:hAnsi="宋体" w:eastAsia="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color w:val="auto"/>
                <w:sz w:val="15"/>
                <w:szCs w:val="15"/>
                <w:highlight w:val="none"/>
              </w:rPr>
              <w:t>罚款数额＝恢复无障碍设施功能所需的工程造价×（1+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ascii="宋体" w:hAnsi="宋体" w:eastAsia="宋体" w:cs="仿宋_GB2312"/>
                <w:color w:val="auto"/>
                <w:kern w:val="0"/>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15100" w:type="dxa"/>
            <w:gridSpan w:val="14"/>
            <w:noWrap w:val="0"/>
            <w:vAlign w:val="center"/>
          </w:tcPr>
          <w:p>
            <w:pPr>
              <w:pStyle w:val="3"/>
              <w:bidi w:val="0"/>
              <w:jc w:val="center"/>
              <w:rPr>
                <w:rFonts w:hint="default" w:ascii="宋体" w:hAnsi="宋体" w:eastAsia="宋体" w:cs="宋体"/>
                <w:color w:val="auto"/>
                <w:sz w:val="21"/>
                <w:szCs w:val="21"/>
                <w:highlight w:val="none"/>
                <w:lang w:val="en-US"/>
              </w:rPr>
            </w:pPr>
            <w:bookmarkStart w:id="56" w:name="_Toc258925744"/>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vMerge w:val="restart"/>
            <w:noWrap w:val="0"/>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jc w:val="center"/>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restart"/>
            <w:noWrap w:val="0"/>
            <w:vAlign w:val="center"/>
          </w:tcPr>
          <w:p>
            <w:pPr>
              <w:spacing w:line="232"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2</w:t>
            </w:r>
          </w:p>
        </w:tc>
        <w:tc>
          <w:tcPr>
            <w:tcW w:w="1830" w:type="dxa"/>
            <w:gridSpan w:val="3"/>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vMerge w:val="restart"/>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20" w:lineRule="exact"/>
              <w:rPr>
                <w:rFonts w:hint="eastAsia" w:ascii="宋体" w:hAnsi="宋体" w:eastAsia="宋体" w:cs="仿宋_GB2312"/>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restart"/>
            <w:noWrap w:val="0"/>
            <w:vAlign w:val="center"/>
          </w:tcPr>
          <w:p>
            <w:pPr>
              <w:spacing w:line="220" w:lineRule="exact"/>
              <w:jc w:val="center"/>
              <w:rPr>
                <w:rFonts w:hint="eastAsia" w:ascii="宋体" w:hAnsi="宋体" w:eastAsia="宋体" w:cs="仿宋_GB2312"/>
                <w:color w:val="auto"/>
                <w:sz w:val="15"/>
                <w:szCs w:val="15"/>
                <w:highlight w:val="none"/>
                <w:lang w:val="en" w:eastAsia="zh-CN"/>
              </w:rPr>
            </w:pPr>
            <w:r>
              <w:rPr>
                <w:rFonts w:hint="eastAsia" w:ascii="宋体" w:hAnsi="宋体" w:eastAsia="宋体" w:cs="仿宋_GB2312"/>
                <w:color w:val="auto"/>
                <w:sz w:val="15"/>
                <w:szCs w:val="15"/>
                <w:highlight w:val="none"/>
                <w:lang w:val="en" w:eastAsia="zh-CN"/>
              </w:rPr>
              <w:t>街道</w:t>
            </w:r>
          </w:p>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5" w:hRule="atLeast"/>
        </w:trPr>
        <w:tc>
          <w:tcPr>
            <w:tcW w:w="610" w:type="dxa"/>
            <w:vMerge w:val="continue"/>
            <w:noWrap w:val="0"/>
            <w:vAlign w:val="center"/>
          </w:tcPr>
          <w:p>
            <w:pPr>
              <w:spacing w:line="232" w:lineRule="exact"/>
              <w:jc w:val="center"/>
              <w:rPr>
                <w:rFonts w:hint="eastAsia" w:ascii="宋体" w:hAnsi="宋体" w:eastAsia="宋体" w:cs="仿宋_GB2312"/>
                <w:color w:val="auto"/>
                <w:kern w:val="0"/>
                <w:sz w:val="15"/>
                <w:szCs w:val="15"/>
                <w:highlight w:val="none"/>
              </w:rPr>
            </w:pPr>
          </w:p>
        </w:tc>
        <w:tc>
          <w:tcPr>
            <w:tcW w:w="1830" w:type="dxa"/>
            <w:gridSpan w:val="3"/>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2789" w:type="dxa"/>
            <w:vMerge w:val="continue"/>
            <w:noWrap w:val="0"/>
            <w:vAlign w:val="center"/>
          </w:tcPr>
          <w:p>
            <w:pPr>
              <w:spacing w:line="220" w:lineRule="exact"/>
              <w:rPr>
                <w:rFonts w:hint="eastAsia" w:ascii="宋体" w:hAnsi="宋体" w:eastAsia="宋体" w:cs="仿宋_GB2312"/>
                <w:color w:val="auto"/>
                <w:sz w:val="15"/>
                <w:szCs w:val="15"/>
                <w:highlight w:val="none"/>
              </w:rPr>
            </w:pPr>
          </w:p>
        </w:tc>
        <w:tc>
          <w:tcPr>
            <w:tcW w:w="851" w:type="dxa"/>
            <w:noWrap w:val="0"/>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noWrap w:val="0"/>
            <w:vAlign w:val="center"/>
          </w:tcPr>
          <w:p>
            <w:pPr>
              <w:spacing w:line="220"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noWrap w:val="0"/>
            <w:vAlign w:val="center"/>
          </w:tcPr>
          <w:p>
            <w:pPr>
              <w:spacing w:line="220"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tc>
        <w:tc>
          <w:tcPr>
            <w:tcW w:w="897" w:type="dxa"/>
            <w:gridSpan w:val="2"/>
            <w:vMerge w:val="continue"/>
            <w:noWrap w:val="0"/>
            <w:vAlign w:val="center"/>
          </w:tcPr>
          <w:p>
            <w:pPr>
              <w:spacing w:line="220" w:lineRule="exact"/>
              <w:rPr>
                <w:rFonts w:hint="eastAsia" w:ascii="宋体" w:hAnsi="宋体" w:eastAsia="宋体" w:cs="仿宋_GB2312"/>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3" w:hRule="atLeast"/>
        </w:trPr>
        <w:tc>
          <w:tcPr>
            <w:tcW w:w="15100" w:type="dxa"/>
            <w:gridSpan w:val="14"/>
            <w:noWrap w:val="0"/>
            <w:vAlign w:val="center"/>
          </w:tcPr>
          <w:p>
            <w:pPr>
              <w:pStyle w:val="3"/>
              <w:bidi w:val="0"/>
              <w:jc w:val="center"/>
              <w:rPr>
                <w:color w:val="auto"/>
                <w:highlight w:val="none"/>
              </w:rPr>
            </w:pPr>
            <w:bookmarkStart w:id="58" w:name="_Toc584148126"/>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城市道路上设置的检查井、箱盖或者城市道路附属设施发生缺损未及时补缺或者修复</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处罚条款：《条例》第四十二条第（一）项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jc w:val="lef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擅自占用、挖掘城市道路</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违反条款：《条例》第二十七条第（一）项；处罚条款：《条例》第四十二条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5000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城市道路养护、维修工程施工现场未设置明显标志和安全防围设施</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1.违法行为持续2天以上的，含2天，系数1</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2.违法地点位于人口相对集中地区或者交通路口等存在较大安全隐患的情形，系数2</w:t>
            </w:r>
            <w:r>
              <w:rPr>
                <w:rFonts w:hint="eastAsia" w:ascii="宋体" w:hAnsi="宋体" w:eastAsia="宋体" w:cs="宋体"/>
                <w:color w:val="auto"/>
                <w:spacing w:val="-4"/>
                <w:kern w:val="0"/>
                <w:sz w:val="15"/>
                <w:szCs w:val="15"/>
                <w:highlight w:val="none"/>
                <w:lang w:eastAsia="zh-CN"/>
              </w:rPr>
              <w:t>。</w:t>
            </w:r>
            <w:r>
              <w:rPr>
                <w:rFonts w:hint="eastAsia" w:ascii="宋体" w:hAnsi="宋体" w:eastAsia="宋体" w:cs="宋体"/>
                <w:color w:val="auto"/>
                <w:spacing w:val="-4"/>
                <w:kern w:val="0"/>
                <w:sz w:val="15"/>
                <w:szCs w:val="15"/>
                <w:highlight w:val="none"/>
              </w:rPr>
              <w:t>3.造成行人伤亡或</w:t>
            </w:r>
            <w:r>
              <w:rPr>
                <w:rFonts w:hint="eastAsia" w:ascii="宋体" w:hAnsi="宋体" w:eastAsia="宋体" w:cs="宋体"/>
                <w:color w:val="auto"/>
                <w:spacing w:val="-4"/>
                <w:kern w:val="0"/>
                <w:sz w:val="15"/>
                <w:szCs w:val="15"/>
                <w:highlight w:val="none"/>
                <w:lang w:eastAsia="zh-CN"/>
              </w:rPr>
              <w:t>其他</w:t>
            </w:r>
            <w:r>
              <w:rPr>
                <w:rFonts w:hint="eastAsia" w:ascii="宋体" w:hAnsi="宋体" w:eastAsia="宋体" w:cs="宋体"/>
                <w:color w:val="auto"/>
                <w:spacing w:val="-4"/>
                <w:kern w:val="0"/>
                <w:sz w:val="15"/>
                <w:szCs w:val="15"/>
                <w:highlight w:val="none"/>
              </w:rPr>
              <w:t>严重事故的，系数9。</w:t>
            </w:r>
            <w:r>
              <w:rPr>
                <w:rFonts w:hint="eastAsia" w:ascii="宋体" w:hAnsi="宋体" w:eastAsia="宋体" w:cs="宋体"/>
                <w:color w:val="auto"/>
                <w:spacing w:val="-4"/>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挖掘城市道路施工现场未设置明显标志和安全防围设施</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处罚条款：《条例》第四十二条第（二）项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0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占用城市道路期满未及时清理现场</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 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挖掘城市道路竣工未及时清理现场</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处罚条款：《条例》第四十二条第（三）项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1.违法行为持续2天以上的，含2天，系数1；2.对通行秩序、市容秩序造成较大影响的，系数4；3.造成行人伤亡或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紧急抢修埋设在城市道路下的管线，未按照规定补办批准手续</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处罚条款：《条例》第四十二条第（五）项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应在24小时内申请补办，逾期未申请补办的</w:t>
            </w:r>
            <w:r>
              <w:rPr>
                <w:rFonts w:hint="eastAsia" w:ascii="宋体" w:hAnsi="宋体" w:eastAsia="宋体" w:cs="宋体"/>
                <w:color w:val="auto"/>
                <w:kern w:val="0"/>
                <w:sz w:val="15"/>
                <w:szCs w:val="15"/>
                <w:highlight w:val="none"/>
                <w:lang w:eastAsia="zh-CN"/>
              </w:rPr>
              <w:t>，逾期</w:t>
            </w:r>
            <w:r>
              <w:rPr>
                <w:rFonts w:hint="eastAsia" w:ascii="宋体" w:hAnsi="宋体" w:eastAsia="宋体" w:cs="宋体"/>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未按照批准的要求占用或者挖掘城市道路</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违反条款：《条例》第三十六条；</w:t>
            </w:r>
          </w:p>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处罚条款：《条例》第四十二条第（六）项 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2.损毁地下管线或市政设施的，系数9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履带车、铁轮车或者超重、超高、超长车辆未按规定在城市道路上行驶</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0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机动车在桥梁或者非指定的城市道路上试刹车</w:t>
            </w:r>
          </w:p>
        </w:tc>
        <w:tc>
          <w:tcPr>
            <w:tcW w:w="2789"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违反条款：《条例》第二十七条第（三）项。处罚条款：《条例》第四十二条：责令限期改正，可以处以2万元以下的罚款。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1.对城市道路造成较大损害的，或者对通行秩序、市容秩序造成较大影响的，系数4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5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擅自在城市道路上建设建筑物、搭建构筑物</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违反条款：《条例》第二十七条第（四）项；处罚条款：《条例》第四十二条：责令限期改正，可以处以2万元以下的罚款。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在桥梁上架设压力在4公斤/平方厘米（0.4兆帕）以上的煤气管道、10千伏以上的高压电线和</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易燃易爆管线</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违反条款：《条例》第二十七条第（五）项；处罚条款：《条例》第四十二条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1.造成人员伤亡或者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严重事故的，系数3；2.对桥梁造成损害影响使用的，系数3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擅自在桥梁或者路灯设施上设置广告牌或者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挂浮物</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违反条款：《条例》第二十七条第（六）项；处罚条款：《条例》第四十二条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严重事故的，系数9；3.对桥梁、路灯设施造成损坏影响使用的，系数9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擅自依附城市道路、桥梁设置各种管线、杆线等设施</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违反条款：《条例》第二十九条；处罚条款：《条例》第四十二条第（四）项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1.影响交通通行，或者造成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安全隐患的，系数4；2.造成行人伤亡或者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擅自拆改、移动城市道路设施或者设置障碍物</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16</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利用城市桥梁进行牵拉、吊装等施工作业</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1.对通行秩序、市容秩序造成较大影响的，系数4；2.造成行人伤亡或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严重事故的，系数9；3.对桥梁造成损害影响使用的，系数9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需要做出2000元以下处罚额度决定的，说明理由，报案审会决定。</w:t>
            </w:r>
          </w:p>
        </w:tc>
        <w:tc>
          <w:tcPr>
            <w:tcW w:w="897" w:type="dxa"/>
            <w:gridSpan w:val="2"/>
            <w:noWrap w:val="0"/>
            <w:vAlign w:val="center"/>
          </w:tcPr>
          <w:p>
            <w:pPr>
              <w:spacing w:line="24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3"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59" w:name="_Toc1973624040"/>
            <w:bookmarkStart w:id="60" w:name="_Toc110851455"/>
            <w:bookmarkStart w:id="61" w:name="_Toc1871081357"/>
            <w:r>
              <w:rPr>
                <w:rFonts w:hint="eastAsia" w:ascii="宋体" w:hAnsi="宋体" w:eastAsia="宋体"/>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井盖管理单位未建立管理制度</w:t>
            </w:r>
          </w:p>
        </w:tc>
        <w:tc>
          <w:tcPr>
            <w:tcW w:w="2789" w:type="dxa"/>
            <w:noWrap w:val="0"/>
            <w:vAlign w:val="center"/>
          </w:tcPr>
          <w:p>
            <w:pPr>
              <w:spacing w:line="22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违反条款：第九条第一款；处罚条款：第十一条第一款，责令限期改正，并可处200元以上2000元以下罚款。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需要给予1000元以下处罚的，报案审会决定。</w:t>
            </w:r>
          </w:p>
        </w:tc>
        <w:tc>
          <w:tcPr>
            <w:tcW w:w="897" w:type="dxa"/>
            <w:gridSpan w:val="2"/>
            <w:noWrap w:val="0"/>
            <w:vAlign w:val="center"/>
          </w:tcPr>
          <w:p>
            <w:pPr>
              <w:spacing w:line="220"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97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未及时补装、维修或更换井盖</w:t>
            </w:r>
          </w:p>
        </w:tc>
        <w:tc>
          <w:tcPr>
            <w:tcW w:w="2789"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违反条款：第九条第二款；处罚条款：第十一条第一款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责令限期改正，并可处200元以上2000元以下罚款。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井盖、雨箅所有权人或者维护管理单位接到维修通知后：1.未立即采取临时防护措施的，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1；2.未在规定时间（城市主要道路、公共场所和居民居住区等地区4小时内，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地区12小时内）内修复的，延后1小时，系数</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color w:val="auto"/>
                <w:kern w:val="0"/>
                <w:sz w:val="15"/>
                <w:szCs w:val="15"/>
                <w:highlight w:val="none"/>
              </w:rPr>
              <w:t>；延后2小时，系数</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；延后3小时，系数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4小时，系数4；延后5小时，系数5；</w:t>
            </w:r>
            <w:r>
              <w:rPr>
                <w:rFonts w:hint="eastAsia" w:ascii="宋体" w:hAnsi="宋体" w:eastAsia="宋体" w:cs="宋体"/>
                <w:color w:val="auto"/>
                <w:kern w:val="0"/>
                <w:sz w:val="15"/>
                <w:szCs w:val="15"/>
                <w:highlight w:val="none"/>
              </w:rPr>
              <w:t>以此类推</w:t>
            </w:r>
            <w:r>
              <w:rPr>
                <w:rFonts w:hint="eastAsia" w:ascii="宋体" w:hAnsi="宋体" w:eastAsia="宋体" w:cs="宋体"/>
                <w:color w:val="auto"/>
                <w:kern w:val="0"/>
                <w:sz w:val="15"/>
                <w:szCs w:val="15"/>
                <w:highlight w:val="none"/>
                <w:lang w:eastAsia="zh-CN"/>
              </w:rPr>
              <w:t>，延后</w:t>
            </w:r>
            <w:r>
              <w:rPr>
                <w:rFonts w:hint="eastAsia" w:ascii="宋体" w:hAnsi="宋体" w:eastAsia="宋体" w:cs="宋体"/>
                <w:color w:val="auto"/>
                <w:kern w:val="0"/>
                <w:sz w:val="15"/>
                <w:szCs w:val="15"/>
                <w:highlight w:val="none"/>
                <w:lang w:val="en-US" w:eastAsia="zh-CN"/>
              </w:rPr>
              <w:t>9小时及以上的，系数9</w:t>
            </w:r>
            <w:r>
              <w:rPr>
                <w:rFonts w:hint="eastAsia" w:ascii="宋体" w:hAnsi="宋体" w:eastAsia="宋体" w:cs="宋体"/>
                <w:color w:val="auto"/>
                <w:kern w:val="0"/>
                <w:sz w:val="15"/>
                <w:szCs w:val="15"/>
                <w:highlight w:val="none"/>
              </w:rPr>
              <w:t>。3.因未及时补装、维修或更换，致人伤亡或车辆损毁等严重事故的，系数9。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p>
        </w:tc>
        <w:tc>
          <w:tcPr>
            <w:tcW w:w="897" w:type="dxa"/>
            <w:gridSpan w:val="2"/>
            <w:noWrap w:val="0"/>
            <w:vAlign w:val="center"/>
          </w:tcPr>
          <w:p>
            <w:pPr>
              <w:spacing w:line="220"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擅自移动井盖</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擅自移动车站、机场、居民小区、医院、学校、体育场馆、影剧院、繁华商业街区、旅游景区等人口集中地区井盖的，系数4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井盖作业未采取安全措施</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井盖作业完毕未及时清理现场、恢复原状</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处罚条款：第十一条第一款 责令限期改正，并可处200元以上2000元以下罚款。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车站、机场、居民小区、医院、学校、体育场馆、影剧院、繁华商业街区、旅游景区等人口集中地区范围内的，系数4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2.致人伤亡或者损害车辆等严重事故的，系数9。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区域台账与人口集中地区点位重叠时，不适用区域台账。</w:t>
            </w:r>
          </w:p>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62" w:name="_Toc603539653"/>
            <w:bookmarkStart w:id="63" w:name="_Toc110851456"/>
            <w:bookmarkStart w:id="64" w:name="_Toc1693504403"/>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54"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65" w:name="_Toc51430679"/>
            <w:bookmarkStart w:id="66" w:name="_Toc1349825120"/>
            <w:bookmarkStart w:id="67" w:name="_Toc110851457"/>
            <w:r>
              <w:rPr>
                <w:rFonts w:hint="eastAsia" w:ascii="宋体" w:hAnsi="宋体" w:eastAsia="宋体"/>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未取得燃气经营许可从事经营活动</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违反条款：第十五条第一款；处罚条款：第四十五条第一款 责令停止违法行为，处5万元以上50万元以下罚款。有违法所得的，没收违法所得。</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1.跨区级区域经营的或者违规经营规模较大(气瓶数量超过28个)，系数5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7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不按照燃气经营许可的规定从事经营活动</w:t>
            </w:r>
          </w:p>
        </w:tc>
        <w:tc>
          <w:tcPr>
            <w:tcW w:w="278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宋体"/>
                <w:color w:val="auto"/>
                <w:kern w:val="0"/>
                <w:sz w:val="15"/>
                <w:szCs w:val="15"/>
                <w:highlight w:val="none"/>
              </w:rPr>
              <w:t>，或者经营场所在人口集中地区、人员密集场所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s="宋体"/>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tcBorders>
              <w:left w:val="single" w:color="auto" w:sz="4" w:space="0"/>
            </w:tcBorders>
            <w:shd w:val="clear" w:color="auto" w:fill="FFFFFF"/>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6"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拒绝向市政燃气管网覆盖范围内符合用气条件的单位或者个人供气</w:t>
            </w:r>
          </w:p>
        </w:tc>
        <w:tc>
          <w:tcPr>
            <w:tcW w:w="2789"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1.断供超过12小时的，或影响1000户以上（含1000户）居民无法正常供气超过2小时的，系数9；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top w:val="single" w:color="auto" w:sz="4" w:space="0"/>
            </w:tcBorders>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w:t>
            </w:r>
            <w:r>
              <w:rPr>
                <w:rFonts w:ascii="宋体" w:hAnsi="宋体" w:eastAsia="宋体"/>
                <w:color w:val="auto"/>
                <w:sz w:val="15"/>
                <w:szCs w:val="15"/>
                <w:highlight w:val="none"/>
              </w:rPr>
              <w:t>市政燃气管网覆盖范围内</w:t>
            </w:r>
            <w:r>
              <w:rPr>
                <w:rFonts w:hint="eastAsia" w:ascii="宋体" w:hAnsi="宋体" w:eastAsia="宋体"/>
                <w:color w:val="auto"/>
                <w:sz w:val="15"/>
                <w:szCs w:val="15"/>
                <w:highlight w:val="none"/>
              </w:rPr>
              <w:t>燃气断供超过12小时的，或影响1000户以上（含1000户）居民无法正常供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宋体" w:hAnsi="宋体" w:eastAsia="宋体"/>
                <w:color w:val="auto"/>
                <w:sz w:val="15"/>
                <w:szCs w:val="15"/>
                <w:highlight w:val="none"/>
              </w:rPr>
              <w:t>的</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4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倒卖、抵押、出租、出借、转让、涂改燃气经营许可证</w:t>
            </w:r>
          </w:p>
        </w:tc>
        <w:tc>
          <w:tcPr>
            <w:tcW w:w="2789"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.发生燃气安全事故</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燃气安全隐患的，系数9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8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擅自停止供气、调整供气量，或者擅自停业或者歇业</w:t>
            </w:r>
          </w:p>
        </w:tc>
        <w:tc>
          <w:tcPr>
            <w:tcW w:w="2789"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.发生燃气安全事故或者引发群体性事件的，系数9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 2.导致</w:t>
            </w:r>
            <w:r>
              <w:rPr>
                <w:rFonts w:ascii="宋体" w:hAnsi="宋体" w:eastAsia="宋体"/>
                <w:color w:val="auto"/>
                <w:sz w:val="15"/>
                <w:szCs w:val="15"/>
                <w:highlight w:val="none"/>
              </w:rPr>
              <w:t>燃气管网覆盖范围内</w:t>
            </w:r>
            <w:r>
              <w:rPr>
                <w:rFonts w:hint="eastAsia" w:ascii="宋体" w:hAnsi="宋体" w:eastAsia="宋体"/>
                <w:color w:val="auto"/>
                <w:sz w:val="15"/>
                <w:szCs w:val="15"/>
                <w:highlight w:val="none"/>
              </w:rPr>
              <w:t>燃气断供超过12小时，或者100户以上（含100户）居民无法正常用气超过24小时的；或影响1000户以上（含1000户）居民无法正常供</w:t>
            </w:r>
            <w:r>
              <w:rPr>
                <w:rFonts w:hint="eastAsia" w:ascii="宋体" w:hAnsi="宋体" w:eastAsia="宋体"/>
                <w:color w:val="auto"/>
                <w:sz w:val="15"/>
                <w:szCs w:val="15"/>
                <w:highlight w:val="none"/>
                <w:lang w:eastAsia="zh-CN"/>
              </w:rPr>
              <w:t>气</w:t>
            </w:r>
            <w:r>
              <w:rPr>
                <w:rFonts w:hint="eastAsia" w:ascii="宋体" w:hAnsi="宋体" w:eastAsia="宋体"/>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1"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向未取得燃气经营许可证的单位或者个人提供用于经营的燃气</w:t>
            </w:r>
          </w:p>
        </w:tc>
        <w:tc>
          <w:tcPr>
            <w:tcW w:w="2789" w:type="dxa"/>
            <w:shd w:val="clear" w:color="auto" w:fill="auto"/>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.持续时间超过半年的，系数4；持续时间1年以上，系数9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35"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燃气经营者在不具备安全条件的场所储存燃气</w:t>
            </w:r>
          </w:p>
        </w:tc>
        <w:tc>
          <w:tcPr>
            <w:tcW w:w="2789"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color w:val="auto"/>
                <w:kern w:val="0"/>
                <w:sz w:val="15"/>
                <w:szCs w:val="15"/>
                <w:highlight w:val="none"/>
              </w:rPr>
              <w:t>.发生燃气安全事故或者存在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要求燃气用户购买其指定的产品或者接受其提供的服务</w:t>
            </w:r>
          </w:p>
        </w:tc>
        <w:tc>
          <w:tcPr>
            <w:tcW w:w="2789"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ascii="宋体" w:hAnsi="宋体" w:eastAsia="宋体" w:cs="宋体"/>
                <w:color w:val="auto"/>
                <w:kern w:val="0"/>
                <w:sz w:val="15"/>
                <w:szCs w:val="15"/>
                <w:highlight w:val="none"/>
              </w:rPr>
              <w:t>发生燃气安全事故，经事故调查部门认定，事故发生与其提供的产品或服务存在因果关系的，系数9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未向燃气用户持续、稳定、安全供应符合国家质量标准的燃气，或者未对燃气用户的燃气设施定期进行安全检查</w:t>
            </w:r>
          </w:p>
        </w:tc>
        <w:tc>
          <w:tcPr>
            <w:tcW w:w="2789"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9；2</w:t>
            </w:r>
            <w:r>
              <w:rPr>
                <w:rFonts w:hint="eastAsia" w:ascii="宋体" w:hAnsi="宋体" w:eastAsia="宋体" w:cs="宋体"/>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FFFFFF"/>
            <w:noWrap w:val="0"/>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区级</w:t>
            </w:r>
          </w:p>
          <w:p>
            <w:pPr>
              <w:autoSpaceDE w:val="0"/>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销售充装单位擅自为非自有气瓶充装的瓶装燃气</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违反条款：第十八条第（八）项；处罚条款：第四十七条第二款 责令改正，可以处1万元以下罚款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ascii="宋体" w:hAnsi="宋体" w:eastAsia="宋体" w:cs="宋体"/>
                <w:b w:val="0"/>
                <w:bCs w:val="0"/>
                <w:color w:val="auto"/>
                <w:kern w:val="0"/>
                <w:sz w:val="15"/>
                <w:szCs w:val="15"/>
                <w:highlight w:val="none"/>
              </w:rPr>
              <w:t>违法行为持续时间超过半年的，系数4；1年以上，系数9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未按规定设置燃气设施保护装置和安全警示标志</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《城镇燃气管理条例》违反条款：第三十五条；处罚条款：第四十八条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每增加1处，系数加1，10处及以上的，系数9。2.</w:t>
            </w:r>
            <w:r>
              <w:rPr>
                <w:rFonts w:hint="eastAsia" w:ascii="宋体" w:hAnsi="宋体" w:eastAsia="宋体" w:cs="宋体"/>
                <w:b w:val="0"/>
                <w:bCs w:val="0"/>
                <w:color w:val="auto"/>
                <w:kern w:val="0"/>
                <w:sz w:val="15"/>
                <w:szCs w:val="15"/>
                <w:highlight w:val="none"/>
              </w:rPr>
              <w:t>发生在人口集中地区或人员密集场所的，系数4</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.未按燃气管理部门要求整改，或整改后再次发生类似违法行为的，系数9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p>
          <w:p>
            <w:pPr>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p>
            <w:pPr>
              <w:spacing w:line="232" w:lineRule="exact"/>
              <w:rPr>
                <w:rFonts w:ascii="宋体" w:hAnsi="宋体" w:eastAsia="宋体" w:cs="宋体"/>
                <w:strike/>
                <w:dstrike w:val="0"/>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对燃气经营者</w:t>
            </w:r>
            <w:r>
              <w:rPr>
                <w:rFonts w:hint="eastAsia" w:ascii="宋体" w:hAnsi="宋体" w:eastAsia="宋体" w:cs="宋体"/>
                <w:color w:val="auto"/>
                <w:kern w:val="0"/>
                <w:sz w:val="15"/>
                <w:szCs w:val="15"/>
                <w:highlight w:val="none"/>
              </w:rPr>
              <w:t>的</w:t>
            </w:r>
            <w:r>
              <w:rPr>
                <w:rFonts w:ascii="宋体" w:hAnsi="宋体" w:eastAsia="宋体" w:cs="宋体"/>
                <w:color w:val="auto"/>
                <w:kern w:val="0"/>
                <w:sz w:val="15"/>
                <w:szCs w:val="15"/>
                <w:highlight w:val="none"/>
              </w:rPr>
              <w:t>违法行为，适用《城镇燃气管理条例》处罚。逾期未改正的，应另行立案，适用《中华人民共和国安全生产法》“逾期未改正”情形处罚。</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 xml:space="preserve">燃气经营者未定期进行巡查、检测、维修和维护 </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违反条款：第三十五条；处罚条款：第四十八条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超出检查周期半年以内未进行检查的，系数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半年以上的，系数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.未按燃气管理部门要求整改，或整改后再次发生类似违法行为的，系数9；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未采取措施及时消除燃气安全事故隐患</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违反条款：《城镇燃气管理条例》第四十一条第一款；处罚条款：第四十八条 责令限期改正，处1万元以上10万元以下罚款。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color w:val="auto"/>
                <w:highlight w:val="none"/>
              </w:rPr>
            </w:pPr>
            <w:r>
              <w:rPr>
                <w:rFonts w:hint="eastAsia" w:ascii="宋体" w:hAnsi="宋体" w:eastAsia="宋体"/>
                <w:color w:val="auto"/>
                <w:sz w:val="15"/>
                <w:szCs w:val="15"/>
                <w:highlight w:val="none"/>
              </w:rPr>
              <w:t>对</w:t>
            </w:r>
            <w:r>
              <w:rPr>
                <w:rFonts w:hint="eastAsia" w:ascii="宋体" w:hAnsi="宋体" w:eastAsia="宋体" w:cs="Times New Roman"/>
                <w:color w:val="auto"/>
                <w:spacing w:val="-4"/>
                <w:kern w:val="2"/>
                <w:sz w:val="15"/>
                <w:szCs w:val="15"/>
                <w:highlight w:val="none"/>
                <w:lang w:val="en-US" w:eastAsia="zh-CN" w:bidi="ar-SA"/>
              </w:rPr>
              <w:t>燃气经营者相关违法行为，适用《城镇燃气管理条例》处罚。拒不执行的，应另行立案，适用《中华人民共和国安全生产法》“拒不执行”情形处罚。</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依据应急管理部门的裁量权基准执行。【“以上”包含本数、“以下”除法律规定的包含本数和最高档的“以下”包含本数外，其余均不包含本数。】</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p>
          <w:p>
            <w:pPr>
              <w:pStyle w:val="8"/>
              <w:rPr>
                <w:rFonts w:ascii="宋体" w:hAnsi="宋体" w:eastAsia="宋体" w:cs="宋体"/>
                <w:strike/>
                <w:dstrike w:val="0"/>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1982" w:type="dxa"/>
            <w:gridSpan w:val="2"/>
            <w:noWrap w:val="0"/>
            <w:vAlign w:val="center"/>
          </w:tcPr>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《应急管理行政裁量权基准暂行规定》（应急管理部令第12号）</w:t>
            </w:r>
          </w:p>
          <w:p>
            <w:pPr>
              <w:pStyle w:val="8"/>
              <w:rPr>
                <w:rFonts w:hint="eastAsia" w:ascii="宋体" w:hAnsi="宋体" w:eastAsia="宋体" w:cs="Times New Roman"/>
                <w:color w:val="auto"/>
                <w:spacing w:val="-4"/>
                <w:sz w:val="15"/>
                <w:szCs w:val="15"/>
                <w:highlight w:val="none"/>
                <w:lang w:val="en-US" w:eastAsia="zh-CN"/>
              </w:rPr>
            </w:pPr>
            <w:r>
              <w:rPr>
                <w:rFonts w:hint="eastAsia" w:ascii="宋体" w:hAnsi="宋体" w:eastAsia="宋体" w:cs="Times New Roman"/>
                <w:color w:val="auto"/>
                <w:spacing w:val="-4"/>
                <w:sz w:val="15"/>
                <w:szCs w:val="15"/>
                <w:highlight w:val="none"/>
                <w:lang w:val="en-US" w:eastAsia="zh-CN"/>
              </w:rPr>
              <w:t>《应急管理行政处罚裁量权基准》</w:t>
            </w:r>
          </w:p>
          <w:p>
            <w:pPr>
              <w:pStyle w:val="8"/>
              <w:rPr>
                <w:rFonts w:ascii="宋体" w:hAnsi="宋体" w:eastAsia="宋体" w:cs="宋体"/>
                <w:color w:val="auto"/>
                <w:kern w:val="0"/>
                <w:sz w:val="15"/>
                <w:szCs w:val="15"/>
                <w:highlight w:val="none"/>
              </w:rPr>
            </w:pPr>
            <w:r>
              <w:rPr>
                <w:rFonts w:hint="eastAsia" w:ascii="宋体" w:hAnsi="宋体" w:eastAsia="宋体" w:cs="Times New Roman"/>
                <w:color w:val="auto"/>
                <w:spacing w:val="-4"/>
                <w:sz w:val="15"/>
                <w:szCs w:val="15"/>
                <w:highlight w:val="none"/>
                <w:lang w:val="en-US" w:eastAsia="zh-CN"/>
              </w:rPr>
              <w:t>《北京市安全生产行政处罚自由裁量基准》（2025 年修订版）</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擅自操作公用燃气阀门</w:t>
            </w:r>
          </w:p>
        </w:tc>
        <w:tc>
          <w:tcPr>
            <w:tcW w:w="2789"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lang w:val="en-US" w:eastAsia="zh-CN"/>
              </w:rPr>
              <w:t>安</w:t>
            </w:r>
            <w:r>
              <w:rPr>
                <w:rFonts w:hint="eastAsia" w:ascii="宋体" w:hAnsi="宋体" w:eastAsia="宋体" w:cs="宋体"/>
                <w:color w:val="auto"/>
                <w:kern w:val="0"/>
                <w:sz w:val="15"/>
                <w:szCs w:val="15"/>
                <w:highlight w:val="none"/>
              </w:rPr>
              <w:t>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将燃气管道作为负重支架或者接地引线</w:t>
            </w:r>
          </w:p>
        </w:tc>
        <w:tc>
          <w:tcPr>
            <w:tcW w:w="2789" w:type="dxa"/>
            <w:noWrap w:val="0"/>
            <w:vAlign w:val="center"/>
          </w:tcPr>
          <w:p>
            <w:pPr>
              <w:spacing w:line="22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安装、使用不符合气源要求的燃气燃烧器具</w:t>
            </w:r>
          </w:p>
        </w:tc>
        <w:tc>
          <w:tcPr>
            <w:tcW w:w="2789"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default" w:ascii="宋体" w:hAnsi="宋体" w:eastAsia="宋体"/>
                <w:color w:val="auto"/>
                <w:sz w:val="15"/>
                <w:szCs w:val="15"/>
                <w:highlight w:val="none"/>
                <w:lang w:val="en" w:eastAsia="zh-CN"/>
              </w:rPr>
              <w:t>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lang w:val="en-US" w:eastAsia="zh-CN"/>
              </w:rPr>
              <w:t>3</w:t>
            </w:r>
            <w:r>
              <w:rPr>
                <w:rFonts w:hint="default" w:ascii="宋体" w:hAnsi="宋体" w:eastAsia="宋体"/>
                <w:color w:val="auto"/>
                <w:sz w:val="15"/>
                <w:szCs w:val="15"/>
                <w:highlight w:val="none"/>
                <w:lang w:val="en" w:eastAsia="zh-CN"/>
              </w:rPr>
              <w:t>.</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擅自安装、改装、拆除户内燃气设施和燃气计量装置</w:t>
            </w:r>
          </w:p>
        </w:tc>
        <w:tc>
          <w:tcPr>
            <w:tcW w:w="2789"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在不具备安全条件的场所使用、储存燃气</w:t>
            </w:r>
          </w:p>
        </w:tc>
        <w:tc>
          <w:tcPr>
            <w:tcW w:w="2789" w:type="dxa"/>
            <w:noWrap w:val="0"/>
            <w:vAlign w:val="center"/>
          </w:tcPr>
          <w:p>
            <w:pPr>
              <w:spacing w:line="24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宋体" w:hAnsi="宋体" w:eastAsia="宋体"/>
                <w:color w:val="auto"/>
                <w:sz w:val="15"/>
                <w:szCs w:val="15"/>
                <w:highlight w:val="none"/>
                <w:lang w:eastAsia="zh-CN"/>
              </w:rPr>
              <w:t>。</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4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改变燃气用途或者转供燃气</w:t>
            </w:r>
          </w:p>
        </w:tc>
        <w:tc>
          <w:tcPr>
            <w:tcW w:w="2789"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发生在人口集中地区或人员密集场所的，系数4；2.导致相关燃气安全事故或者存在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未设立售后服务站点或者未配备经考核合格的燃气燃烧器具安装、维修人员</w:t>
            </w:r>
          </w:p>
        </w:tc>
        <w:tc>
          <w:tcPr>
            <w:tcW w:w="2789"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rPr>
            </w:pPr>
          </w:p>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燃气燃烧器具的安装、维修不符合国家有关标准</w:t>
            </w:r>
          </w:p>
        </w:tc>
        <w:tc>
          <w:tcPr>
            <w:tcW w:w="2789" w:type="dxa"/>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违法行为持续时间超过半年的，系数4；1年以上</w:t>
            </w:r>
            <w:r>
              <w:rPr>
                <w:rFonts w:hint="eastAsia" w:ascii="宋体" w:hAnsi="宋体" w:eastAsia="宋体" w:cs="宋体"/>
                <w:color w:val="auto"/>
                <w:kern w:val="0"/>
                <w:sz w:val="15"/>
                <w:szCs w:val="15"/>
                <w:highlight w:val="none"/>
                <w:lang w:eastAsia="zh-CN"/>
              </w:rPr>
              <w:t>的</w:t>
            </w:r>
            <w:r>
              <w:rPr>
                <w:rFonts w:hint="eastAsia" w:ascii="宋体" w:hAnsi="宋体" w:eastAsia="宋体" w:cs="宋体"/>
                <w:color w:val="auto"/>
                <w:kern w:val="0"/>
                <w:sz w:val="15"/>
                <w:szCs w:val="15"/>
                <w:highlight w:val="none"/>
              </w:rPr>
              <w:t>，系数9；2.未按燃气管理部门要求整改，或整改后再次发生类似违法行为的，系数9；3.发生相关燃气安全事故的，系数9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hint="eastAsia" w:ascii="宋体" w:hAnsi="宋体" w:eastAsia="宋体" w:cs="仿宋_GB2312"/>
                <w:strike w:val="0"/>
                <w:dstrike w:val="0"/>
                <w:color w:val="auto"/>
                <w:sz w:val="15"/>
                <w:szCs w:val="15"/>
                <w:highlight w:val="none"/>
              </w:rPr>
            </w:pPr>
            <w:r>
              <w:rPr>
                <w:rFonts w:hint="eastAsia" w:ascii="宋体" w:hAnsi="宋体" w:eastAsia="宋体" w:cs="仿宋_GB2312"/>
                <w:strike w:val="0"/>
                <w:dstrike w:val="0"/>
                <w:color w:val="auto"/>
                <w:sz w:val="15"/>
                <w:szCs w:val="15"/>
                <w:highlight w:val="none"/>
              </w:rPr>
              <w:t>逾期不改正的情形，不</w:t>
            </w:r>
            <w:r>
              <w:rPr>
                <w:rFonts w:hint="eastAsia" w:ascii="宋体" w:hAnsi="宋体" w:eastAsia="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eastAsia="宋体" w:cs="仿宋_GB2312"/>
                <w:strike w:val="0"/>
                <w:dstrike w:val="0"/>
                <w:color w:val="auto"/>
                <w:sz w:val="15"/>
                <w:szCs w:val="15"/>
                <w:highlight w:val="none"/>
                <w:lang w:eastAsia="zh-CN"/>
              </w:rPr>
              <w:t>情节系数</w:t>
            </w:r>
            <w:r>
              <w:rPr>
                <w:rFonts w:hint="eastAsia" w:ascii="宋体" w:hAnsi="宋体" w:eastAsia="宋体" w:cs="仿宋_GB2312"/>
                <w:strike w:val="0"/>
                <w:dstrike w:val="0"/>
                <w:color w:val="auto"/>
                <w:sz w:val="15"/>
                <w:szCs w:val="15"/>
                <w:highlight w:val="none"/>
              </w:rPr>
              <w:t>。</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对单位1万元以下的处罚和对个人的处罚，按照案件情况进行裁量。</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6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在燃气设施保护范围内进行爆破取土等作业或者动用明火</w:t>
            </w:r>
          </w:p>
        </w:tc>
        <w:tc>
          <w:tcPr>
            <w:tcW w:w="2789" w:type="dxa"/>
            <w:vMerge w:val="restart"/>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违反条款：第三十三条第二款第（二）项；处罚条款：第五十条第一款第（一）项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vMerge w:val="continue"/>
            <w:noWrap w:val="0"/>
            <w:vAlign w:val="center"/>
          </w:tcPr>
          <w:p>
            <w:pPr>
              <w:spacing w:line="190" w:lineRule="exact"/>
              <w:rPr>
                <w:rFonts w:ascii="宋体" w:hAnsi="宋体" w:eastAsia="宋体" w:cs="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在燃气设施保护范围内倾倒、排放腐蚀性物质</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违反条款：第三十三条第二款第（三）项；处罚条款：第五十条第一款第（二）项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在燃气设施保护范围内放置易燃易爆物品或者种植深根植物</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违反条款：第三十三条第二款第（四）项；处罚条款：第五十条第一款第（三）项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损坏燃气设施或者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影响用气情形的，系数7；</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color w:val="auto"/>
                <w:kern w:val="0"/>
                <w:sz w:val="15"/>
                <w:szCs w:val="15"/>
                <w:highlight w:val="none"/>
              </w:rPr>
              <w:t>安全隐患</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严重影响用气情形的，系数9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在燃气设施保护范围内擅自从事敷设管道、打桩、顶进、挖掘、钻探等可能影响燃气设施安全活动</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违反条款：第三十四条；处罚条款：第五十条第一款第（四）项 责令停止违法行为，限期恢复原状或者采取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影响用气情形的，系数0.5；</w:t>
            </w:r>
            <w:r>
              <w:rPr>
                <w:rFonts w:hint="eastAsia" w:ascii="宋体" w:hAnsi="宋体" w:eastAsia="宋体" w:cs="宋体"/>
                <w:b w:val="0"/>
                <w:bCs w:val="0"/>
                <w:color w:val="auto"/>
                <w:kern w:val="0"/>
                <w:sz w:val="15"/>
                <w:szCs w:val="15"/>
                <w:highlight w:val="none"/>
                <w:lang w:val="en-US" w:eastAsia="zh-CN"/>
              </w:rPr>
              <w:t>2.燃气设施为高压管线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restart"/>
            <w:noWrap w:val="0"/>
            <w:vAlign w:val="center"/>
          </w:tcPr>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17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1.燃气设施为高压管线，系数4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.损坏燃气设施或者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影响用气情形的，系数7；</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严重影响用气情形的，系数9</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70"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lang w:eastAsia="zh-CN"/>
              </w:rPr>
              <w:t>造成燃气设施损坏的，优先适用“</w:t>
            </w:r>
            <w:r>
              <w:rPr>
                <w:rFonts w:hint="eastAsia" w:ascii="宋体" w:hAnsi="宋体" w:eastAsia="宋体"/>
                <w:strike w:val="0"/>
                <w:dstrike w:val="0"/>
                <w:color w:val="auto"/>
                <w:sz w:val="15"/>
                <w:szCs w:val="15"/>
                <w:highlight w:val="none"/>
              </w:rPr>
              <w:t>侵占、毁损、擅自拆除、移动燃气设施</w:t>
            </w:r>
            <w:r>
              <w:rPr>
                <w:rFonts w:hint="eastAsia" w:ascii="宋体" w:hAnsi="宋体" w:eastAsia="宋体" w:cs="宋体"/>
                <w:strike w:val="0"/>
                <w:dstrike w:val="0"/>
                <w:color w:val="auto"/>
                <w:kern w:val="0"/>
                <w:sz w:val="15"/>
                <w:szCs w:val="15"/>
                <w:highlight w:val="none"/>
                <w:lang w:eastAsia="zh-CN"/>
              </w:rPr>
              <w:t>”案由。</w:t>
            </w:r>
          </w:p>
        </w:tc>
        <w:tc>
          <w:tcPr>
            <w:tcW w:w="897" w:type="dxa"/>
            <w:gridSpan w:val="2"/>
            <w:vMerge w:val="continue"/>
            <w:noWrap w:val="0"/>
            <w:vAlign w:val="center"/>
          </w:tcPr>
          <w:p>
            <w:pPr>
              <w:spacing w:line="17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6"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侵占、毁损、擅自拆除、移动燃气设施</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违反条款：第三十六条第一款；处罚条款：第五十一条第一款 责令限期改正，恢复原状或者采取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擅自改动市政燃气设施</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pStyle w:val="22"/>
              <w:ind w:left="0" w:leftChars="0" w:firstLine="0" w:firstLineChars="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olor w:val="auto"/>
                <w:sz w:val="15"/>
                <w:szCs w:val="15"/>
                <w:highlight w:val="none"/>
              </w:rPr>
            </w:pPr>
            <w:r>
              <w:rPr>
                <w:rFonts w:hint="eastAsia" w:ascii="宋体" w:hAnsi="宋体" w:eastAsia="宋体"/>
                <w:color w:val="auto"/>
                <w:spacing w:val="-4"/>
                <w:sz w:val="15"/>
                <w:szCs w:val="15"/>
                <w:highlight w:val="none"/>
              </w:rPr>
              <w:t>违反条款：第三十八条第一款；处罚条款：第五十一条第一款 责令限期改正，恢复原状或者采取</w:t>
            </w:r>
            <w:r>
              <w:rPr>
                <w:rFonts w:hint="eastAsia" w:ascii="宋体" w:hAnsi="宋体" w:eastAsia="宋体"/>
                <w:color w:val="auto"/>
                <w:spacing w:val="-4"/>
                <w:sz w:val="15"/>
                <w:szCs w:val="15"/>
                <w:highlight w:val="none"/>
                <w:lang w:eastAsia="zh-CN"/>
              </w:rPr>
              <w:t>其他</w:t>
            </w:r>
            <w:r>
              <w:rPr>
                <w:rFonts w:hint="eastAsia" w:ascii="宋体" w:hAnsi="宋体" w:eastAsia="宋体"/>
                <w:color w:val="auto"/>
                <w:spacing w:val="-4"/>
                <w:sz w:val="15"/>
                <w:szCs w:val="15"/>
                <w:highlight w:val="none"/>
              </w:rPr>
              <w:t>补救措施，对单位处5万元以上10万元以下罚款，对个人处5000元以上5万元以下罚款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color w:val="auto"/>
                <w:kern w:val="0"/>
                <w:sz w:val="15"/>
                <w:szCs w:val="15"/>
                <w:highlight w:val="none"/>
              </w:rPr>
              <w:t>安全隐患</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或者</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严重影响用气情形的，系数</w:t>
            </w:r>
            <w:r>
              <w:rPr>
                <w:rFonts w:hint="eastAsia" w:ascii="宋体" w:hAnsi="宋体" w:eastAsia="宋体" w:cs="宋体"/>
                <w:b w:val="0"/>
                <w:bCs w:val="0"/>
                <w:color w:val="auto"/>
                <w:kern w:val="0"/>
                <w:sz w:val="15"/>
                <w:szCs w:val="15"/>
                <w:highlight w:val="none"/>
                <w:lang w:val="en-US" w:eastAsia="zh-CN"/>
              </w:rPr>
              <w:t>9；3</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毁损、覆盖、涂改、擅自拆除或者移动燃气设施安全警示标志</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违反条款：第三十六条第一款；处罚条款：第五十一条第二款 责令限期改正，恢复原状，可以处5000元以下罚款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w:t>
            </w:r>
            <w:r>
              <w:rPr>
                <w:rFonts w:hint="eastAsia" w:ascii="宋体" w:hAnsi="宋体" w:eastAsia="宋体" w:cs="宋体"/>
                <w:color w:val="auto"/>
                <w:kern w:val="0"/>
                <w:sz w:val="15"/>
                <w:szCs w:val="15"/>
                <w:highlight w:val="none"/>
              </w:rPr>
              <w:t xml:space="preserve"> 发生在人口集中地区或人员密集场所的，系数2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.导致相关燃气安全事故的，系数4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处以1000元以下的罚款。按照办法规定和实际情况执行。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29</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建设单位未会同施工单位与管道燃气经营者共同制定燃气设施保护方案</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建设单位、施工单位未采取安全保护措施，确保燃气设施运行安全</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违反条款：第三十七条第三款；处罚条款：第五十二条 责令改正，处1万元以上10万元以下罚款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6"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68" w:name="_Toc1968530984"/>
            <w:bookmarkStart w:id="69" w:name="_Toc2063405547"/>
            <w:bookmarkStart w:id="70" w:name="_Toc110851458"/>
            <w:r>
              <w:rPr>
                <w:rFonts w:hint="eastAsia" w:ascii="宋体" w:hAnsi="宋体" w:eastAsia="宋体"/>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未取得燃气经营许可从事燃气经营活动</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处罚条款：第五十五条第一款 责令停止违法行为，处五万元以上五十万元以下罚款；有违法所得的，没收违法所得。</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rPr>
              <w:t>1.跨区级区域经营或者违规经营规模较大(气瓶数量超过28个)，系数5；</w:t>
            </w:r>
            <w:r>
              <w:rPr>
                <w:rFonts w:hint="eastAsia" w:ascii="宋体" w:hAnsi="宋体" w:eastAsia="宋体" w:cs="宋体"/>
                <w:color w:val="auto"/>
                <w:kern w:val="0"/>
                <w:sz w:val="15"/>
                <w:szCs w:val="15"/>
                <w:highlight w:val="none"/>
                <w:lang w:val="en-US" w:eastAsia="zh-CN"/>
              </w:rPr>
              <w:t>2</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经营场所在人口集中地区、人员密集场所</w:t>
            </w:r>
            <w:r>
              <w:rPr>
                <w:rFonts w:hint="eastAsia" w:ascii="宋体" w:hAnsi="宋体" w:eastAsia="宋体" w:cs="宋体"/>
                <w:color w:val="auto"/>
                <w:kern w:val="0"/>
                <w:sz w:val="15"/>
                <w:szCs w:val="15"/>
                <w:highlight w:val="none"/>
                <w:lang w:eastAsia="zh-CN"/>
              </w:rPr>
              <w:t>或者邻近电力、管线等需要特殊保护的场所的</w:t>
            </w:r>
            <w:r>
              <w:rPr>
                <w:rFonts w:hint="eastAsia" w:ascii="宋体" w:hAnsi="宋体" w:eastAsia="宋体" w:cs="宋体"/>
                <w:color w:val="auto"/>
                <w:kern w:val="0"/>
                <w:sz w:val="15"/>
                <w:szCs w:val="15"/>
                <w:highlight w:val="none"/>
              </w:rPr>
              <w:t>，</w:t>
            </w:r>
            <w:r>
              <w:rPr>
                <w:rFonts w:hint="eastAsia" w:ascii="宋体" w:hAnsi="宋体" w:eastAsia="宋体" w:cs="宋体"/>
                <w:strike w:val="0"/>
                <w:dstrike w:val="0"/>
                <w:color w:val="auto"/>
                <w:kern w:val="0"/>
                <w:sz w:val="15"/>
                <w:szCs w:val="15"/>
                <w:highlight w:val="none"/>
              </w:rPr>
              <w:t>系数5</w:t>
            </w:r>
            <w:r>
              <w:rPr>
                <w:rFonts w:hint="eastAsia" w:ascii="宋体" w:hAnsi="宋体" w:eastAsia="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.持续时间超过</w:t>
            </w:r>
            <w:r>
              <w:rPr>
                <w:rFonts w:hint="eastAsia" w:ascii="宋体" w:hAnsi="宋体" w:eastAsia="宋体" w:cs="宋体"/>
                <w:b w:val="0"/>
                <w:bCs w:val="0"/>
                <w:strike w:val="0"/>
                <w:dstrike w:val="0"/>
                <w:color w:val="auto"/>
                <w:kern w:val="0"/>
                <w:sz w:val="15"/>
                <w:szCs w:val="15"/>
                <w:highlight w:val="none"/>
                <w:u w:val="none"/>
                <w:lang w:val="en-US" w:eastAsia="zh-CN"/>
              </w:rPr>
              <w:t>2个月的</w:t>
            </w:r>
            <w:r>
              <w:rPr>
                <w:rFonts w:hint="eastAsia" w:ascii="宋体" w:hAnsi="宋体" w:eastAsia="宋体" w:cs="宋体"/>
                <w:b w:val="0"/>
                <w:bCs w:val="0"/>
                <w:color w:val="auto"/>
                <w:kern w:val="0"/>
                <w:sz w:val="15"/>
                <w:szCs w:val="15"/>
                <w:highlight w:val="none"/>
                <w:u w:val="none"/>
              </w:rPr>
              <w:t>，系数</w:t>
            </w:r>
            <w:r>
              <w:rPr>
                <w:rFonts w:hint="eastAsia" w:ascii="宋体" w:hAnsi="宋体" w:eastAsia="宋体" w:cs="宋体"/>
                <w:b w:val="0"/>
                <w:bCs w:val="0"/>
                <w:color w:val="auto"/>
                <w:kern w:val="0"/>
                <w:sz w:val="15"/>
                <w:szCs w:val="15"/>
                <w:highlight w:val="none"/>
                <w:u w:val="none"/>
                <w:lang w:val="en-US" w:eastAsia="zh-CN"/>
              </w:rPr>
              <w:t>3</w:t>
            </w:r>
            <w:r>
              <w:rPr>
                <w:rFonts w:hint="eastAsia" w:ascii="宋体" w:hAnsi="宋体" w:eastAsia="宋体" w:cs="宋体"/>
                <w:b w:val="0"/>
                <w:bCs w:val="0"/>
                <w:color w:val="auto"/>
                <w:kern w:val="0"/>
                <w:sz w:val="15"/>
                <w:szCs w:val="15"/>
                <w:highlight w:val="none"/>
                <w:u w:val="none"/>
              </w:rPr>
              <w:t>；</w:t>
            </w:r>
            <w:r>
              <w:rPr>
                <w:rFonts w:hint="eastAsia" w:ascii="宋体" w:hAnsi="宋体" w:eastAsia="宋体" w:cs="宋体"/>
                <w:b w:val="0"/>
                <w:bCs w:val="0"/>
                <w:color w:val="auto"/>
                <w:kern w:val="0"/>
                <w:sz w:val="15"/>
                <w:szCs w:val="15"/>
                <w:highlight w:val="none"/>
                <w:u w:val="none"/>
                <w:lang w:eastAsia="zh-CN"/>
              </w:rPr>
              <w:t>超过半年的</w:t>
            </w:r>
            <w:r>
              <w:rPr>
                <w:rFonts w:hint="eastAsia" w:ascii="宋体" w:hAnsi="宋体" w:eastAsia="宋体" w:cs="宋体"/>
                <w:b w:val="0"/>
                <w:bCs w:val="0"/>
                <w:color w:val="auto"/>
                <w:kern w:val="0"/>
                <w:sz w:val="15"/>
                <w:szCs w:val="15"/>
                <w:highlight w:val="none"/>
                <w:u w:val="none"/>
                <w:lang w:val="en-US" w:eastAsia="zh-CN"/>
              </w:rPr>
              <w:t>，</w:t>
            </w:r>
            <w:r>
              <w:rPr>
                <w:rFonts w:hint="eastAsia" w:ascii="宋体" w:hAnsi="宋体" w:eastAsia="宋体" w:cs="宋体"/>
                <w:b w:val="0"/>
                <w:bCs w:val="0"/>
                <w:color w:val="auto"/>
                <w:kern w:val="0"/>
                <w:sz w:val="15"/>
                <w:szCs w:val="15"/>
                <w:highlight w:val="none"/>
                <w:u w:val="none"/>
                <w:lang w:eastAsia="zh-CN"/>
              </w:rPr>
              <w:t>系数</w:t>
            </w:r>
            <w:r>
              <w:rPr>
                <w:rFonts w:hint="eastAsia" w:ascii="宋体" w:hAnsi="宋体" w:eastAsia="宋体" w:cs="宋体"/>
                <w:b w:val="0"/>
                <w:bCs w:val="0"/>
                <w:color w:val="auto"/>
                <w:kern w:val="0"/>
                <w:sz w:val="15"/>
                <w:szCs w:val="15"/>
                <w:highlight w:val="none"/>
                <w:u w:val="none"/>
                <w:lang w:val="en-US" w:eastAsia="zh-CN"/>
              </w:rPr>
              <w:t>6；</w:t>
            </w:r>
            <w:r>
              <w:rPr>
                <w:rFonts w:hint="eastAsia" w:ascii="宋体" w:hAnsi="宋体" w:eastAsia="宋体" w:cs="宋体"/>
                <w:b w:val="0"/>
                <w:bCs w:val="0"/>
                <w:color w:val="auto"/>
                <w:kern w:val="0"/>
                <w:sz w:val="15"/>
                <w:szCs w:val="15"/>
                <w:highlight w:val="none"/>
                <w:u w:val="none"/>
              </w:rPr>
              <w:t>1年以上，系数9；</w:t>
            </w:r>
            <w:r>
              <w:rPr>
                <w:rFonts w:hint="eastAsia" w:ascii="宋体" w:hAnsi="宋体" w:eastAsia="宋体" w:cs="宋体"/>
                <w:color w:val="auto"/>
                <w:kern w:val="0"/>
                <w:sz w:val="15"/>
                <w:szCs w:val="15"/>
                <w:highlight w:val="none"/>
                <w:lang w:val="en-US" w:eastAsia="zh-CN"/>
              </w:rPr>
              <w:t>4</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rPr>
              <w:t>发生燃气安全事故的，系数9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燃气供应企业不按照燃气经营许可决定的要求从事燃气经营活动</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违反条款：第十六条第四款；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p>
            <w:pPr>
              <w:spacing w:line="232" w:lineRule="exact"/>
              <w:rPr>
                <w:rFonts w:ascii="宋体" w:hAnsi="宋体" w:eastAsia="宋体" w:cs="仿宋_GB2312"/>
                <w:color w:val="auto"/>
                <w:kern w:val="0"/>
                <w:sz w:val="15"/>
                <w:szCs w:val="15"/>
                <w:highlight w:val="none"/>
              </w:rPr>
            </w:pP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6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燃气供应企业不符合燃气经营许可条件要求从事燃气经营活动</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违反条款：第十六条第二款；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30000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宋体"/>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安全隐患的，系数6</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罚款数额＝30000×（1＋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autoSpaceDE w:val="0"/>
              <w:spacing w:before="100" w:beforeAutospacing="1" w:after="100" w:afterAutospacing="1"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keepNext w:val="0"/>
              <w:keepLines w:val="0"/>
              <w:pageBreakBefore w:val="0"/>
              <w:widowControl w:val="0"/>
              <w:kinsoku/>
              <w:wordWrap/>
              <w:overflowPunct/>
              <w:topLinePunct w:val="0"/>
              <w:autoSpaceDN/>
              <w:bidi w:val="0"/>
              <w:adjustRightInd/>
              <w:snapToGrid/>
              <w:spacing w:beforeAutospacing="0" w:afterAutospacing="0" w:line="232" w:lineRule="exact"/>
              <w:jc w:val="center"/>
              <w:textAlignment w:val="auto"/>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keepNext w:val="0"/>
              <w:keepLines w:val="0"/>
              <w:pageBreakBefore w:val="0"/>
              <w:widowControl w:val="0"/>
              <w:kinsoku/>
              <w:wordWrap/>
              <w:overflowPunct/>
              <w:topLinePunct w:val="0"/>
              <w:autoSpaceDE w:val="0"/>
              <w:autoSpaceDN/>
              <w:bidi w:val="0"/>
              <w:adjustRightInd/>
              <w:snapToGrid/>
              <w:spacing w:beforeAutospacing="0" w:afterAutospacing="0"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燃气供应企业违反规定情形与非居民用户签订供用气合同（进行供气）</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第二十条（一）（二）（三）项（根据实际情况选择适用）；</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pacing w:val="-4"/>
                <w:kern w:val="0"/>
                <w:sz w:val="15"/>
                <w:szCs w:val="15"/>
                <w:highlight w:val="none"/>
              </w:rPr>
            </w:pPr>
            <w:r>
              <w:rPr>
                <w:rFonts w:hint="eastAsia" w:ascii="宋体" w:hAnsi="宋体" w:eastAsia="宋体" w:cs="仿宋_GB2312"/>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ascii="宋体" w:hAnsi="宋体" w:eastAsia="宋体" w:cs="仿宋_GB2312"/>
                <w:color w:val="auto"/>
                <w:spacing w:val="-4"/>
                <w:kern w:val="0"/>
                <w:sz w:val="15"/>
                <w:szCs w:val="15"/>
                <w:highlight w:val="none"/>
                <w:lang w:eastAsia="zh-CN"/>
              </w:rPr>
              <w:t>其他</w:t>
            </w:r>
            <w:r>
              <w:rPr>
                <w:rFonts w:hint="eastAsia" w:ascii="宋体" w:hAnsi="宋体" w:eastAsia="宋体" w:cs="仿宋_GB2312"/>
                <w:color w:val="auto"/>
                <w:spacing w:val="-4"/>
                <w:kern w:val="0"/>
                <w:sz w:val="15"/>
                <w:szCs w:val="15"/>
                <w:highlight w:val="none"/>
              </w:rPr>
              <w:t>严重影响用气情形的，系数4</w:t>
            </w:r>
            <w:r>
              <w:rPr>
                <w:rFonts w:hint="eastAsia" w:ascii="宋体" w:hAnsi="宋体" w:eastAsia="宋体" w:cs="仿宋_GB2312"/>
                <w:color w:val="auto"/>
                <w:spacing w:val="-4"/>
                <w:kern w:val="0"/>
                <w:sz w:val="15"/>
                <w:szCs w:val="15"/>
                <w:highlight w:val="none"/>
                <w:lang w:eastAsia="zh-CN"/>
              </w:rPr>
              <w:t>；</w:t>
            </w:r>
            <w:r>
              <w:rPr>
                <w:rFonts w:hint="eastAsia" w:ascii="宋体" w:hAnsi="宋体" w:eastAsia="宋体" w:cs="仿宋_GB2312"/>
                <w:color w:val="auto"/>
                <w:spacing w:val="-4"/>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燃气供应企业未向用户提供安全、稳定、质量合格和价格合理的服务</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1.违规经营时间较长（超过半年），规模较大</w:t>
            </w:r>
            <w:r>
              <w:rPr>
                <w:rFonts w:hint="eastAsia" w:ascii="宋体" w:hAnsi="宋体" w:eastAsia="宋体" w:cs="宋体"/>
                <w:b w:val="0"/>
                <w:bCs w:val="0"/>
                <w:strike w:val="0"/>
                <w:dstrike w:val="0"/>
                <w:color w:val="auto"/>
                <w:sz w:val="15"/>
                <w:szCs w:val="15"/>
                <w:highlight w:val="none"/>
                <w:lang w:val="en-US" w:eastAsia="zh-CN"/>
              </w:rPr>
              <w:t>（违规气瓶数量超过28个）</w:t>
            </w:r>
            <w:r>
              <w:rPr>
                <w:rFonts w:hint="eastAsia" w:ascii="宋体" w:hAnsi="宋体" w:eastAsia="宋体" w:cs="仿宋_GB2312"/>
                <w:color w:val="auto"/>
                <w:kern w:val="0"/>
                <w:sz w:val="15"/>
                <w:szCs w:val="15"/>
                <w:highlight w:val="none"/>
              </w:rPr>
              <w:t>，或者经营场所在人口集中地区</w:t>
            </w:r>
            <w:r>
              <w:rPr>
                <w:rFonts w:hint="eastAsia" w:ascii="宋体" w:hAnsi="宋体" w:eastAsia="宋体" w:cs="宋体"/>
                <w:color w:val="auto"/>
                <w:kern w:val="0"/>
                <w:sz w:val="15"/>
                <w:szCs w:val="15"/>
                <w:highlight w:val="none"/>
              </w:rPr>
              <w:t>、人员密集场所</w:t>
            </w:r>
            <w:r>
              <w:rPr>
                <w:rFonts w:hint="eastAsia" w:ascii="宋体" w:hAnsi="宋体" w:eastAsia="宋体" w:cs="仿宋_GB2312"/>
                <w:color w:val="auto"/>
                <w:kern w:val="0"/>
                <w:sz w:val="15"/>
                <w:szCs w:val="15"/>
                <w:highlight w:val="none"/>
              </w:rPr>
              <w:t>的，系数2；2.未按燃气管理部门要求整改，或整改后再次发生类似违法行为的，系数4；3.发生燃气安全事故</w:t>
            </w:r>
            <w:r>
              <w:rPr>
                <w:rFonts w:hint="eastAsia" w:ascii="宋体" w:hAnsi="宋体" w:eastAsia="宋体" w:cs="仿宋_GB2312"/>
                <w:color w:val="auto"/>
                <w:kern w:val="0"/>
                <w:sz w:val="15"/>
                <w:szCs w:val="15"/>
                <w:highlight w:val="none"/>
                <w:lang w:eastAsia="zh-CN"/>
              </w:rPr>
              <w:t>或者</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17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5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燃气供应企业未建立和完善安全保障制度并遵守相关规定</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w:t>
            </w:r>
            <w:r>
              <w:rPr>
                <w:rFonts w:hint="eastAsia" w:ascii="宋体" w:hAnsi="宋体" w:eastAsia="宋体" w:cs="仿宋_GB2312"/>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ascii="宋体" w:hAnsi="宋体" w:eastAsia="宋体" w:cs="仿宋_GB2312"/>
                <w:color w:val="auto"/>
                <w:kern w:val="0"/>
                <w:sz w:val="15"/>
                <w:szCs w:val="15"/>
                <w:highlight w:val="none"/>
                <w:shd w:val="clear" w:color="auto" w:fill="FFFFFF"/>
                <w:lang w:eastAsia="zh-CN"/>
              </w:rPr>
              <w:t>其他</w:t>
            </w:r>
            <w:r>
              <w:rPr>
                <w:rFonts w:hint="eastAsia" w:ascii="宋体" w:hAnsi="宋体" w:eastAsia="宋体" w:cs="仿宋_GB2312"/>
                <w:color w:val="auto"/>
                <w:kern w:val="0"/>
                <w:sz w:val="15"/>
                <w:szCs w:val="15"/>
                <w:highlight w:val="none"/>
                <w:shd w:val="clear" w:color="auto" w:fill="FFFFFF"/>
              </w:rPr>
              <w:t>严重影响用气情形的，系数4</w:t>
            </w:r>
            <w:r>
              <w:rPr>
                <w:rFonts w:hint="eastAsia" w:ascii="宋体" w:hAnsi="宋体" w:eastAsia="宋体" w:cs="仿宋_GB2312"/>
                <w:color w:val="auto"/>
                <w:kern w:val="0"/>
                <w:sz w:val="15"/>
                <w:szCs w:val="15"/>
                <w:highlight w:val="none"/>
                <w:shd w:val="clear" w:color="auto" w:fill="FFFFFF"/>
                <w:lang w:eastAsia="zh-CN"/>
              </w:rPr>
              <w:t>；</w:t>
            </w:r>
            <w:r>
              <w:rPr>
                <w:rFonts w:hint="eastAsia" w:ascii="宋体" w:hAnsi="宋体" w:eastAsia="宋体" w:cs="仿宋_GB2312"/>
                <w:color w:val="auto"/>
                <w:kern w:val="0"/>
                <w:sz w:val="15"/>
                <w:szCs w:val="15"/>
                <w:highlight w:val="none"/>
                <w:shd w:val="clear" w:color="auto" w:fill="FFFFFF"/>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1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燃气供应企业未建立健全用户服务制度、规范服务行为并遵守相关规定</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违反条款：第二十三条第（一）（二）（三）（四）（五）（六）（七）项（根据实际违法情形选择）；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ascii="宋体" w:hAnsi="宋体" w:eastAsia="宋体" w:cs="仿宋_GB2312"/>
                <w:color w:val="auto"/>
                <w:kern w:val="0"/>
                <w:sz w:val="15"/>
                <w:szCs w:val="15"/>
                <w:highlight w:val="none"/>
                <w:lang w:eastAsia="zh-CN"/>
              </w:rPr>
              <w:t>做好</w:t>
            </w:r>
            <w:r>
              <w:rPr>
                <w:rFonts w:hint="eastAsia" w:ascii="宋体" w:hAnsi="宋体" w:eastAsia="宋体" w:cs="仿宋_GB2312"/>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燃气供应企业销售瓶装液化石油气未如实记录用户基本信息以及用户持有气瓶的数量、定期检验周期和报废期限等情况</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燃气供应企业未在用户持有的气瓶定期检验周期、报废期限到期前三十日内通知用户将气瓶送交处理</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违反条款：第二十四条第二款；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1.未在气瓶报废期限到期前通知用户的，系数3-4；2.两次以上未在定期检验周期到期前通知用户的，系数2-4；3.发生燃气事故，或者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b/>
                <w:bCs/>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4"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燃气供应企业对非居民用户未直接配送、安装气瓶，并对其用气场所、燃气设施和用气设备进行安全检查</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1.同时存在未直接配送、安装、进行安全检查两种情形的，系数1；同时存在三种情形的，系数2-4；2.发生燃气事故，或者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11</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燃气供应企业未对直接配送瓶装液化石油气居民用户的用气场所、燃气设施和用气设备进行安全检查</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违反条款：第二十五条第二款；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1.两次未进行安全检查，系数2-3；三次及以上未进行安全检查，系数4；2.影响正常用气的，系数2-3；3.发生燃气事故，或者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dstrike/>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3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12</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燃气供应企业销售瓶装燃气未遵守相关规定</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13</w:t>
            </w:r>
          </w:p>
        </w:tc>
        <w:tc>
          <w:tcPr>
            <w:tcW w:w="1830" w:type="dxa"/>
            <w:gridSpan w:val="3"/>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燃气供应企业未按要求对燃气用户暂停供气或者限制购气并进行报告</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ascii="宋体" w:hAnsi="宋体" w:eastAsia="宋体" w:cs="仿宋_GB2312"/>
                <w:color w:val="auto"/>
                <w:kern w:val="0"/>
                <w:sz w:val="15"/>
                <w:szCs w:val="15"/>
                <w:highlight w:val="none"/>
              </w:rPr>
            </w:pPr>
            <w:r>
              <w:rPr>
                <w:rFonts w:hint="eastAsia" w:ascii="宋体" w:hAnsi="宋体" w:eastAsia="宋体" w:cs="宋体"/>
                <w:color w:val="auto"/>
                <w:kern w:val="0"/>
                <w:sz w:val="15"/>
                <w:szCs w:val="15"/>
                <w:highlight w:val="none"/>
                <w:lang w:eastAsia="zh-CN"/>
              </w:rPr>
              <w:t>存在以下情形之一的，可视为情节严重：</w:t>
            </w:r>
            <w:r>
              <w:rPr>
                <w:rFonts w:hint="eastAsia" w:ascii="宋体" w:hAnsi="宋体" w:eastAsia="宋体"/>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ascii="宋体" w:hAnsi="宋体" w:eastAsia="宋体" w:cs="宋体"/>
                <w:color w:val="auto"/>
                <w:kern w:val="0"/>
                <w:sz w:val="15"/>
                <w:szCs w:val="15"/>
                <w:highlight w:val="none"/>
              </w:rPr>
              <w:t>拟作出吊销处罚的，作出处罚决定前，要邀请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部门共同会商；对于可能影响公共利益的，提请</w:t>
            </w:r>
            <w:r>
              <w:rPr>
                <w:rFonts w:hint="eastAsia" w:ascii="宋体" w:hAnsi="宋体" w:eastAsia="宋体" w:cs="宋体"/>
                <w:color w:val="auto"/>
                <w:kern w:val="0"/>
                <w:sz w:val="15"/>
                <w:szCs w:val="15"/>
                <w:highlight w:val="none"/>
                <w:lang w:eastAsia="zh-CN"/>
              </w:rPr>
              <w:t>行业主管</w:t>
            </w:r>
            <w:r>
              <w:rPr>
                <w:rFonts w:hint="eastAsia" w:ascii="宋体" w:hAnsi="宋体" w:eastAsia="宋体" w:cs="宋体"/>
                <w:color w:val="auto"/>
                <w:kern w:val="0"/>
                <w:sz w:val="15"/>
                <w:szCs w:val="15"/>
                <w:highlight w:val="none"/>
              </w:rPr>
              <w:t>部门拟定接管方案。</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3"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燃气非居民用户未安装、使用符合要求的燃气燃烧器具及其连接管、燃气泄漏报警装置</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违反条款：第二十七条第一款；</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处罚条款：第五十九条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安装、使用明令淘汰的燃气燃烧器</w:t>
            </w:r>
            <w:r>
              <w:rPr>
                <w:rFonts w:hint="eastAsia" w:ascii="宋体" w:hAnsi="宋体" w:eastAsia="宋体"/>
                <w:color w:val="auto"/>
                <w:sz w:val="15"/>
                <w:szCs w:val="15"/>
                <w:highlight w:val="none"/>
              </w:rPr>
              <w:t>具</w:t>
            </w:r>
            <w:r>
              <w:rPr>
                <w:rFonts w:hint="eastAsia" w:ascii="宋体" w:hAnsi="宋体" w:eastAsia="宋体"/>
                <w:color w:val="auto"/>
                <w:sz w:val="15"/>
                <w:szCs w:val="15"/>
                <w:highlight w:val="none"/>
                <w:lang w:eastAsia="zh-CN"/>
              </w:rPr>
              <w:t>的，系数</w:t>
            </w:r>
            <w:r>
              <w:rPr>
                <w:rFonts w:hint="eastAsia" w:ascii="宋体" w:hAnsi="宋体" w:eastAsia="宋体"/>
                <w:color w:val="auto"/>
                <w:sz w:val="15"/>
                <w:szCs w:val="15"/>
                <w:highlight w:val="none"/>
                <w:lang w:val="en-US" w:eastAsia="zh-CN"/>
              </w:rPr>
              <w:t>2-3</w:t>
            </w:r>
            <w:r>
              <w:rPr>
                <w:rFonts w:hint="eastAsia" w:ascii="宋体" w:hAnsi="宋体" w:eastAsia="宋体"/>
                <w:color w:val="auto"/>
                <w:sz w:val="15"/>
                <w:szCs w:val="15"/>
                <w:highlight w:val="none"/>
                <w:lang w:val="en"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仿宋_GB2312"/>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非居民用户存在燃气使用禁止的行为</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违反条款：第三十条第一款第（一）至（十二）项、第二款（根据实际违法情形选择）；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处罚条款：第六十条第一款 责令限期改正；逾期不改正的，处二万元以上十万元以下罚款。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1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 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16</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居民用户存在燃气使用禁止的行为</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违反条款：第三十条第一款第(一)项至第(九)项、第(十一)项、第(十二)项（根据实际违法情形选择）；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1.同时存在两项（含两项）以上违法行为的，系数2-4；2.违法行为影响正常用气的，系数2-3；3.发生燃气事故，存在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需要作出200元以下罚款决定的，</w:t>
            </w:r>
            <w:r>
              <w:rPr>
                <w:rFonts w:hint="eastAsia" w:ascii="宋体" w:hAnsi="宋体" w:eastAsia="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6"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17</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管道燃气供应企业未按照规范维修、安装、改装、移动或者拆除居民用户专有部分的燃气设施</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违反条款：第三十三条第一款；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1.违法行为影响正常用气的，系数2-3；2.发生燃气事故，存在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严重影响用气情形的，系数4</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罚款数额＝20000×（1＋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lang w:bidi="ar"/>
              </w:rPr>
              <w:t>18</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单位侵占、毁损，擅自拆除、改装、安装、移动燃气设施</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1"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19</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燃气供应企业不按照燃气设施改动许可的要求实施作业</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违反条款：第三十六条第五款；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处罚条款：第六十二条第一款 责令限期改正，恢复原状或者采取其他补救措施，处五万元以上十万元以下罚款。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1.损坏燃气设施或者</w:t>
            </w:r>
            <w:r>
              <w:rPr>
                <w:rFonts w:hint="eastAsia" w:ascii="宋体" w:hAnsi="宋体" w:eastAsia="宋体" w:cs="仿宋_GB2312"/>
                <w:strike w:val="0"/>
                <w:dstrike w:val="0"/>
                <w:color w:val="auto"/>
                <w:kern w:val="0"/>
                <w:sz w:val="15"/>
                <w:szCs w:val="15"/>
                <w:highlight w:val="none"/>
                <w:lang w:eastAsia="zh-CN"/>
              </w:rPr>
              <w:t>存在</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影响用气情形的，系数0.5；2.发生燃气事故</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color w:val="auto"/>
                <w:kern w:val="0"/>
                <w:sz w:val="15"/>
                <w:szCs w:val="15"/>
                <w:highlight w:val="none"/>
              </w:rPr>
              <w:t>安全隐患</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rPr>
              <w:t>或者</w:t>
            </w:r>
            <w:r>
              <w:rPr>
                <w:rFonts w:hint="eastAsia" w:ascii="宋体" w:hAnsi="宋体" w:eastAsia="宋体" w:cs="仿宋_GB2312"/>
                <w:color w:val="auto"/>
                <w:kern w:val="0"/>
                <w:sz w:val="15"/>
                <w:szCs w:val="15"/>
                <w:highlight w:val="none"/>
                <w:lang w:eastAsia="zh-CN"/>
              </w:rPr>
              <w:t>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9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20</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个人擅自拆除、改装、安装或者移动户内管道燃气设施</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责令限期改正；逾期不改正的，处一千元以下罚款。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w:t>
            </w:r>
          </w:p>
        </w:tc>
        <w:tc>
          <w:tcPr>
            <w:tcW w:w="840" w:type="dxa"/>
            <w:noWrap w:val="0"/>
            <w:vAlign w:val="center"/>
          </w:tcPr>
          <w:p>
            <w:pPr>
              <w:spacing w:line="232" w:lineRule="exact"/>
              <w:jc w:val="center"/>
              <w:rPr>
                <w:rFonts w:hint="default" w:ascii="宋体" w:hAnsi="宋体" w:eastAsia="宋体" w:cs="仿宋_GB2312"/>
                <w:color w:val="auto"/>
                <w:kern w:val="0"/>
                <w:sz w:val="15"/>
                <w:szCs w:val="15"/>
                <w:highlight w:val="none"/>
                <w:lang w:val="en-US"/>
              </w:rPr>
            </w:pPr>
            <w:r>
              <w:rPr>
                <w:rFonts w:hint="default" w:ascii="宋体" w:hAnsi="宋体" w:eastAsia="宋体" w:cs="仿宋_GB2312"/>
                <w:color w:val="auto"/>
                <w:kern w:val="0"/>
                <w:sz w:val="15"/>
                <w:szCs w:val="15"/>
                <w:highlight w:val="none"/>
                <w:lang w:val="en-US"/>
              </w:rPr>
              <w:t>1</w:t>
            </w:r>
          </w:p>
        </w:tc>
        <w:tc>
          <w:tcPr>
            <w:tcW w:w="3426" w:type="dxa"/>
            <w:noWrap w:val="0"/>
            <w:vAlign w:val="center"/>
          </w:tcPr>
          <w:p>
            <w:pPr>
              <w:numPr>
                <w:ilvl w:val="0"/>
                <w:numId w:val="0"/>
              </w:numPr>
              <w:spacing w:line="232" w:lineRule="exact"/>
              <w:rPr>
                <w:rFonts w:hint="eastAsia" w:ascii="宋体" w:hAnsi="宋体" w:eastAsia="宋体" w:cs="仿宋_GB2312"/>
                <w:strike w:val="0"/>
                <w:dstrike w:val="0"/>
                <w:color w:val="auto"/>
                <w:kern w:val="0"/>
                <w:sz w:val="15"/>
                <w:szCs w:val="15"/>
                <w:highlight w:val="none"/>
              </w:rPr>
            </w:pPr>
            <w:r>
              <w:rPr>
                <w:rFonts w:hint="eastAsia" w:ascii="宋体" w:hAnsi="宋体" w:eastAsia="宋体" w:cs="仿宋_GB2312"/>
                <w:strike w:val="0"/>
                <w:dstrike w:val="0"/>
                <w:color w:val="auto"/>
                <w:kern w:val="0"/>
                <w:sz w:val="15"/>
                <w:szCs w:val="15"/>
                <w:highlight w:val="none"/>
                <w:lang w:val="en-US" w:eastAsia="zh-CN"/>
              </w:rPr>
              <w:t>1.</w:t>
            </w:r>
            <w:r>
              <w:rPr>
                <w:rFonts w:hint="eastAsia" w:ascii="宋体" w:hAnsi="宋体" w:eastAsia="宋体" w:cs="仿宋_GB2312"/>
                <w:strike w:val="0"/>
                <w:dstrike w:val="0"/>
                <w:color w:val="auto"/>
                <w:kern w:val="0"/>
                <w:sz w:val="15"/>
                <w:szCs w:val="15"/>
                <w:highlight w:val="none"/>
              </w:rPr>
              <w:t>损坏燃气设施或者</w:t>
            </w:r>
            <w:r>
              <w:rPr>
                <w:rFonts w:hint="eastAsia" w:ascii="宋体" w:hAnsi="宋体" w:eastAsia="宋体" w:cs="仿宋_GB2312"/>
                <w:strike w:val="0"/>
                <w:dstrike w:val="0"/>
                <w:color w:val="auto"/>
                <w:kern w:val="0"/>
                <w:sz w:val="15"/>
                <w:szCs w:val="15"/>
                <w:highlight w:val="none"/>
                <w:lang w:eastAsia="zh-CN"/>
              </w:rPr>
              <w:t>存在其他</w:t>
            </w:r>
            <w:r>
              <w:rPr>
                <w:rFonts w:hint="eastAsia" w:ascii="宋体" w:hAnsi="宋体" w:eastAsia="宋体" w:cs="仿宋_GB2312"/>
                <w:strike w:val="0"/>
                <w:dstrike w:val="0"/>
                <w:color w:val="auto"/>
                <w:kern w:val="0"/>
                <w:sz w:val="15"/>
                <w:szCs w:val="15"/>
                <w:highlight w:val="none"/>
              </w:rPr>
              <w:t>影响用气情形的，系数5-8；2.发生燃气事故</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strike w:val="0"/>
                <w:dstrike w:val="0"/>
                <w:color w:val="auto"/>
                <w:kern w:val="0"/>
                <w:sz w:val="15"/>
                <w:szCs w:val="15"/>
                <w:highlight w:val="none"/>
              </w:rPr>
              <w:t>安全隐患</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rPr>
              <w:t>或者</w:t>
            </w:r>
            <w:r>
              <w:rPr>
                <w:rFonts w:hint="eastAsia" w:ascii="宋体" w:hAnsi="宋体" w:eastAsia="宋体" w:cs="仿宋_GB2312"/>
                <w:strike w:val="0"/>
                <w:dstrike w:val="0"/>
                <w:color w:val="auto"/>
                <w:kern w:val="0"/>
                <w:sz w:val="15"/>
                <w:szCs w:val="15"/>
                <w:highlight w:val="none"/>
                <w:lang w:eastAsia="zh-CN"/>
              </w:rPr>
              <w:t>其他</w:t>
            </w:r>
            <w:r>
              <w:rPr>
                <w:rFonts w:hint="eastAsia" w:ascii="宋体" w:hAnsi="宋体" w:eastAsia="宋体" w:cs="仿宋_GB2312"/>
                <w:strike w:val="0"/>
                <w:dstrike w:val="0"/>
                <w:color w:val="auto"/>
                <w:kern w:val="0"/>
                <w:sz w:val="15"/>
                <w:szCs w:val="15"/>
                <w:highlight w:val="none"/>
              </w:rPr>
              <w:t>严重影响用气情形的，系数9</w:t>
            </w:r>
            <w:r>
              <w:rPr>
                <w:rFonts w:hint="eastAsia" w:ascii="宋体" w:hAnsi="宋体" w:eastAsia="宋体" w:cs="仿宋_GB2312"/>
                <w:strike w:val="0"/>
                <w:dstrike w:val="0"/>
                <w:color w:val="auto"/>
                <w:kern w:val="0"/>
                <w:sz w:val="15"/>
                <w:szCs w:val="15"/>
                <w:highlight w:val="none"/>
                <w:lang w:eastAsia="zh-CN"/>
              </w:rPr>
              <w:t>；</w:t>
            </w:r>
            <w:r>
              <w:rPr>
                <w:rFonts w:hint="eastAsia" w:ascii="宋体" w:hAnsi="宋体" w:eastAsia="宋体" w:cs="仿宋_GB2312"/>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ascii="宋体" w:hAnsi="宋体" w:eastAsia="宋体" w:cs="仿宋_GB2312"/>
                <w:color w:val="auto"/>
                <w:sz w:val="15"/>
                <w:szCs w:val="15"/>
                <w:highlight w:val="none"/>
              </w:rPr>
            </w:pP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逾期不改正的，才能实施处罚；逾期不改正的情形，不纳入本案由</w:t>
            </w:r>
            <w:r>
              <w:rPr>
                <w:rFonts w:hint="eastAsia" w:ascii="宋体" w:hAnsi="宋体" w:eastAsia="宋体" w:cs="仿宋_GB2312"/>
                <w:color w:val="auto"/>
                <w:kern w:val="0"/>
                <w:sz w:val="15"/>
                <w:szCs w:val="15"/>
                <w:highlight w:val="none"/>
                <w:lang w:eastAsia="zh-CN"/>
              </w:rPr>
              <w:t>情节系数</w:t>
            </w:r>
            <w:r>
              <w:rPr>
                <w:rFonts w:hint="eastAsia" w:ascii="宋体" w:hAnsi="宋体" w:eastAsia="宋体" w:cs="仿宋_GB2312"/>
                <w:color w:val="auto"/>
                <w:kern w:val="0"/>
                <w:sz w:val="15"/>
                <w:szCs w:val="15"/>
                <w:highlight w:val="none"/>
              </w:rPr>
              <w:t>。</w:t>
            </w:r>
          </w:p>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需要作出100元以下罚款决定的，由执法人员说明理由并自行决定。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0"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21</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个人侵占、毁损，擅自拆除、改装、安装或者移动户外燃气设施</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违反条款：第三十六条第一款；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处罚条款：第六十二条第二款 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hint="default" w:ascii="宋体" w:hAnsi="宋体" w:eastAsia="宋体" w:cs="仿宋_GB2312"/>
                <w:color w:val="auto"/>
                <w:sz w:val="15"/>
                <w:szCs w:val="15"/>
                <w:highlight w:val="none"/>
                <w:lang w:val="en-US"/>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500户（含500户）或者非居民用户达到5户（含5户）或者燃气管道为高压管线或者停气时间超过10小时的，系数9；2</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22</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建设单位未在地下管线安全防护信息系统发布施工作业信息</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numPr>
                <w:ilvl w:val="0"/>
                <w:numId w:val="0"/>
              </w:numPr>
              <w:spacing w:line="232" w:lineRule="exact"/>
              <w:rPr>
                <w:rFonts w:hint="eastAsia" w:ascii="宋体" w:hAnsi="宋体" w:eastAsia="宋体" w:cs="仿宋_GB2312"/>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的，系数0.5；</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500户（含500户）或者非居民用户达到5户（含5户）或者燃气管道为高压管线或者停气时间超过10小时的，系数1。2.</w:t>
            </w:r>
            <w:r>
              <w:rPr>
                <w:rFonts w:hint="eastAsia" w:ascii="宋体" w:hAnsi="宋体" w:eastAsia="宋体" w:cs="宋体"/>
                <w:b w:val="0"/>
                <w:bCs w:val="0"/>
                <w:color w:val="auto"/>
                <w:kern w:val="0"/>
                <w:sz w:val="15"/>
                <w:szCs w:val="15"/>
                <w:highlight w:val="none"/>
              </w:rPr>
              <w:t>发生燃气事故</w:t>
            </w:r>
            <w:r>
              <w:rPr>
                <w:rFonts w:hint="eastAsia" w:ascii="宋体" w:hAnsi="宋体" w:eastAsia="宋体" w:cs="宋体"/>
                <w:b w:val="0"/>
                <w:bCs w:val="0"/>
                <w:strike w:val="0"/>
                <w:dstrike w:val="0"/>
                <w:color w:val="auto"/>
                <w:kern w:val="0"/>
                <w:sz w:val="15"/>
                <w:szCs w:val="15"/>
                <w:highlight w:val="none"/>
                <w:lang w:eastAsia="zh-CN"/>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宋体"/>
                <w:b w:val="0"/>
                <w:bCs w:val="0"/>
                <w:strike w:val="0"/>
                <w:dstrike w:val="0"/>
                <w:color w:val="auto"/>
                <w:kern w:val="0"/>
                <w:sz w:val="15"/>
                <w:szCs w:val="15"/>
                <w:highlight w:val="none"/>
              </w:rPr>
              <w:t>安全隐患</w:t>
            </w:r>
            <w:r>
              <w:rPr>
                <w:rFonts w:hint="eastAsia" w:ascii="宋体" w:hAnsi="宋体" w:eastAsia="宋体" w:cs="宋体"/>
                <w:b w:val="0"/>
                <w:bCs w:val="0"/>
                <w:strike w:val="0"/>
                <w:dstrike w:val="0"/>
                <w:color w:val="auto"/>
                <w:kern w:val="0"/>
                <w:sz w:val="15"/>
                <w:szCs w:val="15"/>
                <w:highlight w:val="none"/>
                <w:lang w:eastAsia="zh-CN"/>
              </w:rPr>
              <w:t>，</w:t>
            </w:r>
            <w:r>
              <w:rPr>
                <w:rFonts w:hint="eastAsia" w:ascii="宋体" w:hAnsi="宋体" w:eastAsia="宋体" w:cs="宋体"/>
                <w:b w:val="0"/>
                <w:bCs w:val="0"/>
                <w:strike w:val="0"/>
                <w:dstrike w:val="0"/>
                <w:color w:val="auto"/>
                <w:kern w:val="0"/>
                <w:sz w:val="15"/>
                <w:szCs w:val="15"/>
                <w:highlight w:val="none"/>
              </w:rPr>
              <w:t>或者</w:t>
            </w:r>
            <w:r>
              <w:rPr>
                <w:rFonts w:hint="eastAsia" w:ascii="宋体" w:hAnsi="宋体" w:eastAsia="宋体" w:cs="宋体"/>
                <w:b w:val="0"/>
                <w:bCs w:val="0"/>
                <w:strike w:val="0"/>
                <w:dstrike w:val="0"/>
                <w:color w:val="auto"/>
                <w:kern w:val="0"/>
                <w:sz w:val="15"/>
                <w:szCs w:val="15"/>
                <w:highlight w:val="none"/>
                <w:lang w:eastAsia="zh-CN"/>
              </w:rPr>
              <w:t>其他</w:t>
            </w:r>
            <w:r>
              <w:rPr>
                <w:rFonts w:hint="eastAsia" w:ascii="宋体" w:hAnsi="宋体" w:eastAsia="宋体" w:cs="宋体"/>
                <w:b w:val="0"/>
                <w:bCs w:val="0"/>
                <w:strike w:val="0"/>
                <w:dstrike w:val="0"/>
                <w:color w:val="auto"/>
                <w:kern w:val="0"/>
                <w:sz w:val="15"/>
                <w:szCs w:val="15"/>
                <w:highlight w:val="none"/>
              </w:rPr>
              <w:t>严重</w:t>
            </w:r>
            <w:r>
              <w:rPr>
                <w:rFonts w:hint="eastAsia" w:ascii="宋体" w:hAnsi="宋体" w:eastAsia="宋体" w:cs="宋体"/>
                <w:b w:val="0"/>
                <w:bCs w:val="0"/>
                <w:color w:val="auto"/>
                <w:kern w:val="0"/>
                <w:sz w:val="15"/>
                <w:szCs w:val="15"/>
                <w:highlight w:val="none"/>
              </w:rPr>
              <w:t>影响用气情形的，系数1</w:t>
            </w:r>
            <w:r>
              <w:rPr>
                <w:rFonts w:hint="eastAsia" w:ascii="宋体" w:hAnsi="宋体" w:eastAsia="宋体" w:cs="宋体"/>
                <w:b w:val="0"/>
                <w:bCs w:val="0"/>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8"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23</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燃气供应企业未就地下管道燃气设施情况及时告知建设单位</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处罚条款：第六十三条第一款 责令限期改正，处五万元以上十万元以下罚款。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造成燃气设施毁损的，系数</w:t>
            </w:r>
            <w:r>
              <w:rPr>
                <w:rFonts w:hint="eastAsia" w:ascii="宋体" w:hAnsi="宋体" w:eastAsia="宋体" w:cs="宋体"/>
                <w:color w:val="auto"/>
                <w:kern w:val="0"/>
                <w:sz w:val="15"/>
                <w:szCs w:val="15"/>
                <w:highlight w:val="none"/>
                <w:lang w:val="en-US" w:eastAsia="zh-CN"/>
              </w:rPr>
              <w:t>0.5-1；2</w:t>
            </w:r>
            <w:r>
              <w:rPr>
                <w:rFonts w:hint="default" w:ascii="宋体" w:hAnsi="宋体" w:eastAsia="宋体" w:cs="宋体"/>
                <w:color w:val="auto"/>
                <w:kern w:val="0"/>
                <w:sz w:val="15"/>
                <w:szCs w:val="15"/>
                <w:highlight w:val="none"/>
                <w:lang w:val="en" w:eastAsia="zh-CN"/>
              </w:rPr>
              <w:t>.</w:t>
            </w:r>
            <w:r>
              <w:rPr>
                <w:rFonts w:hint="eastAsia" w:ascii="宋体" w:hAnsi="宋体" w:eastAsia="宋体" w:cs="仿宋_GB2312"/>
                <w:color w:val="auto"/>
                <w:kern w:val="0"/>
                <w:sz w:val="15"/>
                <w:szCs w:val="15"/>
                <w:highlight w:val="none"/>
              </w:rPr>
              <w:t>发生燃气事故或者</w:t>
            </w:r>
            <w:r>
              <w:rPr>
                <w:rFonts w:hint="eastAsia" w:ascii="宋体" w:hAnsi="宋体" w:eastAsia="宋体" w:cs="仿宋_GB2312"/>
                <w:color w:val="auto"/>
                <w:kern w:val="0"/>
                <w:sz w:val="15"/>
                <w:szCs w:val="15"/>
                <w:highlight w:val="none"/>
                <w:lang w:eastAsia="zh-CN"/>
              </w:rPr>
              <w:t>存在其他</w:t>
            </w:r>
            <w:r>
              <w:rPr>
                <w:rFonts w:hint="eastAsia" w:ascii="宋体" w:hAnsi="宋体" w:eastAsia="宋体" w:cs="仿宋_GB2312"/>
                <w:color w:val="auto"/>
                <w:kern w:val="0"/>
                <w:sz w:val="15"/>
                <w:szCs w:val="15"/>
                <w:highlight w:val="none"/>
              </w:rPr>
              <w:t>严重影响用气情形的，系数1</w:t>
            </w:r>
            <w:r>
              <w:rPr>
                <w:rFonts w:hint="eastAsia" w:ascii="宋体" w:hAnsi="宋体" w:eastAsia="宋体" w:cs="仿宋_GB2312"/>
                <w:color w:val="auto"/>
                <w:kern w:val="0"/>
                <w:sz w:val="15"/>
                <w:szCs w:val="15"/>
                <w:highlight w:val="none"/>
                <w:lang w:eastAsia="zh-CN"/>
              </w:rPr>
              <w:t>；</w:t>
            </w:r>
            <w:r>
              <w:rPr>
                <w:rFonts w:hint="eastAsia" w:ascii="宋体" w:hAnsi="宋体" w:eastAsia="宋体" w:cs="仿宋_GB2312"/>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82"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24</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建设单位未采取措施确保地下管道燃气设施运行安全</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违反条款：第三十七条第二款；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处罚条款：第六十三条第二款 责令限期改正，对建设单位处一万元以上十万元以下罚款。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同时存在两项（含两项）以上违法行为的，系数5-</w:t>
            </w:r>
            <w:r>
              <w:rPr>
                <w:rFonts w:hint="default" w:ascii="宋体" w:hAnsi="宋体" w:eastAsia="宋体" w:cs="仿宋_GB2312"/>
                <w:b w:val="0"/>
                <w:bCs w:val="0"/>
                <w:color w:val="auto"/>
                <w:kern w:val="0"/>
                <w:sz w:val="15"/>
                <w:szCs w:val="15"/>
                <w:highlight w:val="none"/>
                <w:lang w:val="en-US"/>
              </w:rPr>
              <w:t>6</w:t>
            </w:r>
            <w:r>
              <w:rPr>
                <w:rFonts w:hint="eastAsia" w:ascii="宋体" w:hAnsi="宋体" w:eastAsia="宋体" w:cs="仿宋_GB2312"/>
                <w:b w:val="0"/>
                <w:bCs w:val="0"/>
                <w:color w:val="auto"/>
                <w:kern w:val="0"/>
                <w:sz w:val="15"/>
                <w:szCs w:val="15"/>
                <w:highlight w:val="none"/>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27" w:hRule="atLeast"/>
        </w:trPr>
        <w:tc>
          <w:tcPr>
            <w:tcW w:w="610" w:type="dxa"/>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25</w:t>
            </w:r>
          </w:p>
        </w:tc>
        <w:tc>
          <w:tcPr>
            <w:tcW w:w="1830" w:type="dxa"/>
            <w:gridSpan w:val="3"/>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施工单位未按照安全保护方案进行施工</w:t>
            </w: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违反条款：第三十八条第一款；</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处罚条款：第六十四条 责令限期改正，处一万元以上十万元以下罚款。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eastAsia="宋体" w:cs="仿宋_GB2312"/>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影响居民用户</w:t>
            </w:r>
            <w:r>
              <w:rPr>
                <w:rFonts w:hint="eastAsia" w:ascii="宋体" w:hAnsi="宋体" w:eastAsia="宋体" w:cs="宋体"/>
                <w:b w:val="0"/>
                <w:bCs w:val="0"/>
                <w:color w:val="auto"/>
                <w:kern w:val="0"/>
                <w:sz w:val="15"/>
                <w:szCs w:val="15"/>
                <w:highlight w:val="none"/>
                <w:lang w:val="en-US" w:eastAsia="zh-CN"/>
              </w:rPr>
              <w:t>200户（含200户）-500户或者非居民用户达到3户（含3户）-5户的或者燃气管道为中压管线或者停气时间超过5小时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ascii="宋体" w:hAnsi="宋体" w:eastAsia="宋体" w:cs="宋体"/>
                <w:b w:val="0"/>
                <w:bCs w:val="0"/>
                <w:color w:val="auto"/>
                <w:kern w:val="0"/>
                <w:sz w:val="15"/>
                <w:szCs w:val="15"/>
                <w:highlight w:val="none"/>
                <w:lang w:val="en-US" w:eastAsia="zh-CN"/>
              </w:rPr>
              <w:t>的，系数4；</w:t>
            </w:r>
            <w:r>
              <w:rPr>
                <w:rFonts w:hint="eastAsia" w:ascii="宋体" w:hAnsi="宋体" w:eastAsia="宋体" w:cs="宋体"/>
                <w:b w:val="0"/>
                <w:bCs w:val="0"/>
                <w:color w:val="auto"/>
                <w:kern w:val="0"/>
                <w:sz w:val="15"/>
                <w:szCs w:val="15"/>
                <w:highlight w:val="none"/>
                <w:lang w:eastAsia="zh-CN"/>
              </w:rPr>
              <w:t>影响居民用户达到</w:t>
            </w:r>
            <w:r>
              <w:rPr>
                <w:rFonts w:hint="eastAsia" w:ascii="宋体" w:hAnsi="宋体" w:eastAsia="宋体" w:cs="宋体"/>
                <w:b w:val="0"/>
                <w:bCs w:val="0"/>
                <w:color w:val="auto"/>
                <w:kern w:val="0"/>
                <w:sz w:val="15"/>
                <w:szCs w:val="15"/>
                <w:highlight w:val="none"/>
                <w:lang w:val="en-US" w:eastAsia="zh-CN"/>
              </w:rPr>
              <w:t>500户（含500户）或者非居民用户达到5户（含5户）或者燃气管道为高压管线或者停气时间超过10小时的，系数5。</w:t>
            </w:r>
            <w:r>
              <w:rPr>
                <w:rFonts w:hint="eastAsia" w:ascii="宋体" w:hAnsi="宋体" w:cs="宋体"/>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default"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.发生燃气安全事故</w:t>
            </w:r>
            <w:r>
              <w:rPr>
                <w:rFonts w:hint="eastAsia" w:ascii="宋体" w:hAnsi="宋体" w:eastAsia="宋体" w:cs="仿宋_GB2312"/>
                <w:b w:val="0"/>
                <w:bCs w:val="0"/>
                <w:color w:val="auto"/>
                <w:kern w:val="0"/>
                <w:sz w:val="15"/>
                <w:szCs w:val="15"/>
                <w:highlight w:val="none"/>
                <w:lang w:eastAsia="zh-CN"/>
              </w:rPr>
              <w:t>或者</w:t>
            </w:r>
            <w:r>
              <w:rPr>
                <w:rFonts w:hint="eastAsia" w:ascii="宋体" w:hAnsi="宋体" w:eastAsia="宋体" w:cs="仿宋_GB2312"/>
                <w:b w:val="0"/>
                <w:bCs w:val="0"/>
                <w:color w:val="auto"/>
                <w:kern w:val="0"/>
                <w:sz w:val="15"/>
                <w:szCs w:val="15"/>
                <w:highlight w:val="none"/>
              </w:rPr>
              <w:t>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安全隐患或者的，系数9</w:t>
            </w:r>
            <w:r>
              <w:rPr>
                <w:rFonts w:hint="eastAsia" w:ascii="宋体" w:hAnsi="宋体" w:eastAsia="宋体" w:cs="仿宋_GB2312"/>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仿宋_GB2312"/>
                <w:strike/>
                <w:dstrike w:val="0"/>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1" w:hRule="atLeast"/>
        </w:trPr>
        <w:tc>
          <w:tcPr>
            <w:tcW w:w="610" w:type="dxa"/>
            <w:vMerge w:val="restart"/>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r>
              <w:rPr>
                <w:rFonts w:hint="eastAsia" w:ascii="宋体" w:hAnsi="宋体" w:eastAsia="宋体" w:cs="仿宋_GB2312"/>
                <w:color w:val="auto"/>
                <w:kern w:val="0"/>
                <w:sz w:val="15"/>
                <w:szCs w:val="15"/>
                <w:highlight w:val="none"/>
                <w:lang w:bidi="ar"/>
              </w:rPr>
              <w:t>26</w:t>
            </w:r>
          </w:p>
        </w:tc>
        <w:tc>
          <w:tcPr>
            <w:tcW w:w="1830" w:type="dxa"/>
            <w:gridSpan w:val="3"/>
            <w:vMerge w:val="restart"/>
            <w:noWrap w:val="0"/>
            <w:vAlign w:val="center"/>
          </w:tcPr>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在管道燃气设施保护范围内从事危及管道燃气设施安全的活动</w:t>
            </w:r>
          </w:p>
        </w:tc>
        <w:tc>
          <w:tcPr>
            <w:tcW w:w="2789" w:type="dxa"/>
            <w:vMerge w:val="restart"/>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违反条款：第四十一条第二款第(二)（三）(四)项（根据实际违法情形选择）；</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w:t>
            </w:r>
            <w:r>
              <w:rPr>
                <w:rFonts w:hint="eastAsia" w:ascii="宋体" w:hAnsi="宋体" w:eastAsia="宋体" w:cs="仿宋_GB2312"/>
                <w:b w:val="0"/>
                <w:bCs w:val="0"/>
                <w:color w:val="auto"/>
                <w:kern w:val="0"/>
                <w:sz w:val="15"/>
                <w:szCs w:val="15"/>
                <w:highlight w:val="none"/>
                <w:lang w:eastAsia="zh-CN"/>
              </w:rPr>
              <w:t>或者存在其他</w:t>
            </w:r>
            <w:r>
              <w:rPr>
                <w:rFonts w:hint="eastAsia" w:ascii="宋体" w:hAnsi="宋体" w:eastAsia="宋体" w:cs="仿宋_GB2312"/>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严重影响用气情形的，系数1</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仿宋_GB2312"/>
                <w:color w:val="auto"/>
                <w:kern w:val="0"/>
                <w:sz w:val="15"/>
                <w:szCs w:val="15"/>
                <w:highlight w:val="none"/>
                <w:lang w:val="en" w:eastAsia="zh-CN"/>
              </w:rPr>
            </w:pPr>
            <w:r>
              <w:rPr>
                <w:rFonts w:hint="eastAsia" w:ascii="宋体" w:hAnsi="宋体" w:eastAsia="宋体" w:cs="仿宋_GB2312"/>
                <w:color w:val="auto"/>
                <w:kern w:val="0"/>
                <w:sz w:val="15"/>
                <w:szCs w:val="15"/>
                <w:highlight w:val="none"/>
              </w:rPr>
              <w:t>罚款数额＝50000×（1＋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restart"/>
            <w:noWrap w:val="0"/>
            <w:vAlign w:val="center"/>
          </w:tcPr>
          <w:p>
            <w:pPr>
              <w:spacing w:line="232" w:lineRule="exact"/>
              <w:rPr>
                <w:rFonts w:hint="eastAsia" w:ascii="宋体" w:hAnsi="宋体" w:eastAsia="宋体" w:cs="仿宋_GB2312"/>
                <w:strike/>
                <w:dstrike w:val="0"/>
                <w:color w:val="auto"/>
                <w:kern w:val="0"/>
                <w:sz w:val="15"/>
                <w:szCs w:val="15"/>
                <w:highlight w:val="none"/>
              </w:rPr>
            </w:pPr>
            <w:r>
              <w:rPr>
                <w:rFonts w:hint="eastAsia" w:ascii="宋体" w:hAnsi="宋体" w:eastAsia="宋体" w:cs="仿宋_GB2312"/>
                <w:strike/>
                <w:dstrike w:val="0"/>
                <w:color w:val="auto"/>
                <w:kern w:val="0"/>
                <w:sz w:val="15"/>
                <w:szCs w:val="15"/>
                <w:highlight w:val="none"/>
              </w:rPr>
              <w:br w:type="textWrapping"/>
            </w:r>
          </w:p>
        </w:tc>
        <w:tc>
          <w:tcPr>
            <w:tcW w:w="897" w:type="dxa"/>
            <w:gridSpan w:val="2"/>
            <w:vMerge w:val="restart"/>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vMerge w:val="continue"/>
            <w:noWrap w:val="0"/>
            <w:vAlign w:val="center"/>
          </w:tcPr>
          <w:p>
            <w:pPr>
              <w:spacing w:line="232" w:lineRule="exact"/>
              <w:rPr>
                <w:rFonts w:ascii="宋体" w:hAnsi="宋体" w:eastAsia="宋体" w:cs="仿宋_GB2312"/>
                <w:color w:val="auto"/>
                <w:sz w:val="15"/>
                <w:szCs w:val="15"/>
                <w:highlight w:val="none"/>
              </w:rPr>
            </w:pP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5000</w:t>
            </w:r>
          </w:p>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（个人）</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.损坏燃气设施或者</w:t>
            </w:r>
            <w:r>
              <w:rPr>
                <w:rFonts w:hint="eastAsia" w:ascii="宋体" w:hAnsi="宋体" w:eastAsia="宋体" w:cs="仿宋_GB2312"/>
                <w:b w:val="0"/>
                <w:bCs w:val="0"/>
                <w:color w:val="auto"/>
                <w:kern w:val="0"/>
                <w:sz w:val="15"/>
                <w:szCs w:val="15"/>
                <w:highlight w:val="none"/>
                <w:lang w:eastAsia="zh-CN"/>
              </w:rPr>
              <w:t>存在其他</w:t>
            </w:r>
            <w:r>
              <w:rPr>
                <w:rFonts w:hint="eastAsia" w:ascii="宋体" w:hAnsi="宋体" w:eastAsia="宋体" w:cs="仿宋_GB2312"/>
                <w:b w:val="0"/>
                <w:bCs w:val="0"/>
                <w:color w:val="auto"/>
                <w:kern w:val="0"/>
                <w:sz w:val="15"/>
                <w:szCs w:val="15"/>
                <w:highlight w:val="none"/>
              </w:rPr>
              <w:t>影响用气情形的，</w:t>
            </w:r>
            <w:r>
              <w:rPr>
                <w:rFonts w:hint="eastAsia" w:ascii="宋体" w:hAnsi="宋体" w:eastAsia="宋体" w:cs="宋体"/>
                <w:b w:val="0"/>
                <w:bCs w:val="0"/>
                <w:color w:val="auto"/>
                <w:kern w:val="0"/>
                <w:sz w:val="15"/>
                <w:szCs w:val="15"/>
                <w:highlight w:val="none"/>
              </w:rPr>
              <w:t>系数7</w:t>
            </w:r>
            <w:r>
              <w:rPr>
                <w:rFonts w:hint="eastAsia" w:ascii="宋体" w:hAnsi="宋体" w:eastAsia="宋体" w:cs="仿宋_GB2312"/>
                <w:b w:val="0"/>
                <w:bCs w:val="0"/>
                <w:color w:val="auto"/>
                <w:kern w:val="0"/>
                <w:sz w:val="15"/>
                <w:szCs w:val="15"/>
                <w:highlight w:val="none"/>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.发生燃气事故，存在</w:t>
            </w:r>
            <w:r>
              <w:rPr>
                <w:rFonts w:hint="eastAsia" w:ascii="宋体" w:hAnsi="宋体" w:eastAsia="宋体" w:cs="宋体"/>
                <w:b w:val="0"/>
                <w:bCs w:val="0"/>
                <w:strike w:val="0"/>
                <w:dstrike w:val="0"/>
                <w:color w:val="auto"/>
                <w:sz w:val="15"/>
                <w:szCs w:val="15"/>
                <w:highlight w:val="none"/>
                <w:lang w:val="en-US" w:eastAsia="zh-CN"/>
              </w:rPr>
              <w:t>重大</w:t>
            </w:r>
            <w:r>
              <w:rPr>
                <w:rFonts w:hint="eastAsia" w:ascii="宋体" w:hAnsi="宋体" w:eastAsia="宋体" w:cs="仿宋_GB2312"/>
                <w:b w:val="0"/>
                <w:bCs w:val="0"/>
                <w:color w:val="auto"/>
                <w:kern w:val="0"/>
                <w:sz w:val="15"/>
                <w:szCs w:val="15"/>
                <w:highlight w:val="none"/>
              </w:rPr>
              <w:t>安全隐患</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rPr>
              <w:t>或者</w:t>
            </w:r>
            <w:r>
              <w:rPr>
                <w:rFonts w:hint="eastAsia" w:ascii="宋体" w:hAnsi="宋体" w:eastAsia="宋体" w:cs="仿宋_GB2312"/>
                <w:b w:val="0"/>
                <w:bCs w:val="0"/>
                <w:color w:val="auto"/>
                <w:kern w:val="0"/>
                <w:sz w:val="15"/>
                <w:szCs w:val="15"/>
                <w:highlight w:val="none"/>
                <w:lang w:eastAsia="zh-CN"/>
              </w:rPr>
              <w:t>其他</w:t>
            </w:r>
            <w:r>
              <w:rPr>
                <w:rFonts w:hint="eastAsia" w:ascii="宋体" w:hAnsi="宋体" w:eastAsia="宋体" w:cs="仿宋_GB2312"/>
                <w:b w:val="0"/>
                <w:bCs w:val="0"/>
                <w:color w:val="auto"/>
                <w:kern w:val="0"/>
                <w:sz w:val="15"/>
                <w:szCs w:val="15"/>
                <w:highlight w:val="none"/>
              </w:rPr>
              <w:t>严重影响用气情形的，系数9</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罚款数额＝5000×（1＋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vMerge w:val="continue"/>
            <w:noWrap w:val="0"/>
            <w:vAlign w:val="center"/>
          </w:tcPr>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0" w:hRule="atLeast"/>
        </w:trPr>
        <w:tc>
          <w:tcPr>
            <w:tcW w:w="610" w:type="dxa"/>
            <w:vMerge w:val="continue"/>
            <w:noWrap w:val="0"/>
            <w:vAlign w:val="center"/>
          </w:tcPr>
          <w:p>
            <w:pPr>
              <w:spacing w:line="232" w:lineRule="exact"/>
              <w:jc w:val="center"/>
              <w:textAlignment w:val="center"/>
              <w:rPr>
                <w:rFonts w:ascii="宋体" w:hAnsi="宋体" w:eastAsia="宋体" w:cs="仿宋_GB2312"/>
                <w:color w:val="auto"/>
                <w:kern w:val="0"/>
                <w:sz w:val="15"/>
                <w:szCs w:val="15"/>
                <w:highlight w:val="none"/>
                <w:lang w:bidi="ar"/>
              </w:rPr>
            </w:pPr>
          </w:p>
        </w:tc>
        <w:tc>
          <w:tcPr>
            <w:tcW w:w="1830" w:type="dxa"/>
            <w:gridSpan w:val="3"/>
            <w:vMerge w:val="continue"/>
            <w:noWrap w:val="0"/>
            <w:vAlign w:val="center"/>
          </w:tcPr>
          <w:p>
            <w:pPr>
              <w:spacing w:line="232" w:lineRule="exact"/>
              <w:rPr>
                <w:rFonts w:ascii="宋体" w:hAnsi="宋体" w:eastAsia="宋体" w:cs="仿宋_GB2312"/>
                <w:color w:val="auto"/>
                <w:sz w:val="15"/>
                <w:szCs w:val="15"/>
                <w:highlight w:val="none"/>
              </w:rPr>
            </w:pPr>
          </w:p>
        </w:tc>
        <w:tc>
          <w:tcPr>
            <w:tcW w:w="2789" w:type="dxa"/>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违反条款：第四十一条第二款第(五)项；</w:t>
            </w:r>
          </w:p>
          <w:p>
            <w:pPr>
              <w:spacing w:line="232" w:lineRule="exact"/>
              <w:rPr>
                <w:rFonts w:ascii="宋体" w:hAnsi="宋体" w:eastAsia="宋体" w:cs="仿宋_GB2312"/>
                <w:color w:val="auto"/>
                <w:sz w:val="15"/>
                <w:szCs w:val="15"/>
                <w:highlight w:val="none"/>
              </w:rPr>
            </w:pPr>
            <w:r>
              <w:rPr>
                <w:rFonts w:hint="eastAsia" w:ascii="宋体" w:hAnsi="宋体" w:eastAsia="宋体" w:cs="仿宋_GB2312"/>
                <w:color w:val="auto"/>
                <w:kern w:val="0"/>
                <w:sz w:val="15"/>
                <w:szCs w:val="15"/>
                <w:highlight w:val="none"/>
              </w:rPr>
              <w:t>处罚条款：第六十六条第三款 责令限期改正，恢复原状，处五千元以下罚款。</w:t>
            </w:r>
          </w:p>
        </w:tc>
        <w:tc>
          <w:tcPr>
            <w:tcW w:w="851"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1</w:t>
            </w:r>
          </w:p>
        </w:tc>
        <w:tc>
          <w:tcPr>
            <w:tcW w:w="3426" w:type="dxa"/>
            <w:noWrap w:val="0"/>
            <w:vAlign w:val="center"/>
          </w:tcPr>
          <w:p>
            <w:pPr>
              <w:spacing w:line="232" w:lineRule="exact"/>
              <w:rPr>
                <w:rFonts w:ascii="宋体" w:hAnsi="宋体" w:eastAsia="宋体" w:cs="仿宋_GB2312"/>
                <w:b w:val="0"/>
                <w:bCs w:val="0"/>
                <w:color w:val="auto"/>
                <w:sz w:val="15"/>
                <w:szCs w:val="15"/>
                <w:highlight w:val="none"/>
              </w:rPr>
            </w:pPr>
            <w:r>
              <w:rPr>
                <w:rFonts w:hint="eastAsia" w:ascii="宋体" w:hAnsi="宋体" w:eastAsia="宋体" w:cs="仿宋_GB2312"/>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仿宋_GB2312"/>
                <w:b w:val="0"/>
                <w:bCs w:val="0"/>
                <w:color w:val="auto"/>
                <w:kern w:val="0"/>
                <w:sz w:val="15"/>
                <w:szCs w:val="15"/>
                <w:highlight w:val="none"/>
                <w:lang w:val="en-US" w:eastAsia="zh-CN"/>
              </w:rPr>
              <w:t>2</w:t>
            </w:r>
            <w:r>
              <w:rPr>
                <w:rFonts w:hint="eastAsia" w:ascii="宋体" w:hAnsi="宋体" w:eastAsia="宋体" w:cs="仿宋_GB2312"/>
                <w:b w:val="0"/>
                <w:bCs w:val="0"/>
                <w:color w:val="auto"/>
                <w:kern w:val="0"/>
                <w:sz w:val="15"/>
                <w:szCs w:val="15"/>
                <w:highlight w:val="none"/>
              </w:rPr>
              <w:t>. 发生在人口集中地区</w:t>
            </w:r>
            <w:r>
              <w:rPr>
                <w:rFonts w:hint="eastAsia" w:ascii="宋体" w:hAnsi="宋体" w:eastAsia="宋体" w:cs="宋体"/>
                <w:b w:val="0"/>
                <w:bCs w:val="0"/>
                <w:color w:val="auto"/>
                <w:kern w:val="0"/>
                <w:sz w:val="15"/>
                <w:szCs w:val="15"/>
                <w:highlight w:val="none"/>
              </w:rPr>
              <w:t>或人员密集场所</w:t>
            </w:r>
            <w:r>
              <w:rPr>
                <w:rFonts w:hint="eastAsia" w:ascii="宋体" w:hAnsi="宋体" w:eastAsia="宋体" w:cs="仿宋_GB2312"/>
                <w:b w:val="0"/>
                <w:bCs w:val="0"/>
                <w:color w:val="auto"/>
                <w:kern w:val="0"/>
                <w:sz w:val="15"/>
                <w:szCs w:val="15"/>
                <w:highlight w:val="none"/>
              </w:rPr>
              <w:t>的，系数2</w:t>
            </w:r>
            <w:r>
              <w:rPr>
                <w:rFonts w:hint="eastAsia" w:ascii="宋体" w:hAnsi="宋体" w:eastAsia="宋体" w:cs="仿宋_GB2312"/>
                <w:b w:val="0"/>
                <w:bCs w:val="0"/>
                <w:color w:val="auto"/>
                <w:kern w:val="0"/>
                <w:sz w:val="15"/>
                <w:szCs w:val="15"/>
                <w:highlight w:val="none"/>
                <w:lang w:eastAsia="zh-CN"/>
              </w:rPr>
              <w:t>。</w:t>
            </w:r>
            <w:r>
              <w:rPr>
                <w:rFonts w:hint="eastAsia" w:ascii="宋体" w:hAnsi="宋体" w:eastAsia="宋体" w:cs="仿宋_GB2312"/>
                <w:b w:val="0"/>
                <w:bCs w:val="0"/>
                <w:color w:val="auto"/>
                <w:kern w:val="0"/>
                <w:sz w:val="15"/>
                <w:szCs w:val="15"/>
                <w:highlight w:val="none"/>
                <w:lang w:val="en-US" w:eastAsia="zh-CN"/>
              </w:rPr>
              <w:t>3</w:t>
            </w:r>
            <w:r>
              <w:rPr>
                <w:rFonts w:hint="eastAsia" w:ascii="宋体" w:hAnsi="宋体" w:eastAsia="宋体" w:cs="仿宋_GB2312"/>
                <w:b w:val="0"/>
                <w:bCs w:val="0"/>
                <w:color w:val="auto"/>
                <w:kern w:val="0"/>
                <w:sz w:val="15"/>
                <w:szCs w:val="15"/>
                <w:highlight w:val="none"/>
              </w:rPr>
              <w:t>.导致相关燃气安全事故的，系数4</w:t>
            </w:r>
            <w:r>
              <w:rPr>
                <w:rFonts w:hint="eastAsia" w:ascii="宋体" w:hAnsi="宋体" w:eastAsia="宋体" w:cs="仿宋_GB2312"/>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ascii="宋体" w:hAnsi="宋体" w:eastAsia="宋体" w:cs="宋体"/>
                <w:b w:val="0"/>
                <w:bCs w:val="0"/>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罚款数额＝1000×（1＋</w:t>
            </w:r>
            <w:r>
              <w:rPr>
                <w:rFonts w:hint="eastAsia" w:ascii="宋体" w:hAnsi="宋体" w:eastAsia="宋体" w:cs="仿宋_GB2312"/>
                <w:color w:val="auto"/>
                <w:kern w:val="0"/>
                <w:sz w:val="15"/>
                <w:szCs w:val="15"/>
                <w:highlight w:val="none"/>
                <w:lang w:eastAsia="zh-CN"/>
              </w:rPr>
              <w:t>情节</w:t>
            </w:r>
            <w:r>
              <w:rPr>
                <w:rFonts w:hint="eastAsia" w:ascii="宋体" w:hAnsi="宋体" w:eastAsia="宋体" w:cs="仿宋_GB2312"/>
                <w:color w:val="auto"/>
                <w:kern w:val="0"/>
                <w:sz w:val="15"/>
                <w:szCs w:val="15"/>
                <w:highlight w:val="none"/>
              </w:rPr>
              <w:t>系数）</w:t>
            </w:r>
          </w:p>
        </w:tc>
        <w:tc>
          <w:tcPr>
            <w:tcW w:w="1982" w:type="dxa"/>
            <w:gridSpan w:val="2"/>
            <w:noWrap w:val="0"/>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ascii="宋体" w:hAnsi="宋体" w:eastAsia="宋体" w:cs="仿宋_GB2312"/>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仿宋_GB2312"/>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90" w:hRule="atLeast"/>
        </w:trPr>
        <w:tc>
          <w:tcPr>
            <w:tcW w:w="15100" w:type="dxa"/>
            <w:gridSpan w:val="14"/>
            <w:noWrap w:val="0"/>
            <w:vAlign w:val="center"/>
          </w:tcPr>
          <w:p>
            <w:pPr>
              <w:pStyle w:val="3"/>
              <w:widowControl w:val="0"/>
              <w:spacing w:line="232" w:lineRule="exact"/>
              <w:jc w:val="center"/>
              <w:rPr>
                <w:rFonts w:ascii="宋体" w:hAnsi="宋体" w:eastAsia="宋体"/>
                <w:color w:val="auto"/>
                <w:sz w:val="15"/>
                <w:szCs w:val="15"/>
                <w:highlight w:val="none"/>
              </w:rPr>
            </w:pPr>
            <w:bookmarkStart w:id="71" w:name="_Toc110851459"/>
            <w:bookmarkStart w:id="72" w:name="_Toc303018879"/>
            <w:bookmarkStart w:id="73" w:name="_Toc697937810"/>
            <w:r>
              <w:rPr>
                <w:rFonts w:hint="eastAsia" w:ascii="宋体" w:hAnsi="宋体" w:eastAsia="宋体"/>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人员密集场所使用天然气、液化石油气未安装浓度检测报警装置</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三十四</w:t>
            </w:r>
            <w:r>
              <w:rPr>
                <w:rFonts w:hint="eastAsia" w:ascii="宋体" w:hAnsi="宋体" w:eastAsia="宋体" w:cs="宋体"/>
                <w:color w:val="auto"/>
                <w:kern w:val="0"/>
                <w:sz w:val="15"/>
                <w:szCs w:val="15"/>
                <w:highlight w:val="none"/>
              </w:rPr>
              <w:t>条第（四）项；处罚条款：第</w:t>
            </w:r>
            <w:r>
              <w:rPr>
                <w:rFonts w:hint="eastAsia" w:ascii="宋体" w:hAnsi="宋体" w:eastAsia="宋体" w:cs="宋体"/>
                <w:color w:val="auto"/>
                <w:kern w:val="0"/>
                <w:sz w:val="15"/>
                <w:szCs w:val="15"/>
                <w:highlight w:val="none"/>
                <w:lang w:eastAsia="zh-CN"/>
              </w:rPr>
              <w:t>九十五</w:t>
            </w:r>
            <w:r>
              <w:rPr>
                <w:rFonts w:hint="eastAsia" w:ascii="宋体" w:hAnsi="宋体" w:eastAsia="宋体" w:cs="宋体"/>
                <w:color w:val="auto"/>
                <w:kern w:val="0"/>
                <w:sz w:val="15"/>
                <w:szCs w:val="15"/>
                <w:highlight w:val="none"/>
              </w:rPr>
              <w:t>条 责令改正，并可处1万元以上3万元以下罚款。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违反条款：《中华人民共和国安全生产法》第三十六条第四款；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适用于餐饮等行业的生产经营单位使用燃气的情形。</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7"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default"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val="en-US" w:eastAsia="zh-CN"/>
              </w:rPr>
              <w:t>应当安装但未安装数量2个的，系数0</w:t>
            </w:r>
            <w:r>
              <w:rPr>
                <w:rFonts w:hint="default"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val="en-US" w:eastAsia="zh-CN"/>
              </w:rPr>
              <w:t>；3个的，系数1；4个的，系数1.5；5个的，系数2；6个的，系数2.5；7个及以上的，系数3。</w:t>
            </w:r>
            <w:r>
              <w:rPr>
                <w:rFonts w:hint="default"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numPr>
                <w:ilvl w:val="0"/>
                <w:numId w:val="0"/>
              </w:num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适用于餐饮等行业的生产经营单位使用燃气，逾期未改正的情形。</w:t>
            </w:r>
          </w:p>
          <w:p>
            <w:pPr>
              <w:numPr>
                <w:ilvl w:val="0"/>
                <w:numId w:val="0"/>
              </w:numPr>
              <w:spacing w:line="232" w:lineRule="exact"/>
              <w:rPr>
                <w:rFonts w:hint="eastAsia" w:ascii="宋体" w:hAnsi="宋体" w:eastAsia="宋体"/>
                <w:color w:val="auto"/>
                <w:sz w:val="15"/>
                <w:szCs w:val="15"/>
                <w:highlight w:val="none"/>
              </w:rPr>
            </w:pP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2.处罚单位，同时处罚直接负责的主管人员和其他直接责任人员。</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（直接负责的主管人员和其他直接责任人员）</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strike/>
                <w:dstrike w:val="0"/>
                <w:color w:val="auto"/>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7"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4" w:name="_Toc1826085962"/>
            <w:bookmarkStart w:id="75" w:name="_Toc110851460"/>
            <w:bookmarkStart w:id="76" w:name="_Toc598911105"/>
            <w:r>
              <w:rPr>
                <w:rFonts w:hint="eastAsia" w:ascii="宋体" w:hAnsi="宋体" w:eastAsia="宋体"/>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加气站未遵守操作规程或未设专人监护</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违反条款：第八条第（四）项；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非操作人员进行充气作业</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违反条款：第九条第（一）项；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加气站为其他容器充气</w:t>
            </w:r>
          </w:p>
        </w:tc>
        <w:tc>
          <w:tcPr>
            <w:tcW w:w="2789"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直接用运输槽车向车辆充气</w:t>
            </w:r>
          </w:p>
        </w:tc>
        <w:tc>
          <w:tcPr>
            <w:tcW w:w="2789"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违反条款：第九条第（三）项；</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使用明火检查燃气泄露</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违反条款：第九条第（四）项；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1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加气站</w:t>
            </w:r>
            <w:r>
              <w:rPr>
                <w:rFonts w:hint="eastAsia" w:ascii="宋体" w:hAnsi="宋体" w:eastAsia="宋体"/>
                <w:color w:val="auto"/>
                <w:sz w:val="15"/>
                <w:szCs w:val="15"/>
                <w:highlight w:val="none"/>
              </w:rPr>
              <w:t>运营中</w:t>
            </w:r>
            <w:r>
              <w:rPr>
                <w:rFonts w:hint="eastAsia" w:ascii="宋体" w:hAnsi="宋体" w:eastAsia="宋体" w:cs="宋体"/>
                <w:color w:val="auto"/>
                <w:kern w:val="0"/>
                <w:sz w:val="15"/>
                <w:szCs w:val="15"/>
                <w:highlight w:val="none"/>
              </w:rPr>
              <w:t>存放其他易燃易爆物品或者使用明火</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违反条款：第九条第（五）项；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32"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在加气站内修车、洗车</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违反条款：第九条第（六）项；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处罚条款：第十一条 责令限期改正，给予警告，并可处2万元以上10万元以下罚款。</w:t>
            </w:r>
          </w:p>
        </w:tc>
        <w:tc>
          <w:tcPr>
            <w:tcW w:w="851"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autoSpaceDE w:val="0"/>
              <w:spacing w:line="220"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0"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1.违规作业时间较长，作业规模较大，或者经营场所在人口集中地区，存在较大安全隐患的，系数2；2.发生事故的，系数4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0" w:lineRule="exact"/>
              <w:ind w:left="-7"/>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ascii="宋体" w:hAnsi="宋体" w:eastAsia="宋体" w:cs="仿宋_GB2312"/>
                <w:color w:val="auto"/>
                <w:kern w:val="0"/>
                <w:sz w:val="15"/>
                <w:szCs w:val="15"/>
                <w:highlight w:val="none"/>
              </w:rPr>
              <w:t>市级</w:t>
            </w:r>
          </w:p>
          <w:p>
            <w:pPr>
              <w:spacing w:line="220" w:lineRule="exact"/>
              <w:ind w:left="-7"/>
              <w:jc w:val="center"/>
              <w:rPr>
                <w:rFonts w:ascii="宋体" w:hAnsi="宋体" w:eastAsia="宋体" w:cs="宋体"/>
                <w:color w:val="auto"/>
                <w:kern w:val="0"/>
                <w:sz w:val="15"/>
                <w:szCs w:val="15"/>
                <w:highlight w:val="none"/>
              </w:rPr>
            </w:pPr>
            <w:r>
              <w:rPr>
                <w:rFonts w:ascii="宋体" w:hAnsi="宋体" w:eastAsia="宋体" w:cs="仿宋_GB2312"/>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77" w:name="_Toc110851461"/>
            <w:bookmarkStart w:id="78" w:name="_Toc247653558"/>
            <w:bookmarkStart w:id="79" w:name="_Toc1473999580"/>
            <w:r>
              <w:rPr>
                <w:rFonts w:hint="eastAsia" w:ascii="宋体" w:hAnsi="宋体" w:eastAsia="宋体"/>
                <w:color w:val="auto"/>
                <w:sz w:val="21"/>
                <w:szCs w:val="21"/>
                <w:highlight w:val="none"/>
              </w:rPr>
              <w:t>《</w:t>
            </w:r>
            <w:r>
              <w:rPr>
                <w:rFonts w:ascii="宋体" w:hAnsi="宋体" w:eastAsia="宋体"/>
                <w:color w:val="auto"/>
                <w:sz w:val="21"/>
                <w:szCs w:val="21"/>
                <w:highlight w:val="none"/>
              </w:rPr>
              <w:t>北京市供热采暖管理办法</w:t>
            </w:r>
            <w:r>
              <w:rPr>
                <w:rFonts w:hint="eastAsia" w:ascii="宋体" w:hAnsi="宋体" w:eastAsia="宋体"/>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43"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供热单位未办理备案手续</w:t>
            </w:r>
          </w:p>
        </w:tc>
        <w:tc>
          <w:tcPr>
            <w:tcW w:w="2789"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违反条款：第十条第一款；</w:t>
            </w:r>
          </w:p>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供热单位未办理备案变更手续</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责令限期改正，逾期未改正的，处3万元罚款。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autoSpaceDE w:val="0"/>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供热单位提交的备案材料失实</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违反条款：第十条第二款；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处罚条款：第三十条 责令改正，情节严重的，可以处1万元以上3万元以下的罚款。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故意隐瞒相关情况，对安全、稳定、质量合格供热造成较大影响的，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79"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未实施供热设施安全巡检制度</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违反条款：第十三条第（一）项；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处罚条款：第三十一条第一款 予以警告，警告两次的，处2万元罚款。</w:t>
            </w:r>
          </w:p>
        </w:tc>
        <w:tc>
          <w:tcPr>
            <w:tcW w:w="851" w:type="dxa"/>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5"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供热前未提前在供热范围内进行公告</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违反条款：第十三条第（二）项；</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处罚条款：第三十一条第二款 责令改正，并处1000元罚款。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按照条款规定执行。</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97"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推迟、中止供热或者提前结束供热</w:t>
            </w:r>
          </w:p>
        </w:tc>
        <w:tc>
          <w:tcPr>
            <w:tcW w:w="2789" w:type="dxa"/>
            <w:noWrap w:val="0"/>
            <w:vAlign w:val="center"/>
          </w:tcPr>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0"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处罚条款：第三十二条第一款 责令改正，可以处5000元以上3万元以下罚款。</w:t>
            </w:r>
          </w:p>
        </w:tc>
        <w:tc>
          <w:tcPr>
            <w:tcW w:w="851"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autoSpaceDE w:val="0"/>
              <w:spacing w:line="232" w:lineRule="exact"/>
              <w:ind w:leftChars="-7" w:hanging="15" w:hangingChars="10"/>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推迟、中止、提前结束供热</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天，</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lang w:val="en-US" w:eastAsia="zh-CN"/>
              </w:rPr>
              <w:t>1，3天的，系数2；4天的，系数3；5天的，系数4；6天及以上的，系数5；2.造成较大社会影响的，系数3-5；3.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67" w:hRule="atLeast"/>
        </w:trPr>
        <w:tc>
          <w:tcPr>
            <w:tcW w:w="610" w:type="dxa"/>
            <w:vMerge w:val="restart"/>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采暖期内退出或者部分退出供热经营活动</w:t>
            </w:r>
          </w:p>
        </w:tc>
        <w:tc>
          <w:tcPr>
            <w:tcW w:w="2789" w:type="dxa"/>
            <w:vMerge w:val="restart"/>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p>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处罚条款：第三十二条第二款 责令改正，并对供热单位处5万元以上10万元以下罚款，对供热单位法定代表人处1万元罚款。</w:t>
            </w: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对供热单位</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hint="eastAsia"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区级</w:t>
            </w:r>
          </w:p>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9" w:hRule="atLeast"/>
        </w:trPr>
        <w:tc>
          <w:tcPr>
            <w:tcW w:w="610" w:type="dxa"/>
            <w:vMerge w:val="continue"/>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2789" w:type="dxa"/>
            <w:vMerge w:val="continue"/>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851"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autoSpaceDE w:val="0"/>
              <w:spacing w:line="226" w:lineRule="exact"/>
              <w:ind w:leftChars="-7" w:hanging="15" w:hangingChars="10"/>
              <w:jc w:val="center"/>
              <w:rPr>
                <w:rFonts w:ascii="宋体" w:hAnsi="宋体" w:eastAsia="宋体" w:cs="宋体"/>
                <w:color w:val="auto"/>
                <w:kern w:val="0"/>
                <w:sz w:val="15"/>
                <w:szCs w:val="15"/>
                <w:highlight w:val="none"/>
              </w:rPr>
            </w:pPr>
          </w:p>
        </w:tc>
        <w:tc>
          <w:tcPr>
            <w:tcW w:w="3426" w:type="dxa"/>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875" w:type="dxa"/>
            <w:gridSpan w:val="2"/>
            <w:noWrap w:val="0"/>
            <w:vAlign w:val="center"/>
          </w:tcPr>
          <w:p>
            <w:pPr>
              <w:autoSpaceDE w:val="0"/>
              <w:spacing w:line="226" w:lineRule="exact"/>
              <w:ind w:leftChars="-7" w:hanging="15" w:hangingChars="10"/>
              <w:rPr>
                <w:rFonts w:ascii="宋体" w:hAnsi="宋体" w:eastAsia="宋体" w:cs="宋体"/>
                <w:color w:val="auto"/>
                <w:kern w:val="0"/>
                <w:sz w:val="15"/>
                <w:szCs w:val="15"/>
                <w:highlight w:val="none"/>
              </w:rPr>
            </w:pPr>
          </w:p>
        </w:tc>
        <w:tc>
          <w:tcPr>
            <w:tcW w:w="1982" w:type="dxa"/>
            <w:gridSpan w:val="2"/>
            <w:noWrap w:val="0"/>
            <w:vAlign w:val="center"/>
          </w:tcPr>
          <w:p>
            <w:pPr>
              <w:autoSpaceDE w:val="0"/>
              <w:spacing w:line="226" w:lineRule="exact"/>
              <w:ind w:leftChars="-7" w:hanging="15" w:hangingChars="10"/>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对法定代表人</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autoSpaceDE w:val="0"/>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非采暖期内擅自退出或者部分退出供热经营活动，影响用户采暖</w:t>
            </w:r>
          </w:p>
        </w:tc>
        <w:tc>
          <w:tcPr>
            <w:tcW w:w="2789"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违反条款：第十五条第二款；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处罚条款：第三十二条第三款 责令限期改正，逾期未改正的，对供热单位处3万元罚款，对供热单位法定代表人处5000元罚款。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26"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按照法条规定执行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26"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区级街道乡镇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0"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拆改室内共用供热设施、扩大采暖面积、增加散热设备</w:t>
            </w:r>
          </w:p>
        </w:tc>
        <w:tc>
          <w:tcPr>
            <w:tcW w:w="2789" w:type="dxa"/>
            <w:vMerge w:val="restart"/>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p>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处罚条款：第三十三条 责令限期改正，逾期未改正的，可以处500元以上5000元以下罚款。</w:t>
            </w: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拆改行为明显影响到</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用户供暖效果的，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装饰装修房屋妨碍对供热设施进行维修养护</w:t>
            </w:r>
          </w:p>
        </w:tc>
        <w:tc>
          <w:tcPr>
            <w:tcW w:w="2789" w:type="dxa"/>
            <w:vMerge w:val="continue"/>
            <w:noWrap w:val="0"/>
            <w:vAlign w:val="center"/>
          </w:tcPr>
          <w:p>
            <w:pPr>
              <w:spacing w:line="226" w:lineRule="exact"/>
              <w:ind w:left="6" w:hanging="21"/>
              <w:rPr>
                <w:rFonts w:ascii="宋体" w:hAnsi="宋体" w:eastAsia="宋体" w:cs="宋体"/>
                <w:color w:val="auto"/>
                <w:kern w:val="0"/>
                <w:sz w:val="15"/>
                <w:szCs w:val="15"/>
                <w:highlight w:val="none"/>
              </w:rPr>
            </w:pPr>
          </w:p>
        </w:tc>
        <w:tc>
          <w:tcPr>
            <w:tcW w:w="851"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6"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严重影响正常供暖的，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5；2.造成供暖事故的，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6"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6" w:lineRule="exact"/>
              <w:ind w:left="6" w:hanging="21"/>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26" w:lineRule="exact"/>
              <w:ind w:left="6" w:hanging="21"/>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26" w:lineRule="exact"/>
              <w:ind w:left="6" w:hanging="21"/>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擅自拆除、迁移、改建、变卖热源设施，影响用户采暖</w:t>
            </w:r>
          </w:p>
        </w:tc>
        <w:tc>
          <w:tcPr>
            <w:tcW w:w="2789"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处罚条款：第三十四条 责令限期改正，并处5万元以上10万元以下罚款。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明显影响采暖效果的，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0.5；2.造成供暖中止等供暖事故的，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在地下热力管道安全间距范围内堆放物品，或者进行挖掘、取土、钻探、打桩、埋杆、栽植深根性植物和爆破作业</w:t>
            </w:r>
          </w:p>
        </w:tc>
        <w:tc>
          <w:tcPr>
            <w:tcW w:w="2789"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违反条款：第二十四条第（二）项；</w:t>
            </w:r>
          </w:p>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向供热管沟内排放有毒、有害、易燃、易爆、易堵塞物品及雨水、污水、工业废液、垃圾</w:t>
            </w:r>
          </w:p>
        </w:tc>
        <w:tc>
          <w:tcPr>
            <w:tcW w:w="2789"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违反条款：第二十四条第（三）项；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擅自接入供热管网</w:t>
            </w:r>
          </w:p>
        </w:tc>
        <w:tc>
          <w:tcPr>
            <w:tcW w:w="2789"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违反条款：第二十四条第（四）项；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62"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擅自在室内采暖系统上安装危害系统安全的设备</w:t>
            </w:r>
          </w:p>
        </w:tc>
        <w:tc>
          <w:tcPr>
            <w:tcW w:w="2789"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违反条款：第二十四条第（五）项；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4"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擅自排放或者取用管道内热水或蒸汽</w:t>
            </w:r>
          </w:p>
        </w:tc>
        <w:tc>
          <w:tcPr>
            <w:tcW w:w="2789" w:type="dxa"/>
            <w:noWrap w:val="0"/>
            <w:vAlign w:val="center"/>
          </w:tcPr>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违反条款：第二十四条第（六）项；</w:t>
            </w:r>
          </w:p>
          <w:p>
            <w:pPr>
              <w:spacing w:line="232" w:lineRule="exact"/>
              <w:ind w:left="23"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1"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擅自拆除、毁损警示标志</w:t>
            </w:r>
          </w:p>
        </w:tc>
        <w:tc>
          <w:tcPr>
            <w:tcW w:w="2789"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违反条款：第二十四条第（七）项；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6"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擅自操作、拆除共用供热阀门，损坏共用阀门的铅封，改动或者损坏供热计量仪表及其附件等</w:t>
            </w:r>
          </w:p>
        </w:tc>
        <w:tc>
          <w:tcPr>
            <w:tcW w:w="2789"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违反条款：第二十四条第（八）项；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处罚条款：第三十五条第三款；处罚内容：责令改正，可以处500元以上1000元以下罚款。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危害</w:t>
            </w:r>
            <w:r>
              <w:rPr>
                <w:rFonts w:hint="eastAsia" w:ascii="宋体" w:hAnsi="宋体" w:eastAsia="宋体" w:cs="宋体"/>
                <w:color w:val="auto"/>
                <w:kern w:val="0"/>
                <w:sz w:val="15"/>
                <w:szCs w:val="15"/>
                <w:highlight w:val="none"/>
              </w:rPr>
              <w:t>、损坏供热设施的行为</w:t>
            </w:r>
          </w:p>
        </w:tc>
        <w:tc>
          <w:tcPr>
            <w:tcW w:w="2789"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违反条款：第二十四条第（九）项；</w:t>
            </w:r>
          </w:p>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处罚条款：第三十五条第二款 责令改正，严重影响供热设施安全的，可以处5000元以上3万元以下罚款。</w:t>
            </w:r>
          </w:p>
        </w:tc>
        <w:tc>
          <w:tcPr>
            <w:tcW w:w="851"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ind w:left="6" w:hanging="23"/>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1.对供热设施造成一定损害的，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1；2.一定程度上影响供暖效果的，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3；3.造成供暖事故的，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ind w:left="6" w:hanging="23"/>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ind w:left="6" w:hanging="23"/>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0" w:name="_Toc984069521"/>
            <w:bookmarkStart w:id="81" w:name="_Toc110851462"/>
            <w:bookmarkStart w:id="82" w:name="_Toc745697621"/>
            <w:r>
              <w:rPr>
                <w:rFonts w:hint="eastAsia" w:ascii="宋体" w:hAnsi="宋体" w:eastAsia="宋体"/>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37"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损坏供热计量装置与调控系统</w:t>
            </w:r>
          </w:p>
        </w:tc>
        <w:tc>
          <w:tcPr>
            <w:tcW w:w="2789" w:type="dxa"/>
            <w:vMerge w:val="restart"/>
            <w:noWrap w:val="0"/>
            <w:vAlign w:val="center"/>
          </w:tcPr>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违反条款：第三十三条；</w:t>
            </w:r>
          </w:p>
          <w:p>
            <w:pPr>
              <w:spacing w:line="232" w:lineRule="exact"/>
              <w:rPr>
                <w:rFonts w:ascii="宋体" w:hAnsi="宋体" w:eastAsia="宋体"/>
                <w:color w:val="auto"/>
                <w:spacing w:val="-4"/>
                <w:sz w:val="15"/>
                <w:szCs w:val="15"/>
                <w:highlight w:val="none"/>
              </w:rPr>
            </w:pPr>
            <w:r>
              <w:rPr>
                <w:rFonts w:hint="eastAsia" w:ascii="宋体" w:hAnsi="宋体" w:eastAsia="宋体"/>
                <w:color w:val="auto"/>
                <w:spacing w:val="-4"/>
                <w:sz w:val="15"/>
                <w:szCs w:val="15"/>
                <w:highlight w:val="none"/>
              </w:rPr>
              <w:t>处罚条款：第四十二条，责令改正，可处500元以上1000元以下罚款；情节严重，影响正常供热的，可处1000元以上1万元以下罚款。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20"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影响正常供热的，适用此档处罚。</w:t>
            </w:r>
          </w:p>
        </w:tc>
        <w:tc>
          <w:tcPr>
            <w:tcW w:w="897" w:type="dxa"/>
            <w:gridSpan w:val="2"/>
            <w:noWrap w:val="0"/>
            <w:vAlign w:val="center"/>
          </w:tcPr>
          <w:p>
            <w:pPr>
              <w:spacing w:line="232" w:lineRule="exact"/>
              <w:jc w:val="center"/>
              <w:rPr>
                <w:rFonts w:ascii="宋体" w:hAnsi="宋体" w:eastAsia="宋体" w:cs="仿宋_GB2312"/>
                <w:color w:val="auto"/>
                <w:kern w:val="0"/>
                <w:sz w:val="15"/>
                <w:szCs w:val="15"/>
                <w:highlight w:val="none"/>
              </w:rPr>
            </w:pPr>
            <w:r>
              <w:rPr>
                <w:rFonts w:hint="eastAsia" w:ascii="宋体" w:hAnsi="宋体" w:eastAsia="宋体" w:cs="仿宋_GB2312"/>
                <w:color w:val="auto"/>
                <w:kern w:val="0"/>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供热单位不实行供热计量的</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违反条款：第三十五条第一款；</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处罚条款：第四十四条，限期整改，逾期不改正的，处3万元罚款。</w:t>
            </w:r>
          </w:p>
        </w:tc>
        <w:tc>
          <w:tcPr>
            <w:tcW w:w="851"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840" w:type="dxa"/>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hanging="21"/>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hanging="21"/>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hanging="21"/>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仿宋_GB2312"/>
                <w:color w:val="auto"/>
                <w:sz w:val="15"/>
                <w:szCs w:val="15"/>
                <w:highlight w:val="none"/>
              </w:rPr>
              <w:t>区级</w:t>
            </w:r>
          </w:p>
          <w:p>
            <w:pPr>
              <w:spacing w:line="232" w:lineRule="exact"/>
              <w:jc w:val="center"/>
              <w:rPr>
                <w:rFonts w:ascii="宋体" w:hAnsi="宋体" w:eastAsia="宋体"/>
                <w:color w:val="auto"/>
                <w:sz w:val="15"/>
                <w:szCs w:val="15"/>
                <w:highlight w:val="none"/>
              </w:rPr>
            </w:pPr>
            <w:r>
              <w:rPr>
                <w:rFonts w:hint="eastAsia" w:ascii="宋体" w:hAnsi="宋体" w:eastAsia="宋体" w:cs="仿宋_GB2312"/>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bookmarkStart w:id="83" w:name="_Toc636329439"/>
            <w:bookmarkStart w:id="84" w:name="_Toc1458478113"/>
            <w:bookmarkStart w:id="85" w:name="_Toc110851463"/>
            <w:bookmarkStart w:id="86" w:name="_Toc2100881276"/>
            <w:r>
              <w:rPr>
                <w:rFonts w:hint="eastAsia" w:ascii="宋体" w:hAnsi="宋体" w:eastAsia="宋体" w:cs="宋体"/>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p>
        </w:tc>
        <w:tc>
          <w:tcPr>
            <w:tcW w:w="1830" w:type="dxa"/>
            <w:gridSpan w:val="3"/>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供电、供气、供热单位未按照规定报送结算数据</w:t>
            </w:r>
          </w:p>
        </w:tc>
        <w:tc>
          <w:tcPr>
            <w:tcW w:w="2789"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违反条款：第二十六条第三款</w:t>
            </w:r>
          </w:p>
          <w:p>
            <w:pPr>
              <w:pStyle w:val="8"/>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处罚条款：第五十八条，责令限期改正。</w:t>
            </w:r>
          </w:p>
        </w:tc>
        <w:tc>
          <w:tcPr>
            <w:tcW w:w="851"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840" w:type="dxa"/>
            <w:noWrap w:val="0"/>
            <w:vAlign w:val="center"/>
          </w:tcPr>
          <w:p>
            <w:pPr>
              <w:spacing w:line="232" w:lineRule="exact"/>
              <w:ind w:left="6" w:leftChars="0" w:hanging="21" w:firstLineChars="0"/>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ind w:left="6" w:leftChars="0" w:hanging="21" w:firstLineChars="0"/>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ind w:left="6" w:leftChars="0" w:hanging="21" w:firstLineChars="0"/>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非</w:t>
            </w:r>
            <w:r>
              <w:rPr>
                <w:rFonts w:hint="eastAsia" w:ascii="宋体" w:hAnsi="宋体" w:eastAsia="宋体" w:cs="宋体"/>
                <w:color w:val="auto"/>
                <w:kern w:val="0"/>
                <w:sz w:val="15"/>
                <w:szCs w:val="15"/>
                <w:highlight w:val="none"/>
                <w:lang w:eastAsia="zh-CN"/>
              </w:rPr>
              <w:t>行政</w:t>
            </w:r>
            <w:r>
              <w:rPr>
                <w:rFonts w:hint="eastAsia" w:ascii="宋体" w:hAnsi="宋体" w:eastAsia="宋体" w:cs="宋体"/>
                <w:color w:val="auto"/>
                <w:kern w:val="0"/>
                <w:sz w:val="15"/>
                <w:szCs w:val="15"/>
                <w:highlight w:val="none"/>
              </w:rPr>
              <w:t>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hint="eastAsia" w:ascii="宋体" w:hAnsi="宋体" w:eastAsia="宋体" w:cs="仿宋_GB2312"/>
                <w:color w:val="auto"/>
                <w:sz w:val="15"/>
                <w:szCs w:val="15"/>
                <w:highlight w:val="none"/>
              </w:rPr>
            </w:pPr>
            <w:r>
              <w:rPr>
                <w:rFonts w:hint="eastAsia" w:ascii="宋体" w:hAnsi="宋体" w:eastAsia="宋体" w:cs="宋体"/>
                <w:color w:val="auto"/>
                <w:kern w:val="0"/>
                <w:sz w:val="15"/>
                <w:szCs w:val="15"/>
                <w:highlight w:val="none"/>
              </w:rPr>
              <w:t>区级</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70"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87" w:name="_Toc110851465"/>
            <w:bookmarkStart w:id="88" w:name="_Toc357269991"/>
            <w:bookmarkStart w:id="89" w:name="_Toc780858134"/>
            <w:r>
              <w:rPr>
                <w:rFonts w:hint="eastAsia" w:ascii="宋体" w:hAnsi="宋体" w:eastAsia="宋体"/>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预付卡经营者违反规定发行预付卡或者为消费者办理续卡的</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违反条款：第十一条；处罚条款：第二十八条 责令立即停止发卡、续卡，处两万元以上十万元以下罚款；情节严重的，责令停业。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lang w:val="en"/>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hint="default" w:ascii="宋体" w:hAnsi="宋体" w:eastAsia="宋体" w:cs="仿宋_GB2312"/>
                <w:color w:val="auto"/>
                <w:sz w:val="15"/>
                <w:szCs w:val="15"/>
                <w:highlight w:val="none"/>
                <w:lang w:val="en-US"/>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预付卡经营者未向消费者出具载明规定内容的凭据逾期不改正</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预付卡经营者未按照规定提供查询或者未按照规定履行告知义务逾期不改正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4</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预付卡经营者未按照规定保存交易记录逾期不改正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预付卡经营者故意拖延或者无理拒绝退回预收款逾期不改正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10</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预付卡经营者迟报、瞒报、虚报有关信息逾期不改正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spacing w:val="-4"/>
                <w:kern w:val="0"/>
                <w:sz w:val="15"/>
                <w:szCs w:val="15"/>
                <w:highlight w:val="none"/>
              </w:rPr>
            </w:pPr>
            <w:r>
              <w:rPr>
                <w:rFonts w:hint="eastAsia" w:ascii="宋体" w:hAnsi="宋体" w:eastAsia="宋体" w:cs="仿宋_GB2312"/>
                <w:color w:val="auto"/>
                <w:spacing w:val="-4"/>
                <w:sz w:val="15"/>
                <w:szCs w:val="15"/>
                <w:highlight w:val="none"/>
              </w:rPr>
              <w:t>违反条款：第二十条；处罚条款：第三十一条  责令限期改正；逾期不改的，处一千元以上五千元以下罚款。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1000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w:t>
            </w:r>
            <w:r>
              <w:rPr>
                <w:rFonts w:ascii="宋体" w:hAnsi="宋体" w:eastAsia="宋体" w:cs="仿宋_GB2312"/>
                <w:color w:val="auto"/>
                <w:sz w:val="15"/>
                <w:szCs w:val="15"/>
                <w:highlight w:val="none"/>
                <w:lang w:val="en"/>
              </w:rPr>
              <w:t>1</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预付卡经营者未按照规定存管资金逾期不改正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ascii="宋体" w:hAnsi="宋体" w:eastAsia="宋体" w:cs="仿宋_GB2312"/>
                <w:color w:val="auto"/>
                <w:sz w:val="15"/>
                <w:szCs w:val="15"/>
                <w:highlight w:val="none"/>
                <w:lang w:val="en"/>
              </w:rPr>
              <w:t>20000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造成较大社会影响或者严重后果的，系数4。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ascii="宋体" w:hAnsi="宋体" w:eastAsia="宋体" w:cs="宋体"/>
                <w:color w:val="auto"/>
                <w:kern w:val="0"/>
                <w:sz w:val="15"/>
                <w:szCs w:val="15"/>
                <w:highlight w:val="none"/>
              </w:rPr>
            </w:pPr>
            <w:r>
              <w:rPr>
                <w:rFonts w:hint="eastAsia" w:ascii="宋体" w:hAnsi="宋体" w:eastAsia="宋体" w:cs="仿宋_GB2312"/>
                <w:color w:val="auto"/>
                <w:sz w:val="15"/>
                <w:szCs w:val="15"/>
                <w:highlight w:val="none"/>
              </w:rPr>
              <w:t>罚款数额＝2000</w:t>
            </w:r>
            <w:r>
              <w:rPr>
                <w:rFonts w:ascii="宋体" w:hAnsi="宋体" w:eastAsia="宋体" w:cs="仿宋_GB2312"/>
                <w:color w:val="auto"/>
                <w:sz w:val="15"/>
                <w:szCs w:val="15"/>
                <w:highlight w:val="none"/>
                <w:lang w:val="en"/>
              </w:rPr>
              <w:t>0</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6"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90" w:name="_Toc110851466"/>
            <w:bookmarkStart w:id="91" w:name="_Toc1495699393"/>
            <w:bookmarkStart w:id="92" w:name="_Toc2058843597"/>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3" w:name="_Toc68389721"/>
            <w:bookmarkStart w:id="94" w:name="_Toc1801139429"/>
            <w:bookmarkStart w:id="95" w:name="_Toc110851467"/>
            <w:r>
              <w:rPr>
                <w:rFonts w:hint="eastAsia" w:ascii="宋体" w:hAnsi="宋体" w:eastAsia="宋体"/>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未按要求公示绿地平面图</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处罚条款：第六十三条 责令限期改正；逾期不改正的，处5000元罚款。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按照条款规定执行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0" w:hRule="atLeast"/>
        </w:trPr>
        <w:tc>
          <w:tcPr>
            <w:tcW w:w="610" w:type="dxa"/>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未按规定对闲置土地进行临时绿化</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处罚条款：第六十四条 责令限期改正；逾期不改正的，处2000元以上2万元以下罚款。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以内，</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0，闲置面积1000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以上的，每增加500</w:t>
            </w:r>
            <w:r>
              <w:rPr>
                <w:rFonts w:hint="eastAsia" w:ascii="宋体" w:hAnsi="宋体" w:eastAsia="宋体" w:cs="Batang"/>
                <w:color w:val="auto"/>
                <w:kern w:val="0"/>
                <w:sz w:val="15"/>
                <w:szCs w:val="15"/>
                <w:highlight w:val="none"/>
              </w:rPr>
              <w:t>㎡</w:t>
            </w:r>
            <w:r>
              <w:rPr>
                <w:rFonts w:hint="eastAsia" w:ascii="宋体" w:hAnsi="宋体" w:eastAsia="宋体" w:cs="宋体"/>
                <w:color w:val="auto"/>
                <w:kern w:val="0"/>
                <w:sz w:val="15"/>
                <w:szCs w:val="15"/>
                <w:highlight w:val="none"/>
              </w:rPr>
              <w:t>，系数增加1；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闲置时间超过一年的，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4；3. 尘土飞扬，对市容环境造成严重影响的，系数9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strike/>
                <w:dstrike w:val="0"/>
                <w:color w:val="auto"/>
                <w:sz w:val="15"/>
                <w:szCs w:val="15"/>
                <w:highlight w:val="none"/>
                <w:lang w:eastAsia="zh-CN"/>
              </w:rPr>
            </w:pPr>
            <w:r>
              <w:rPr>
                <w:rFonts w:hint="eastAsia" w:ascii="宋体" w:hAnsi="宋体" w:eastAsia="宋体"/>
                <w:strike w:val="0"/>
                <w:dstrike w:val="0"/>
                <w:color w:val="auto"/>
                <w:sz w:val="15"/>
                <w:szCs w:val="15"/>
                <w:highlight w:val="none"/>
              </w:rPr>
              <w:t>逾期不改正的情形，不纳入本案由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5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未按养护规范养护绿地、树木</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处罚条款：第六十五条 责令限期改正；逾期不改正，造成树木死亡、绿化设施损毁、景区风貌破坏的，处2000元以上2万元以下罚款。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1.造成树木死亡（胸径小于30厘米且不满3株），绿化设施损毁、景区风貌破坏较重的，或者造成较大社会影响的，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2.造成树木死亡（胸径30厘米以上的，或树木死亡3株以上5株以下），或者造成较大损失的，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4；造成树木死亡（胸径30厘米以上树木3棵以上，以及树木死亡10株以上的），或者造成珍贵树种死亡，景区风貌破坏严重难以复原，以及</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dstrike w:val="0"/>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未按规范开发利用绿地地下空间</w:t>
            </w:r>
          </w:p>
        </w:tc>
        <w:tc>
          <w:tcPr>
            <w:tcW w:w="2789"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p>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处罚条款：第六十六条 责令限期改正；逾期不改正的，处2万元以上10万元以下罚款。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1.造成树木死亡（胸径小于30厘米且不满3株），绿地损毁的，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2.造成树木死亡（胸径30厘米以上的，或树木死亡3株以上），绿地使用功能丧失，或者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社会恶劣影响和重大经济损失的，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逾期不改正的情形，不</w:t>
            </w:r>
            <w:r>
              <w:rPr>
                <w:rFonts w:hint="eastAsia" w:ascii="宋体" w:hAnsi="宋体" w:eastAsia="宋体"/>
                <w:color w:val="auto"/>
                <w:sz w:val="15"/>
                <w:szCs w:val="15"/>
                <w:highlight w:val="none"/>
                <w:lang w:eastAsia="zh-CN"/>
              </w:rPr>
              <w:t>计入</w:t>
            </w:r>
            <w:r>
              <w:rPr>
                <w:rFonts w:hint="eastAsia" w:ascii="宋体" w:hAnsi="宋体" w:eastAsia="宋体"/>
                <w:color w:val="auto"/>
                <w:sz w:val="15"/>
                <w:szCs w:val="15"/>
                <w:highlight w:val="none"/>
              </w:rPr>
              <w:t>本项</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在树木旁或者绿地内倾倒、排放污水、垃圾、渣</w:t>
            </w:r>
            <w:r>
              <w:rPr>
                <w:rFonts w:hint="eastAsia" w:ascii="宋体" w:hAnsi="宋体" w:eastAsia="宋体" w:cs="宋体"/>
                <w:color w:val="auto"/>
                <w:kern w:val="0"/>
                <w:sz w:val="15"/>
                <w:szCs w:val="15"/>
                <w:highlight w:val="none"/>
                <w:shd w:val="clear" w:color="auto" w:fill="auto"/>
              </w:rPr>
              <w:t>土及其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shd w:val="clear" w:color="auto" w:fill="auto"/>
              </w:rPr>
              <w:t>废弃</w:t>
            </w:r>
            <w:r>
              <w:rPr>
                <w:rFonts w:hint="eastAsia" w:ascii="宋体" w:hAnsi="宋体" w:eastAsia="宋体" w:cs="宋体"/>
                <w:color w:val="auto"/>
                <w:kern w:val="0"/>
                <w:sz w:val="15"/>
                <w:szCs w:val="15"/>
                <w:highlight w:val="none"/>
              </w:rPr>
              <w:t>物</w:t>
            </w:r>
          </w:p>
        </w:tc>
        <w:tc>
          <w:tcPr>
            <w:tcW w:w="2789"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06"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损毁树木、花草及绿化设施</w:t>
            </w:r>
          </w:p>
        </w:tc>
        <w:tc>
          <w:tcPr>
            <w:tcW w:w="2789" w:type="dxa"/>
            <w:vMerge w:val="restart"/>
            <w:noWrap w:val="0"/>
            <w:vAlign w:val="center"/>
          </w:tcPr>
          <w:p>
            <w:pPr>
              <w:spacing w:line="206"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p>
        </w:tc>
        <w:tc>
          <w:tcPr>
            <w:tcW w:w="3426" w:type="dxa"/>
            <w:noWrap w:val="0"/>
            <w:vAlign w:val="center"/>
          </w:tcPr>
          <w:p>
            <w:pPr>
              <w:spacing w:line="206"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6" w:lineRule="exact"/>
              <w:rPr>
                <w:rFonts w:ascii="宋体" w:hAnsi="宋体" w:eastAsia="宋体" w:cs="宋体"/>
                <w:color w:val="auto"/>
                <w:kern w:val="0"/>
                <w:sz w:val="15"/>
                <w:szCs w:val="15"/>
                <w:highlight w:val="none"/>
              </w:rPr>
            </w:pPr>
          </w:p>
        </w:tc>
        <w:tc>
          <w:tcPr>
            <w:tcW w:w="1982" w:type="dxa"/>
            <w:gridSpan w:val="2"/>
            <w:noWrap w:val="0"/>
            <w:vAlign w:val="center"/>
          </w:tcPr>
          <w:p>
            <w:pPr>
              <w:spacing w:line="206"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6"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06" w:lineRule="exact"/>
              <w:rPr>
                <w:rFonts w:ascii="宋体" w:hAnsi="宋体" w:eastAsia="宋体" w:cs="宋体"/>
                <w:color w:val="auto"/>
                <w:kern w:val="0"/>
                <w:sz w:val="15"/>
                <w:szCs w:val="15"/>
                <w:highlight w:val="none"/>
              </w:rPr>
            </w:pPr>
          </w:p>
        </w:tc>
        <w:tc>
          <w:tcPr>
            <w:tcW w:w="851"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06"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6" w:lineRule="exact"/>
              <w:rPr>
                <w:rFonts w:ascii="宋体" w:hAnsi="宋体" w:eastAsia="宋体" w:cs="宋体"/>
                <w:color w:val="auto"/>
                <w:kern w:val="0"/>
                <w:sz w:val="15"/>
                <w:szCs w:val="15"/>
                <w:highlight w:val="none"/>
              </w:rPr>
            </w:pPr>
          </w:p>
        </w:tc>
        <w:tc>
          <w:tcPr>
            <w:tcW w:w="897" w:type="dxa"/>
            <w:gridSpan w:val="2"/>
            <w:noWrap w:val="0"/>
            <w:vAlign w:val="center"/>
          </w:tcPr>
          <w:p>
            <w:pPr>
              <w:spacing w:line="206"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6"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在树木或者绿化设施上悬挂广告牌或者其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物品</w:t>
            </w:r>
          </w:p>
        </w:tc>
        <w:tc>
          <w:tcPr>
            <w:tcW w:w="2789"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8"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50"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在绿地内取土、搭建构筑物</w:t>
            </w:r>
          </w:p>
        </w:tc>
        <w:tc>
          <w:tcPr>
            <w:tcW w:w="2789"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56"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50"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50" w:lineRule="exact"/>
              <w:rPr>
                <w:rFonts w:ascii="宋体" w:hAnsi="宋体" w:eastAsia="宋体" w:cs="宋体"/>
                <w:color w:val="auto"/>
                <w:kern w:val="0"/>
                <w:sz w:val="15"/>
                <w:szCs w:val="15"/>
                <w:highlight w:val="none"/>
              </w:rPr>
            </w:pP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50" w:lineRule="exact"/>
              <w:rPr>
                <w:rFonts w:ascii="宋体" w:hAnsi="宋体" w:eastAsia="宋体" w:cs="宋体"/>
                <w:color w:val="auto"/>
                <w:kern w:val="0"/>
                <w:sz w:val="15"/>
                <w:szCs w:val="15"/>
                <w:highlight w:val="none"/>
              </w:rPr>
            </w:pPr>
          </w:p>
        </w:tc>
        <w:tc>
          <w:tcPr>
            <w:tcW w:w="897" w:type="dxa"/>
            <w:gridSpan w:val="2"/>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在绿地内用火、烧烤</w:t>
            </w:r>
          </w:p>
        </w:tc>
        <w:tc>
          <w:tcPr>
            <w:tcW w:w="2789" w:type="dxa"/>
            <w:vMerge w:val="restart"/>
            <w:noWrap w:val="0"/>
            <w:vAlign w:val="center"/>
          </w:tcPr>
          <w:p>
            <w:pPr>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noWrap w:val="0"/>
            <w:vAlign w:val="center"/>
          </w:tcPr>
          <w:p>
            <w:pPr>
              <w:spacing w:line="250" w:lineRule="exact"/>
              <w:jc w:val="center"/>
              <w:rPr>
                <w:rFonts w:ascii="宋体" w:hAnsi="宋体" w:eastAsia="宋体" w:cs="宋体"/>
                <w:color w:val="auto"/>
                <w:kern w:val="0"/>
                <w:sz w:val="15"/>
                <w:szCs w:val="15"/>
                <w:highlight w:val="none"/>
              </w:rPr>
            </w:pPr>
          </w:p>
        </w:tc>
        <w:tc>
          <w:tcPr>
            <w:tcW w:w="840" w:type="dxa"/>
            <w:noWrap w:val="0"/>
            <w:vAlign w:val="center"/>
          </w:tcPr>
          <w:p>
            <w:pPr>
              <w:spacing w:line="250" w:lineRule="exact"/>
              <w:jc w:val="center"/>
              <w:rPr>
                <w:rFonts w:ascii="宋体" w:hAnsi="宋体" w:eastAsia="宋体" w:cs="宋体"/>
                <w:color w:val="auto"/>
                <w:kern w:val="0"/>
                <w:sz w:val="15"/>
                <w:szCs w:val="15"/>
                <w:highlight w:val="none"/>
              </w:rPr>
            </w:pPr>
          </w:p>
        </w:tc>
        <w:tc>
          <w:tcPr>
            <w:tcW w:w="3426" w:type="dxa"/>
            <w:noWrap w:val="0"/>
            <w:vAlign w:val="center"/>
          </w:tcPr>
          <w:p>
            <w:pPr>
              <w:spacing w:line="25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50" w:lineRule="exact"/>
              <w:rPr>
                <w:rFonts w:ascii="宋体" w:hAnsi="宋体" w:eastAsia="宋体" w:cs="宋体"/>
                <w:color w:val="auto"/>
                <w:kern w:val="0"/>
                <w:sz w:val="15"/>
                <w:szCs w:val="15"/>
                <w:highlight w:val="none"/>
              </w:rPr>
            </w:pPr>
          </w:p>
        </w:tc>
        <w:tc>
          <w:tcPr>
            <w:tcW w:w="1982" w:type="dxa"/>
            <w:gridSpan w:val="2"/>
            <w:noWrap w:val="0"/>
            <w:vAlign w:val="center"/>
          </w:tcPr>
          <w:p>
            <w:pPr>
              <w:spacing w:line="25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5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5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实施其</w:t>
            </w:r>
            <w:r>
              <w:rPr>
                <w:rFonts w:hint="eastAsia" w:ascii="宋体" w:hAnsi="宋体" w:eastAsia="宋体" w:cs="宋体"/>
                <w:color w:val="auto"/>
                <w:kern w:val="0"/>
                <w:sz w:val="15"/>
                <w:szCs w:val="15"/>
                <w:highlight w:val="none"/>
                <w:shd w:val="clear" w:color="auto" w:fill="auto"/>
                <w:lang w:eastAsia="zh-CN"/>
              </w:rPr>
              <w:t>他</w:t>
            </w:r>
            <w:r>
              <w:rPr>
                <w:rFonts w:hint="eastAsia" w:ascii="宋体" w:hAnsi="宋体" w:eastAsia="宋体" w:cs="宋体"/>
                <w:color w:val="auto"/>
                <w:kern w:val="0"/>
                <w:sz w:val="15"/>
                <w:szCs w:val="15"/>
                <w:highlight w:val="none"/>
              </w:rPr>
              <w:t>损害绿化成果及绿化设施的行为</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8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造成树木、绿地或绿化设施损毁严重的，系数9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未经许可擅自改变绿地性质和用途</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违反条款：第五十七条；处罚条款：第六十八条责令限期改正、恢复原状，并按照改变的面积处每平方米300元以上3000元以下罚款</w:t>
            </w:r>
            <w:r>
              <w:rPr>
                <w:rFonts w:ascii="宋体" w:hAnsi="宋体" w:eastAsia="宋体" w:cs="宋体"/>
                <w:color w:val="auto"/>
                <w:kern w:val="0"/>
                <w:sz w:val="15"/>
                <w:szCs w:val="15"/>
                <w:highlight w:val="none"/>
              </w:rPr>
              <w:t>。</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1.擅自改变公共绿地性质和用途的，系数5-9；主动改正违法行为或者减轻违法后果的，系数1-4。2.改变</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未按规定移植树木</w:t>
            </w:r>
          </w:p>
        </w:tc>
        <w:tc>
          <w:tcPr>
            <w:tcW w:w="2789"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罚款数额＝树木价值×（3＋</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未按规定砍伐树木</w:t>
            </w:r>
          </w:p>
        </w:tc>
        <w:tc>
          <w:tcPr>
            <w:tcW w:w="2789" w:type="dxa"/>
            <w:noWrap w:val="0"/>
            <w:vAlign w:val="center"/>
          </w:tcPr>
          <w:p>
            <w:pPr>
              <w:spacing w:line="232"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 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违反规定截除树木主干、去除树冠</w:t>
            </w:r>
          </w:p>
        </w:tc>
        <w:tc>
          <w:tcPr>
            <w:tcW w:w="2789" w:type="dxa"/>
            <w:noWrap w:val="0"/>
            <w:vAlign w:val="center"/>
          </w:tcPr>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第五十条第（六）项；</w:t>
            </w:r>
          </w:p>
          <w:p>
            <w:pPr>
              <w:spacing w:line="25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w:t>
            </w:r>
            <w:r>
              <w:rPr>
                <w:rFonts w:ascii="宋体" w:hAnsi="宋体" w:eastAsia="宋体" w:cs="宋体"/>
                <w:color w:val="auto"/>
                <w:kern w:val="0"/>
                <w:sz w:val="15"/>
                <w:szCs w:val="15"/>
                <w:highlight w:val="none"/>
              </w:rPr>
              <w:t>条款：</w:t>
            </w:r>
            <w:r>
              <w:rPr>
                <w:rFonts w:hint="eastAsia" w:ascii="宋体" w:hAnsi="宋体" w:eastAsia="宋体" w:cs="宋体"/>
                <w:color w:val="auto"/>
                <w:kern w:val="0"/>
                <w:sz w:val="15"/>
                <w:szCs w:val="15"/>
                <w:highlight w:val="none"/>
              </w:rPr>
              <w:t>第七十条第一款、第二款  责令停止违法行为，并在规定地点补种砍伐株数10倍的树木，处所砍伐树木价值5至10倍的罚款。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树木价值</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违反规定截除（擅自砍伐）第五十九条第一款四种情形之外树木主干、去除树冠的，系数1-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罚款数额＝树木价值×（5＋</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5</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未经许可临时占用绿地</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处罚条款：第六十八条 责令限期改正、恢复原状，并按照改变的面积处每平方米300元以上3000元以下罚款。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1.临时占用公共绿地的，系数5-9；主动改正违法行为或者减轻违法后果的，系数1-4。2.临时占用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绿地的，系数1-4；3.存在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情节严重或者社会影响恶劣的情形，系数5-9。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罚款数额＝面积×300×（1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b/>
                <w:color w:val="auto"/>
                <w:kern w:val="0"/>
                <w:sz w:val="15"/>
                <w:szCs w:val="15"/>
                <w:highlight w:val="none"/>
              </w:rPr>
            </w:pP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b/>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未将代征绿地交绿化主管部门组织绿化</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处罚条款：第七十一条 责令限期交回，并处每日每平方米0.5元的罚款。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按规定计算罚款额度。</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81"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6" w:name="_Toc177791596"/>
            <w:bookmarkStart w:id="97" w:name="_Toc110851468"/>
            <w:bookmarkStart w:id="98" w:name="_Toc1043557846"/>
            <w:r>
              <w:rPr>
                <w:rFonts w:hint="eastAsia" w:ascii="宋体" w:hAnsi="宋体" w:eastAsia="宋体"/>
                <w:color w:val="auto"/>
                <w:sz w:val="21"/>
                <w:szCs w:val="21"/>
                <w:highlight w:val="none"/>
              </w:rPr>
              <w:t>《北京市物业</w:t>
            </w:r>
            <w:r>
              <w:rPr>
                <w:rFonts w:ascii="宋体" w:hAnsi="宋体" w:eastAsia="宋体"/>
                <w:color w:val="auto"/>
                <w:sz w:val="21"/>
                <w:szCs w:val="21"/>
                <w:highlight w:val="none"/>
              </w:rPr>
              <w:t>管理条例</w:t>
            </w:r>
            <w:r>
              <w:rPr>
                <w:rFonts w:hint="eastAsia" w:ascii="宋体" w:hAnsi="宋体" w:eastAsia="宋体"/>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3"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侵占绿地、毁坏绿化植物和绿化设施</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违反条款：第七十八条第二款第(九)项。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处罚条款：第九十八条第（九）项，责令改正，拒不改正的，处五百元以上五千元以下的罚款。</w:t>
            </w:r>
          </w:p>
        </w:tc>
        <w:tc>
          <w:tcPr>
            <w:tcW w:w="851" w:type="dxa"/>
            <w:noWrap w:val="0"/>
            <w:vAlign w:val="center"/>
          </w:tcPr>
          <w:p>
            <w:pPr>
              <w:spacing w:line="212" w:lineRule="exact"/>
              <w:ind w:firstLine="225" w:firstLineChars="150"/>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numPr>
                <w:ilvl w:val="0"/>
                <w:numId w:val="0"/>
              </w:num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造成绿化</w:t>
            </w:r>
            <w:r>
              <w:rPr>
                <w:rFonts w:ascii="宋体" w:hAnsi="宋体" w:eastAsia="宋体"/>
                <w:color w:val="auto"/>
                <w:sz w:val="15"/>
                <w:szCs w:val="15"/>
                <w:highlight w:val="none"/>
              </w:rPr>
              <w:t>植物</w:t>
            </w:r>
            <w:r>
              <w:rPr>
                <w:rFonts w:hint="eastAsia" w:ascii="宋体" w:hAnsi="宋体" w:eastAsia="宋体"/>
                <w:color w:val="auto"/>
                <w:sz w:val="15"/>
                <w:szCs w:val="15"/>
                <w:highlight w:val="none"/>
              </w:rPr>
              <w:t>、绿地或绿化设施损毁严重的，系数9。</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经责令改正后，当事人主动改正违法行为，不予处罚</w:t>
            </w:r>
            <w:r>
              <w:rPr>
                <w:rFonts w:hint="eastAsia" w:ascii="宋体" w:hAnsi="宋体" w:eastAsia="宋体"/>
                <w:strike w:val="0"/>
                <w:dstrike w:val="0"/>
                <w:color w:val="auto"/>
                <w:sz w:val="15"/>
                <w:szCs w:val="15"/>
                <w:highlight w:val="none"/>
                <w:lang w:eastAsia="zh-CN"/>
              </w:rPr>
              <w:t>。</w:t>
            </w:r>
          </w:p>
        </w:tc>
        <w:tc>
          <w:tcPr>
            <w:tcW w:w="897" w:type="dxa"/>
            <w:gridSpan w:val="2"/>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0"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99" w:name="_Toc1576301640"/>
            <w:bookmarkStart w:id="100" w:name="_Toc1677030221"/>
            <w:bookmarkStart w:id="101" w:name="_Toc1446129084"/>
            <w:bookmarkStart w:id="102" w:name="_Toc110851469"/>
            <w:r>
              <w:rPr>
                <w:rFonts w:hint="eastAsia" w:ascii="宋体" w:hAnsi="宋体" w:eastAsia="宋体" w:cs="宋体"/>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4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74"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4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5"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02"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26"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34"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8"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7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3"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9" w:hRule="atLeast"/>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50" w:hRule="atLeast"/>
        </w:trPr>
        <w:tc>
          <w:tcPr>
            <w:tcW w:w="15100" w:type="dxa"/>
            <w:gridSpan w:val="14"/>
            <w:noWrap w:val="0"/>
            <w:vAlign w:val="center"/>
          </w:tcPr>
          <w:p>
            <w:pPr>
              <w:pStyle w:val="3"/>
              <w:bidi w:val="0"/>
              <w:jc w:val="center"/>
              <w:rPr>
                <w:rFonts w:hint="eastAsia"/>
                <w:color w:val="auto"/>
                <w:highlight w:val="none"/>
                <w:lang w:val="en-US" w:eastAsia="zh-CN"/>
              </w:rPr>
            </w:pPr>
            <w:bookmarkStart w:id="103" w:name="_Toc274977827"/>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3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10"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75"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3"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2"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04" w:name="_Toc944187993"/>
            <w:bookmarkStart w:id="105" w:name="_Toc110851470"/>
            <w:bookmarkStart w:id="106" w:name="_Toc465734653"/>
            <w:r>
              <w:rPr>
                <w:rFonts w:hint="eastAsia" w:ascii="宋体" w:hAnsi="宋体" w:eastAsia="宋体"/>
                <w:color w:val="auto"/>
                <w:sz w:val="21"/>
                <w:szCs w:val="21"/>
                <w:highlight w:val="none"/>
              </w:rPr>
              <w:t>《北京市公园条例》案由</w:t>
            </w:r>
            <w:r>
              <w:rPr>
                <w:rFonts w:ascii="宋体" w:hAnsi="宋体" w:eastAsia="宋体"/>
                <w:color w:val="auto"/>
                <w:sz w:val="21"/>
                <w:szCs w:val="21"/>
                <w:highlight w:val="none"/>
              </w:rPr>
              <w:t xml:space="preserve"> 18</w:t>
            </w:r>
            <w:r>
              <w:rPr>
                <w:rFonts w:hint="eastAsia" w:ascii="宋体" w:hAnsi="宋体" w:eastAsia="宋体"/>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翻越围墙、栏杆、绿篱</w:t>
            </w:r>
          </w:p>
        </w:tc>
        <w:tc>
          <w:tcPr>
            <w:tcW w:w="2789" w:type="dxa"/>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第（一）项；处罚条款：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第一款第（一）项 </w:t>
            </w:r>
            <w:r>
              <w:rPr>
                <w:rFonts w:ascii="宋体" w:hAnsi="宋体" w:eastAsia="宋体" w:cs="宋体"/>
                <w:color w:val="auto"/>
                <w:kern w:val="0"/>
                <w:sz w:val="15"/>
                <w:szCs w:val="15"/>
                <w:highlight w:val="none"/>
              </w:rPr>
              <w:t>责令改正，并可以处20元以上50元以下罚款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restart"/>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在禁烟区吸烟</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在非游泳区游泳，在非滑冰区滑冰，在非钓鱼区钓鱼，在非体育运动场所踢球、滑旱冰</w:t>
            </w:r>
            <w:r>
              <w:rPr>
                <w:rFonts w:hint="eastAsia" w:ascii="宋体" w:hAnsi="宋体" w:eastAsia="宋体" w:cs="宋体"/>
                <w:color w:val="auto"/>
                <w:kern w:val="0"/>
                <w:sz w:val="15"/>
                <w:szCs w:val="15"/>
                <w:highlight w:val="none"/>
              </w:rPr>
              <w:t>）</w:t>
            </w: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vMerge w:val="continue"/>
            <w:noWrap w:val="0"/>
            <w:vAlign w:val="center"/>
          </w:tcPr>
          <w:p>
            <w:pPr>
              <w:spacing w:line="232" w:lineRule="exact"/>
              <w:ind w:firstLine="300" w:firstLineChars="200"/>
              <w:jc w:val="center"/>
              <w:rPr>
                <w:rFonts w:ascii="宋体" w:hAnsi="宋体" w:eastAsia="宋体" w:cs="宋体"/>
                <w:color w:val="auto"/>
                <w:kern w:val="0"/>
                <w:sz w:val="15"/>
                <w:szCs w:val="15"/>
                <w:highlight w:val="none"/>
              </w:rPr>
            </w:pPr>
          </w:p>
        </w:tc>
        <w:tc>
          <w:tcPr>
            <w:tcW w:w="3426"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tcBorders>
              <w:bottom w:val="single" w:color="auto" w:sz="4" w:space="0"/>
            </w:tcBorders>
            <w:noWrap w:val="0"/>
            <w:vAlign w:val="center"/>
          </w:tcPr>
          <w:p>
            <w:pPr>
              <w:spacing w:line="19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随地吐痰、便溺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乱丢果皮等废弃物</w:t>
            </w:r>
            <w:r>
              <w:rPr>
                <w:rFonts w:hint="eastAsia" w:ascii="宋体" w:hAnsi="宋体" w:eastAsia="宋体" w:cs="宋体"/>
                <w:color w:val="auto"/>
                <w:kern w:val="0"/>
                <w:sz w:val="15"/>
                <w:szCs w:val="15"/>
                <w:highlight w:val="none"/>
              </w:rPr>
              <w:t>）</w:t>
            </w:r>
          </w:p>
        </w:tc>
        <w:tc>
          <w:tcPr>
            <w:tcW w:w="2789"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12"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12"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营火、烧烤</w:t>
            </w:r>
          </w:p>
        </w:tc>
        <w:tc>
          <w:tcPr>
            <w:tcW w:w="2789"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第四十六条</w:t>
            </w:r>
            <w:r>
              <w:rPr>
                <w:rFonts w:hint="eastAsia" w:ascii="宋体" w:hAnsi="宋体" w:eastAsia="宋体" w:cs="宋体"/>
                <w:color w:val="auto"/>
                <w:kern w:val="0"/>
                <w:sz w:val="15"/>
                <w:szCs w:val="15"/>
                <w:highlight w:val="none"/>
              </w:rPr>
              <w:t>第（二）项；处罚条款：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第一款第（二）项 </w:t>
            </w:r>
            <w:r>
              <w:rPr>
                <w:rFonts w:ascii="宋体" w:hAnsi="宋体" w:eastAsia="宋体" w:cs="宋体"/>
                <w:color w:val="auto"/>
                <w:kern w:val="0"/>
                <w:sz w:val="15"/>
                <w:szCs w:val="15"/>
                <w:highlight w:val="none"/>
              </w:rPr>
              <w:t>责令改正，并可以处50元以上100元以下罚款</w:t>
            </w:r>
            <w:r>
              <w:rPr>
                <w:rFonts w:hint="eastAsia" w:ascii="宋体" w:hAnsi="宋体" w:eastAsia="宋体" w:cs="宋体"/>
                <w:color w:val="auto"/>
                <w:kern w:val="0"/>
                <w:sz w:val="15"/>
                <w:szCs w:val="15"/>
                <w:highlight w:val="none"/>
              </w:rPr>
              <w:t>。</w:t>
            </w:r>
          </w:p>
        </w:tc>
        <w:tc>
          <w:tcPr>
            <w:tcW w:w="851"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vMerge w:val="restart"/>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9"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捕捞、捕捉动物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采挖植物，恐吓、投打、伤害动物</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在非投喂区投喂动物</w:t>
            </w:r>
            <w:r>
              <w:rPr>
                <w:rFonts w:hint="eastAsia" w:ascii="宋体" w:hAnsi="宋体" w:eastAsia="宋体" w:cs="宋体"/>
                <w:color w:val="auto"/>
                <w:kern w:val="0"/>
                <w:sz w:val="15"/>
                <w:szCs w:val="15"/>
                <w:highlight w:val="none"/>
              </w:rPr>
              <w:t>）</w:t>
            </w:r>
          </w:p>
        </w:tc>
        <w:tc>
          <w:tcPr>
            <w:tcW w:w="2789"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61"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在建筑物、构筑物、设施、树木上涂写、刻划</w:t>
            </w:r>
            <w:r>
              <w:rPr>
                <w:rFonts w:hint="eastAsia" w:ascii="宋体" w:hAnsi="宋体" w:eastAsia="宋体" w:cs="宋体"/>
                <w:color w:val="auto"/>
                <w:kern w:val="0"/>
                <w:sz w:val="15"/>
                <w:szCs w:val="15"/>
                <w:highlight w:val="none"/>
              </w:rPr>
              <w:t xml:space="preserve"> </w:t>
            </w:r>
          </w:p>
        </w:tc>
        <w:tc>
          <w:tcPr>
            <w:tcW w:w="2789" w:type="dxa"/>
            <w:vMerge w:val="restart"/>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第四十六</w:t>
            </w:r>
            <w:r>
              <w:rPr>
                <w:rFonts w:hint="eastAsia" w:ascii="宋体" w:hAnsi="宋体" w:eastAsia="宋体" w:cs="宋体"/>
                <w:color w:val="auto"/>
                <w:kern w:val="0"/>
                <w:sz w:val="15"/>
                <w:szCs w:val="15"/>
                <w:highlight w:val="none"/>
                <w:lang w:eastAsia="zh-CN"/>
              </w:rPr>
              <w:t>条</w:t>
            </w:r>
            <w:r>
              <w:rPr>
                <w:rFonts w:hint="eastAsia" w:ascii="宋体" w:hAnsi="宋体" w:eastAsia="宋体" w:cs="宋体"/>
                <w:color w:val="auto"/>
                <w:kern w:val="0"/>
                <w:sz w:val="15"/>
                <w:szCs w:val="15"/>
                <w:highlight w:val="none"/>
              </w:rPr>
              <w:t>第（三）项；处罚条款：</w:t>
            </w:r>
            <w:r>
              <w:rPr>
                <w:rFonts w:ascii="宋体" w:hAnsi="宋体" w:eastAsia="宋体" w:cs="宋体"/>
                <w:color w:val="auto"/>
                <w:kern w:val="0"/>
                <w:sz w:val="15"/>
                <w:szCs w:val="15"/>
                <w:highlight w:val="none"/>
              </w:rPr>
              <w:t>第五十六条</w:t>
            </w:r>
            <w:r>
              <w:rPr>
                <w:rFonts w:hint="eastAsia" w:ascii="宋体" w:hAnsi="宋体" w:eastAsia="宋体" w:cs="宋体"/>
                <w:color w:val="auto"/>
                <w:kern w:val="0"/>
                <w:sz w:val="15"/>
                <w:szCs w:val="15"/>
                <w:highlight w:val="none"/>
              </w:rPr>
              <w:t xml:space="preserve">第一款第（三）项 </w:t>
            </w:r>
            <w:r>
              <w:rPr>
                <w:rFonts w:ascii="宋体" w:hAnsi="宋体" w:eastAsia="宋体" w:cs="宋体"/>
                <w:color w:val="auto"/>
                <w:kern w:val="0"/>
                <w:sz w:val="15"/>
                <w:szCs w:val="15"/>
                <w:highlight w:val="none"/>
              </w:rPr>
              <w:t>给予警告，并处5元以上50元以下罚款</w:t>
            </w:r>
          </w:p>
        </w:tc>
        <w:tc>
          <w:tcPr>
            <w:tcW w:w="851" w:type="dxa"/>
            <w:vMerge w:val="restart"/>
            <w:noWrap w:val="0"/>
            <w:vAlign w:val="center"/>
          </w:tcPr>
          <w:p>
            <w:pPr>
              <w:spacing w:line="200" w:lineRule="exact"/>
              <w:rPr>
                <w:rFonts w:ascii="宋体" w:hAnsi="宋体" w:eastAsia="宋体" w:cs="宋体"/>
                <w:color w:val="auto"/>
                <w:kern w:val="0"/>
                <w:sz w:val="15"/>
                <w:szCs w:val="15"/>
                <w:highlight w:val="none"/>
              </w:rPr>
            </w:pPr>
          </w:p>
        </w:tc>
        <w:tc>
          <w:tcPr>
            <w:tcW w:w="840" w:type="dxa"/>
            <w:vMerge w:val="restart"/>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restart"/>
            <w:noWrap w:val="0"/>
            <w:vAlign w:val="center"/>
          </w:tcPr>
          <w:p>
            <w:pPr>
              <w:spacing w:line="20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 </w:t>
            </w:r>
          </w:p>
        </w:tc>
        <w:tc>
          <w:tcPr>
            <w:tcW w:w="1875" w:type="dxa"/>
            <w:gridSpan w:val="2"/>
            <w:vMerge w:val="restart"/>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restart"/>
            <w:noWrap w:val="0"/>
            <w:vAlign w:val="center"/>
          </w:tcPr>
          <w:p>
            <w:pPr>
              <w:spacing w:line="20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按照简易程序执行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6"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公园内游人</w:t>
            </w:r>
            <w:r>
              <w:rPr>
                <w:rFonts w:ascii="宋体" w:hAnsi="宋体" w:eastAsia="宋体" w:cs="宋体"/>
                <w:color w:val="auto"/>
                <w:kern w:val="0"/>
                <w:sz w:val="15"/>
                <w:szCs w:val="15"/>
                <w:highlight w:val="none"/>
              </w:rPr>
              <w:t>攀折花木</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损坏草坪、树木</w:t>
            </w:r>
            <w:r>
              <w:rPr>
                <w:rFonts w:hint="eastAsia" w:ascii="宋体" w:hAnsi="宋体" w:eastAsia="宋体" w:cs="宋体"/>
                <w:color w:val="auto"/>
                <w:kern w:val="0"/>
                <w:sz w:val="15"/>
                <w:szCs w:val="15"/>
                <w:highlight w:val="none"/>
              </w:rPr>
              <w:t>）</w:t>
            </w:r>
          </w:p>
        </w:tc>
        <w:tc>
          <w:tcPr>
            <w:tcW w:w="2789"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51" w:type="dxa"/>
            <w:vMerge w:val="continue"/>
            <w:tcBorders>
              <w:bottom w:val="single" w:color="auto" w:sz="4" w:space="0"/>
            </w:tcBorders>
            <w:noWrap w:val="0"/>
            <w:vAlign w:val="center"/>
          </w:tcPr>
          <w:p>
            <w:pPr>
              <w:spacing w:line="200" w:lineRule="exact"/>
              <w:jc w:val="center"/>
              <w:rPr>
                <w:rFonts w:ascii="宋体" w:hAnsi="宋体" w:eastAsia="宋体" w:cs="宋体"/>
                <w:color w:val="auto"/>
                <w:kern w:val="0"/>
                <w:sz w:val="15"/>
                <w:szCs w:val="15"/>
                <w:highlight w:val="none"/>
              </w:rPr>
            </w:pPr>
          </w:p>
        </w:tc>
        <w:tc>
          <w:tcPr>
            <w:tcW w:w="840" w:type="dxa"/>
            <w:vMerge w:val="continue"/>
            <w:tcBorders>
              <w:bottom w:val="single" w:color="auto" w:sz="4" w:space="0"/>
            </w:tcBorders>
            <w:noWrap w:val="0"/>
            <w:vAlign w:val="center"/>
          </w:tcPr>
          <w:p>
            <w:pPr>
              <w:spacing w:line="200" w:lineRule="exact"/>
              <w:ind w:firstLine="300" w:firstLineChars="200"/>
              <w:jc w:val="center"/>
              <w:rPr>
                <w:rFonts w:ascii="宋体" w:hAnsi="宋体" w:eastAsia="宋体" w:cs="宋体"/>
                <w:color w:val="auto"/>
                <w:kern w:val="0"/>
                <w:sz w:val="15"/>
                <w:szCs w:val="15"/>
                <w:highlight w:val="none"/>
              </w:rPr>
            </w:pPr>
          </w:p>
        </w:tc>
        <w:tc>
          <w:tcPr>
            <w:tcW w:w="3426" w:type="dxa"/>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1982" w:type="dxa"/>
            <w:gridSpan w:val="2"/>
            <w:vMerge w:val="continue"/>
            <w:tcBorders>
              <w:bottom w:val="single" w:color="auto" w:sz="4" w:space="0"/>
            </w:tcBorders>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tcBorders>
              <w:bottom w:val="single" w:color="auto" w:sz="4" w:space="0"/>
            </w:tcBorders>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擅自改变公园的功能</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第（一）项 责令限期改正，恢复原功能，并可以处1万元以上10万元以下罚款。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2" w:hRule="atLeast"/>
        </w:trPr>
        <w:tc>
          <w:tcPr>
            <w:tcW w:w="61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侵占公园用地</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第（二）项 责令立即腾退，恢复原状，并可以按照侵占面积每平方米处300元罚款。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p>
        </w:tc>
        <w:tc>
          <w:tcPr>
            <w:tcW w:w="3426" w:type="dxa"/>
            <w:noWrap w:val="0"/>
            <w:vAlign w:val="center"/>
          </w:tcPr>
          <w:p>
            <w:pPr>
              <w:spacing w:line="200" w:lineRule="exact"/>
              <w:rPr>
                <w:rFonts w:ascii="宋体" w:hAnsi="宋体" w:eastAsia="宋体" w:cs="宋体"/>
                <w:color w:val="auto"/>
                <w:kern w:val="0"/>
                <w:sz w:val="15"/>
                <w:szCs w:val="15"/>
                <w:highlight w:val="none"/>
              </w:rPr>
            </w:pPr>
          </w:p>
        </w:tc>
        <w:tc>
          <w:tcPr>
            <w:tcW w:w="1875" w:type="dxa"/>
            <w:gridSpan w:val="2"/>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罚款数额＝侵占面积×300元。</w:t>
            </w:r>
          </w:p>
        </w:tc>
        <w:tc>
          <w:tcPr>
            <w:tcW w:w="1982" w:type="dxa"/>
            <w:gridSpan w:val="2"/>
            <w:noWrap w:val="0"/>
            <w:vAlign w:val="center"/>
          </w:tcPr>
          <w:p>
            <w:pPr>
              <w:spacing w:line="200" w:lineRule="exact"/>
              <w:rPr>
                <w:rFonts w:ascii="宋体" w:hAnsi="宋体" w:eastAsia="宋体" w:cs="宋体"/>
                <w:color w:val="auto"/>
                <w:kern w:val="0"/>
                <w:sz w:val="15"/>
                <w:szCs w:val="15"/>
                <w:highlight w:val="none"/>
              </w:rPr>
            </w:pPr>
          </w:p>
        </w:tc>
        <w:tc>
          <w:tcPr>
            <w:tcW w:w="897" w:type="dxa"/>
            <w:gridSpan w:val="2"/>
            <w:noWrap w:val="0"/>
            <w:vAlign w:val="center"/>
          </w:tcPr>
          <w:p>
            <w:pPr>
              <w:spacing w:line="20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公园未经验收交付使用</w:t>
            </w:r>
          </w:p>
        </w:tc>
        <w:tc>
          <w:tcPr>
            <w:tcW w:w="2789"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，责令改正，并可以处1万元以上10万元以下罚款。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1.公园建设工程已经完工，具备开园条件，但未经验收交付使用的，系数</w:t>
            </w:r>
            <w:r>
              <w:rPr>
                <w:rFonts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rPr>
              <w:t>-4；2.公园建设工程尚未完全完工，且未经验收交付使用的，系数5-9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在历史名园保护区内建设影响原有风貌和格局的建筑物、构建物</w:t>
            </w:r>
          </w:p>
        </w:tc>
        <w:tc>
          <w:tcPr>
            <w:tcW w:w="2789"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二十九</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三</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w:t>
            </w:r>
          </w:p>
        </w:tc>
        <w:tc>
          <w:tcPr>
            <w:tcW w:w="840" w:type="dxa"/>
            <w:noWrap w:val="0"/>
            <w:vAlign w:val="center"/>
          </w:tcPr>
          <w:p>
            <w:pPr>
              <w:spacing w:line="224"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1.面积500平方米以下（不含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0</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3；</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.违法建筑物、构筑物的面积500平方米以上不足1000平方米（不含</w:t>
            </w:r>
            <w:r>
              <w:rPr>
                <w:rFonts w:ascii="宋体" w:hAnsi="宋体" w:eastAsia="宋体" w:cs="宋体"/>
                <w:color w:val="auto"/>
                <w:kern w:val="0"/>
                <w:sz w:val="15"/>
                <w:szCs w:val="15"/>
                <w:highlight w:val="none"/>
              </w:rPr>
              <w:t>本数</w:t>
            </w:r>
            <w:r>
              <w:rPr>
                <w:rFonts w:hint="eastAsia" w:ascii="宋体" w:hAnsi="宋体" w:eastAsia="宋体" w:cs="宋体"/>
                <w:color w:val="auto"/>
                <w:kern w:val="0"/>
                <w:sz w:val="15"/>
                <w:szCs w:val="15"/>
                <w:highlight w:val="none"/>
              </w:rPr>
              <w:t>）的，系数4</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.违法建筑物、构筑物的面积1000平方米以上的，系数7-9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罚款数额＝300×（1＋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系数）×面积。</w:t>
            </w:r>
          </w:p>
        </w:tc>
        <w:tc>
          <w:tcPr>
            <w:tcW w:w="1982" w:type="dxa"/>
            <w:gridSpan w:val="2"/>
            <w:noWrap w:val="0"/>
            <w:vAlign w:val="center"/>
          </w:tcPr>
          <w:p>
            <w:pPr>
              <w:spacing w:line="224"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对原有文物建筑及其附属物损毁、改建、拆除的，按照文物保护的法律、法规规定予以处罚和赔偿。</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5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擅自改变无法以人力再造和无法再生的自然景观</w:t>
            </w:r>
          </w:p>
        </w:tc>
        <w:tc>
          <w:tcPr>
            <w:tcW w:w="2789"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 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造成损失的，依法承担赔偿责任；构成犯罪的，依法追究刑事责任。</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擅自改变具有特殊历史文化价值的人文景观原有风貌和格局</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第二款；处罚条款：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，责令停止违法行为，并处1万元以上10万元以下罚款。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公园管理机构未按照标准做好清扫保洁</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三十六</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第一款第</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六</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一</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在公园内搭建棚舍、擅自摆摊设点</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二</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40"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在公园内随意堆放物料、拉绳挂物</w:t>
            </w:r>
          </w:p>
        </w:tc>
        <w:tc>
          <w:tcPr>
            <w:tcW w:w="2789" w:type="dxa"/>
            <w:noWrap w:val="0"/>
            <w:vAlign w:val="center"/>
          </w:tcPr>
          <w:p>
            <w:pPr>
              <w:spacing w:line="20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w:t>
            </w:r>
            <w:r>
              <w:rPr>
                <w:rFonts w:ascii="宋体" w:hAnsi="宋体" w:eastAsia="宋体" w:cs="宋体"/>
                <w:color w:val="auto"/>
                <w:spacing w:val="-4"/>
                <w:kern w:val="0"/>
                <w:sz w:val="15"/>
                <w:szCs w:val="15"/>
                <w:highlight w:val="none"/>
              </w:rPr>
              <w:t>第</w:t>
            </w:r>
            <w:r>
              <w:rPr>
                <w:rFonts w:hint="eastAsia" w:ascii="宋体" w:hAnsi="宋体" w:eastAsia="宋体" w:cs="宋体"/>
                <w:color w:val="auto"/>
                <w:spacing w:val="-4"/>
                <w:kern w:val="0"/>
                <w:sz w:val="15"/>
                <w:szCs w:val="15"/>
                <w:highlight w:val="none"/>
              </w:rPr>
              <w:t>三十七</w:t>
            </w:r>
            <w:r>
              <w:rPr>
                <w:rFonts w:ascii="宋体" w:hAnsi="宋体" w:eastAsia="宋体" w:cs="宋体"/>
                <w:color w:val="auto"/>
                <w:spacing w:val="-4"/>
                <w:kern w:val="0"/>
                <w:sz w:val="15"/>
                <w:szCs w:val="15"/>
                <w:highlight w:val="none"/>
              </w:rPr>
              <w:t>条</w:t>
            </w:r>
            <w:r>
              <w:rPr>
                <w:rFonts w:hint="eastAsia" w:ascii="宋体" w:hAnsi="宋体" w:eastAsia="宋体" w:cs="宋体"/>
                <w:color w:val="auto"/>
                <w:spacing w:val="-4"/>
                <w:kern w:val="0"/>
                <w:sz w:val="15"/>
                <w:szCs w:val="15"/>
                <w:highlight w:val="none"/>
              </w:rPr>
              <w:t>；处罚条款：</w:t>
            </w:r>
            <w:r>
              <w:rPr>
                <w:rFonts w:ascii="宋体" w:hAnsi="宋体" w:eastAsia="宋体" w:cs="宋体"/>
                <w:color w:val="auto"/>
                <w:spacing w:val="-4"/>
                <w:kern w:val="0"/>
                <w:sz w:val="15"/>
                <w:szCs w:val="15"/>
                <w:highlight w:val="none"/>
              </w:rPr>
              <w:t>第五十</w:t>
            </w:r>
            <w:r>
              <w:rPr>
                <w:rFonts w:hint="eastAsia" w:ascii="宋体" w:hAnsi="宋体" w:eastAsia="宋体" w:cs="宋体"/>
                <w:color w:val="auto"/>
                <w:spacing w:val="-4"/>
                <w:kern w:val="0"/>
                <w:sz w:val="15"/>
                <w:szCs w:val="15"/>
                <w:highlight w:val="none"/>
              </w:rPr>
              <w:t>五</w:t>
            </w:r>
            <w:r>
              <w:rPr>
                <w:rFonts w:ascii="宋体" w:hAnsi="宋体" w:eastAsia="宋体" w:cs="宋体"/>
                <w:color w:val="auto"/>
                <w:spacing w:val="-4"/>
                <w:kern w:val="0"/>
                <w:sz w:val="15"/>
                <w:szCs w:val="15"/>
                <w:highlight w:val="none"/>
              </w:rPr>
              <w:t>条第（</w:t>
            </w:r>
            <w:r>
              <w:rPr>
                <w:rFonts w:hint="eastAsia" w:ascii="宋体" w:hAnsi="宋体" w:eastAsia="宋体" w:cs="宋体"/>
                <w:color w:val="auto"/>
                <w:spacing w:val="-4"/>
                <w:kern w:val="0"/>
                <w:sz w:val="15"/>
                <w:szCs w:val="15"/>
                <w:highlight w:val="none"/>
              </w:rPr>
              <w:t>三</w:t>
            </w:r>
            <w:r>
              <w:rPr>
                <w:rFonts w:ascii="宋体" w:hAnsi="宋体" w:eastAsia="宋体" w:cs="宋体"/>
                <w:color w:val="auto"/>
                <w:spacing w:val="-4"/>
                <w:kern w:val="0"/>
                <w:sz w:val="15"/>
                <w:szCs w:val="15"/>
                <w:highlight w:val="none"/>
              </w:rPr>
              <w:t>）</w:t>
            </w:r>
            <w:r>
              <w:rPr>
                <w:rFonts w:hint="eastAsia" w:ascii="宋体" w:hAnsi="宋体" w:eastAsia="宋体" w:cs="宋体"/>
                <w:color w:val="auto"/>
                <w:spacing w:val="-4"/>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1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公园内牌示污损、丢失不及时更换或者补设</w:t>
            </w:r>
          </w:p>
        </w:tc>
        <w:tc>
          <w:tcPr>
            <w:tcW w:w="2789" w:type="dxa"/>
            <w:noWrap w:val="0"/>
            <w:vAlign w:val="center"/>
          </w:tcPr>
          <w:p>
            <w:pPr>
              <w:spacing w:line="20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w:t>
            </w:r>
            <w:r>
              <w:rPr>
                <w:rFonts w:hint="eastAsia" w:ascii="宋体" w:hAnsi="宋体" w:eastAsia="宋体" w:cs="宋体"/>
                <w:color w:val="auto"/>
                <w:kern w:val="0"/>
                <w:sz w:val="15"/>
                <w:szCs w:val="15"/>
                <w:highlight w:val="none"/>
              </w:rPr>
              <w:t>三十八</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第一款；处罚条款：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五</w:t>
            </w:r>
            <w:r>
              <w:rPr>
                <w:rFonts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rPr>
              <w:t>四</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项，责令改正，并可以处100元以上1000元以下罚款。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18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1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在公园内追逐游客强行兜售物品</w:t>
            </w:r>
          </w:p>
        </w:tc>
        <w:tc>
          <w:tcPr>
            <w:tcW w:w="2789" w:type="dxa"/>
            <w:noWrap w:val="0"/>
            <w:vAlign w:val="center"/>
          </w:tcPr>
          <w:p>
            <w:pPr>
              <w:spacing w:line="27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w:t>
            </w:r>
            <w:r>
              <w:rPr>
                <w:rFonts w:ascii="宋体" w:hAnsi="宋体" w:eastAsia="宋体" w:cs="宋体"/>
                <w:color w:val="auto"/>
                <w:kern w:val="0"/>
                <w:sz w:val="15"/>
                <w:szCs w:val="15"/>
                <w:highlight w:val="none"/>
              </w:rPr>
              <w:t>第四十</w:t>
            </w:r>
            <w:r>
              <w:rPr>
                <w:rFonts w:hint="eastAsia" w:ascii="宋体" w:hAnsi="宋体" w:eastAsia="宋体" w:cs="宋体"/>
                <w:color w:val="auto"/>
                <w:kern w:val="0"/>
                <w:sz w:val="15"/>
                <w:szCs w:val="15"/>
                <w:highlight w:val="none"/>
              </w:rPr>
              <w:t>七条；处罚条款：</w:t>
            </w:r>
            <w:r>
              <w:rPr>
                <w:rFonts w:ascii="宋体" w:hAnsi="宋体" w:eastAsia="宋体" w:cs="宋体"/>
                <w:color w:val="auto"/>
                <w:kern w:val="0"/>
                <w:sz w:val="15"/>
                <w:szCs w:val="15"/>
                <w:highlight w:val="none"/>
              </w:rPr>
              <w:t>第五十</w:t>
            </w:r>
            <w:r>
              <w:rPr>
                <w:rFonts w:hint="eastAsia" w:ascii="宋体" w:hAnsi="宋体" w:eastAsia="宋体" w:cs="宋体"/>
                <w:color w:val="auto"/>
                <w:kern w:val="0"/>
                <w:sz w:val="15"/>
                <w:szCs w:val="15"/>
                <w:highlight w:val="none"/>
              </w:rPr>
              <w:t>七</w:t>
            </w:r>
            <w:r>
              <w:rPr>
                <w:rFonts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rPr>
              <w:t>，责令改正，没收违法所得，并处50元以上500元以下罚款。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公园分类分级的标准按照《北京市公园名录》执行。</w:t>
            </w:r>
          </w:p>
        </w:tc>
        <w:tc>
          <w:tcPr>
            <w:tcW w:w="897" w:type="dxa"/>
            <w:gridSpan w:val="2"/>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1" w:hRule="atLeast"/>
        </w:trPr>
        <w:tc>
          <w:tcPr>
            <w:tcW w:w="15100" w:type="dxa"/>
            <w:gridSpan w:val="14"/>
            <w:noWrap w:val="0"/>
            <w:vAlign w:val="center"/>
          </w:tcPr>
          <w:p>
            <w:pPr>
              <w:pStyle w:val="2"/>
              <w:bidi w:val="0"/>
              <w:rPr>
                <w:rFonts w:ascii="黑体" w:hAnsi="黑体" w:eastAsia="黑体" w:cs="宋体"/>
                <w:color w:val="auto"/>
                <w:kern w:val="0"/>
                <w:highlight w:val="none"/>
              </w:rPr>
            </w:pPr>
            <w:bookmarkStart w:id="107" w:name="_Toc287673253"/>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7" w:hRule="atLeast"/>
        </w:trPr>
        <w:tc>
          <w:tcPr>
            <w:tcW w:w="15100" w:type="dxa"/>
            <w:gridSpan w:val="14"/>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color w:val="auto"/>
                <w:kern w:val="0"/>
                <w:szCs w:val="15"/>
                <w:highlight w:val="none"/>
              </w:rPr>
            </w:pPr>
            <w:bookmarkStart w:id="108" w:name="_Toc852683409"/>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施工单位未设置硬质围挡</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施工单位未采取有效防尘降尘措施</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施工单位未及时清运建筑土方（工程渣土、建筑垃圾）</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10" w:lineRule="exact"/>
              <w:rPr>
                <w:rFonts w:hint="eastAsia" w:ascii="宋体" w:hAnsi="宋体" w:eastAsia="宋体"/>
                <w:color w:val="auto"/>
                <w:sz w:val="15"/>
                <w:szCs w:val="15"/>
                <w:highlight w:val="none"/>
                <w:lang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垃圾占地面积10㎡以下的，系数0；11－15㎡的，系数1；16－20㎡系数2</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s="宋体"/>
                <w:color w:val="auto"/>
                <w:sz w:val="15"/>
                <w:szCs w:val="15"/>
                <w:highlight w:val="none"/>
              </w:rPr>
              <w:t>以此类推</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。2.逾期不清的，</w:t>
            </w:r>
            <w:r>
              <w:rPr>
                <w:rFonts w:hint="eastAsia" w:ascii="宋体" w:hAnsi="宋体" w:eastAsia="宋体" w:cs="宋体"/>
                <w:color w:val="auto"/>
                <w:sz w:val="15"/>
                <w:szCs w:val="15"/>
                <w:highlight w:val="none"/>
                <w:lang w:eastAsia="zh-CN"/>
              </w:rPr>
              <w:t>逾期达2天的，系数</w:t>
            </w: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lang w:eastAsia="zh-CN"/>
              </w:rPr>
              <w:t>；逾期达4天的，系数2；逾期达6天的，系数3；逾期达8天的，系数4；逾期达10天的，系数5；以此类推，逾期达18天及以上的，系数9</w:t>
            </w:r>
            <w:r>
              <w:rPr>
                <w:rFonts w:hint="eastAsia" w:ascii="宋体" w:hAnsi="宋体" w:eastAsia="宋体" w:cs="宋体"/>
                <w:color w:val="auto"/>
                <w:sz w:val="15"/>
                <w:szCs w:val="15"/>
                <w:highlight w:val="none"/>
              </w:rPr>
              <w:t>。</w:t>
            </w:r>
            <w:r>
              <w:rPr>
                <w:rFonts w:hint="eastAsia" w:ascii="宋体" w:hAnsi="宋体" w:eastAsia="宋体"/>
                <w:color w:val="auto"/>
                <w:sz w:val="15"/>
                <w:szCs w:val="15"/>
                <w:highlight w:val="none"/>
              </w:rPr>
              <w:t>3.造成尘土飞扬，严重污染环境的，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strike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8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施工单位未采用密闭式防尘网遮盖建筑土方（工程渣土、建筑垃圾）</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olor w:val="auto"/>
                <w:sz w:val="15"/>
                <w:szCs w:val="15"/>
                <w:highlight w:val="none"/>
                <w:lang w:val="en-US" w:eastAsia="zh-CN"/>
              </w:rPr>
            </w:pPr>
            <w:r>
              <w:rPr>
                <w:rFonts w:hint="eastAsia" w:ascii="宋体" w:hAnsi="宋体" w:eastAsia="宋体" w:cs="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s="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s="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宋体"/>
                <w:color w:val="auto"/>
                <w:sz w:val="15"/>
                <w:szCs w:val="15"/>
                <w:highlight w:val="none"/>
              </w:rPr>
              <w:t>2</w:t>
            </w:r>
            <w:r>
              <w:rPr>
                <w:rFonts w:hint="eastAsia" w:ascii="宋体" w:hAnsi="宋体" w:eastAsia="宋体" w:cs="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sz w:val="15"/>
                <w:szCs w:val="15"/>
                <w:highlight w:val="none"/>
              </w:rPr>
              <w:t>。2.造成尘土飞扬，严重污染环境的，</w:t>
            </w:r>
            <w:r>
              <w:rPr>
                <w:rFonts w:hint="eastAsia" w:ascii="宋体" w:hAnsi="宋体" w:eastAsia="宋体" w:cs="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建设单位未对暂不开工的建设用地裸露地面进行覆盖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0"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建设单位未对超过三个月不能开工的建设用地裸露地面进行绿化、铺装或者遮盖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运输散装、流体物料车辆未采取密闭或者</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措施防</w:t>
            </w:r>
            <w:r>
              <w:rPr>
                <w:rFonts w:hint="eastAsia" w:ascii="宋体" w:hAnsi="宋体" w:eastAsia="宋体"/>
                <w:color w:val="auto"/>
                <w:sz w:val="15"/>
                <w:szCs w:val="15"/>
                <w:highlight w:val="none"/>
              </w:rPr>
              <w:t>止物料遗撒</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违反条款：第七十条第一款；处罚条款：第一百一十六条：责令改正，处二千元以上二万元以下的罚款；拒不改正的，车辆不得上道路行驶。</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易产生扬尘的物料未密闭贮存</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以下的，系数0；11－25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的，系数1；26－40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易产生扬尘的物料不能密闭贮存的，未按规定设置围挡或者未采取有效覆盖措施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，面积</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符合《大气污染防治法》第一百二十三条第（四）项规定情形的，可以按照要求实施按日连续处罚。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装卸物料未采取密闭或者喷淋等方式控制扬尘</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填埋场（消纳场）未采取有效措施防治扬尘污染</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产生较大环境污染或者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露天焚烧秸秆（落叶）等产生烟尘污染的物质</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违反条款：第七十七条；处罚条款：第一百一十九条第一款：责令改正，并可以处五百元以上二千元以下的罚款。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9"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焚烧沥青（油毡、橡胶、塑料、皮革、垃圾）等产生有毒有害烟尘和恶臭气体的物质</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25"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违反规定露天烧烤食品</w:t>
            </w:r>
          </w:p>
        </w:tc>
        <w:tc>
          <w:tcPr>
            <w:tcW w:w="2789" w:type="dxa"/>
            <w:noWrap w:val="0"/>
            <w:vAlign w:val="center"/>
          </w:tcPr>
          <w:p>
            <w:pPr>
              <w:spacing w:line="20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需要做出其他处罚决定的，报请案审会决定。</w:t>
            </w:r>
          </w:p>
        </w:tc>
        <w:tc>
          <w:tcPr>
            <w:tcW w:w="897" w:type="dxa"/>
            <w:gridSpan w:val="2"/>
            <w:noWrap w:val="0"/>
            <w:vAlign w:val="center"/>
          </w:tcPr>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街道</w:t>
            </w:r>
          </w:p>
          <w:p>
            <w:pPr>
              <w:spacing w:line="232" w:lineRule="exact"/>
              <w:jc w:val="center"/>
              <w:rPr>
                <w:rFonts w:ascii="宋体" w:hAnsi="宋体" w:eastAsia="宋体" w:cs="宋体"/>
                <w:color w:val="auto"/>
                <w:sz w:val="15"/>
                <w:szCs w:val="15"/>
                <w:highlight w:val="none"/>
              </w:rPr>
            </w:pPr>
            <w:r>
              <w:rPr>
                <w:rFonts w:hint="eastAsia" w:ascii="宋体" w:hAnsi="宋体" w:eastAsia="宋体" w:cs="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违反规定为露天烧烤食品提供场地</w:t>
            </w: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2000</w:t>
            </w:r>
          </w:p>
          <w:p>
            <w:pPr>
              <w:spacing w:line="190" w:lineRule="exact"/>
              <w:jc w:val="both"/>
              <w:rPr>
                <w:rFonts w:hint="default" w:ascii="宋体" w:hAnsi="宋体" w:eastAsia="宋体" w:cs="宋体"/>
                <w:strike/>
                <w:dstrike w:val="0"/>
                <w:color w:val="auto"/>
                <w:kern w:val="0"/>
                <w:sz w:val="15"/>
                <w:szCs w:val="15"/>
                <w:highlight w:val="none"/>
                <w:lang w:val="en-US" w:eastAsia="zh-CN"/>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0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需酌情给予2000以下罚款的，说明理由，报案审会决定。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拒不执行停止工地土石方作业（建筑物拆除施工）等重污染天气应急措施</w:t>
            </w: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拒不接受大气环境保护监督检查</w:t>
            </w: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1.经责令改正，仍拒不接受监督检查的，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4；2.空气重污染预警期间，拒不接受监督检查的，系数4；3.造成大气污染或者不良社会影响等较为严重情形之一的，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“拒不配合”的情形，不纳入本案由情节系数。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0" w:hRule="atLeast"/>
        </w:trPr>
        <w:tc>
          <w:tcPr>
            <w:tcW w:w="61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接受大气环境保护监督检查时弄虚作假</w:t>
            </w:r>
          </w:p>
        </w:tc>
        <w:tc>
          <w:tcPr>
            <w:tcW w:w="2789" w:type="dxa"/>
            <w:tcBorders>
              <w:bottom w:val="single" w:color="auto"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1.经责令改正，仍弄虚作假的，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4；2.空气重污染预警期间，弄虚作假的，系数4；3.造成大气污染或者不良社会影响等较为严重情形之一的，</w:t>
            </w:r>
            <w:r>
              <w:rPr>
                <w:rFonts w:hint="eastAsia" w:ascii="宋体" w:hAnsi="宋体" w:eastAsia="宋体"/>
                <w:color w:val="auto"/>
                <w:sz w:val="15"/>
                <w:szCs w:val="15"/>
                <w:highlight w:val="none"/>
                <w:lang w:eastAsia="zh-CN"/>
              </w:rPr>
              <w:t>系数</w:t>
            </w:r>
            <w:r>
              <w:rPr>
                <w:rFonts w:hint="eastAsia" w:ascii="宋体" w:hAnsi="宋体" w:eastAsia="宋体"/>
                <w:strike w:val="0"/>
                <w:dstrike w:val="0"/>
                <w:color w:val="auto"/>
                <w:sz w:val="15"/>
                <w:szCs w:val="15"/>
                <w:highlight w:val="none"/>
                <w:lang w:val="en-US" w:eastAsia="zh-CN"/>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宋体" w:hAnsi="宋体" w:eastAsia="宋体"/>
                <w:color w:val="auto"/>
                <w:sz w:val="15"/>
                <w:szCs w:val="15"/>
                <w:highlight w:val="none"/>
              </w:rPr>
            </w:pPr>
            <w:r>
              <w:rPr>
                <w:rFonts w:hint="eastAsia" w:ascii="宋体" w:hAnsi="宋体" w:eastAsia="宋体" w:cs="宋体"/>
                <w:strike w:val="0"/>
                <w:dstrike w:val="0"/>
                <w:color w:val="auto"/>
                <w:kern w:val="0"/>
                <w:sz w:val="15"/>
                <w:szCs w:val="15"/>
                <w:highlight w:val="none"/>
                <w:lang w:eastAsia="zh-CN"/>
              </w:rPr>
              <w:t>“虚假陈述”的情形，不纳入本案由情节系数。</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9" w:hRule="atLeast"/>
        </w:trPr>
        <w:tc>
          <w:tcPr>
            <w:tcW w:w="15100" w:type="dxa"/>
            <w:gridSpan w:val="14"/>
            <w:tcBorders>
              <w:bottom w:val="single" w:color="auto" w:sz="4" w:space="0"/>
            </w:tcBorders>
            <w:noWrap w:val="0"/>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olor w:val="auto"/>
                <w:szCs w:val="15"/>
                <w:highlight w:val="none"/>
              </w:rPr>
            </w:pPr>
            <w:bookmarkStart w:id="109" w:name="_Toc285647581"/>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tcBorders>
              <w:top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拒不执行空气重污染应急措施</w:t>
            </w:r>
          </w:p>
        </w:tc>
        <w:tc>
          <w:tcPr>
            <w:tcW w:w="2789"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tcBorders>
              <w:top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宋体" w:hAnsi="宋体" w:eastAsia="宋体" w:cs="宋体"/>
                <w:strike/>
                <w:dstrike w:val="0"/>
                <w:color w:val="auto"/>
                <w:kern w:val="0"/>
                <w:sz w:val="15"/>
                <w:szCs w:val="15"/>
                <w:highlight w:val="none"/>
                <w:lang w:eastAsia="zh-CN"/>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违反条款：第五十九条第二款；处罚条款：第一百零八条第二款，责令改正；拒不改正的，予以关闭，并处一万元以上十万元以下罚款。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造成事故或者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ascii="宋体" w:hAnsi="宋体" w:eastAsia="宋体" w:cs="宋体"/>
                <w:strike/>
                <w:dstrike w:val="0"/>
                <w:color w:val="auto"/>
                <w:kern w:val="0"/>
                <w:sz w:val="15"/>
                <w:szCs w:val="15"/>
                <w:highlight w:val="none"/>
                <w:lang w:val="en-US" w:eastAsia="zh-CN"/>
              </w:rPr>
            </w:pPr>
            <w:r>
              <w:rPr>
                <w:rFonts w:hint="eastAsia" w:ascii="宋体" w:hAnsi="宋体" w:eastAsia="宋体"/>
                <w:strike w:val="0"/>
                <w:dstrike w:val="0"/>
                <w:color w:val="auto"/>
                <w:sz w:val="15"/>
                <w:szCs w:val="15"/>
                <w:highlight w:val="none"/>
                <w:lang w:eastAsia="zh-CN"/>
              </w:rPr>
              <w:t>拒</w:t>
            </w:r>
            <w:r>
              <w:rPr>
                <w:rFonts w:hint="eastAsia" w:ascii="宋体" w:hAnsi="宋体" w:eastAsia="宋体"/>
                <w:strike w:val="0"/>
                <w:dstrike w:val="0"/>
                <w:color w:val="auto"/>
                <w:sz w:val="15"/>
                <w:szCs w:val="15"/>
                <w:highlight w:val="none"/>
              </w:rPr>
              <w:t>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12"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露天焚烧秸秆（树叶、枯草）</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违反条款：第六十一条第一款；处罚条款：第一百一十条第一款：责令改正，可以处五百元以上二千元以下罚款。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1.对大气环境或者生产生活造成较大影响的，系数2-3；2.导致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5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露天焚烧垃圾（电子废物、油毡、橡胶、塑料、皮革、沥青）</w:t>
            </w:r>
          </w:p>
        </w:tc>
        <w:tc>
          <w:tcPr>
            <w:tcW w:w="278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（对单位）</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；2.导致</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事故发生的，系数9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宋体" w:hAnsi="宋体" w:eastAsia="宋体"/>
                <w:strike/>
                <w:dstrike w:val="0"/>
                <w:color w:val="auto"/>
                <w:sz w:val="15"/>
                <w:szCs w:val="15"/>
                <w:highlight w:val="none"/>
              </w:rPr>
            </w:pPr>
          </w:p>
        </w:tc>
        <w:tc>
          <w:tcPr>
            <w:tcW w:w="897" w:type="dxa"/>
            <w:gridSpan w:val="2"/>
            <w:vMerge w:val="restart"/>
            <w:noWrap w:val="0"/>
            <w:vAlign w:val="center"/>
          </w:tcPr>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0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278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（对个人）</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1.对大气环境或者生产生活造成较大影响的，系数2-3；2.导致事故发生或者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恶劣影响的，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p>
        </w:tc>
        <w:tc>
          <w:tcPr>
            <w:tcW w:w="897" w:type="dxa"/>
            <w:gridSpan w:val="2"/>
            <w:vMerge w:val="continue"/>
            <w:noWrap w:val="0"/>
            <w:vAlign w:val="center"/>
          </w:tcPr>
          <w:p>
            <w:pPr>
              <w:spacing w:line="200"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5"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shd w:val="clear" w:color="auto" w:fill="auto"/>
              </w:rPr>
              <w:t>在政府划定的禁止范围内露天烧烤食品</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1.占用无障碍设施或者机动车道、绿地的，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2；2.占用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公共场地面积较大，或者造成通行秩序、市容环境秩序较为混乱的，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500×（1+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rPr>
              <w:t>根据案件情形，需要作出公式之外</w:t>
            </w:r>
            <w:r>
              <w:rPr>
                <w:rFonts w:hint="eastAsia" w:ascii="宋体" w:hAnsi="宋体" w:eastAsia="宋体" w:cs="宋体"/>
                <w:color w:val="auto"/>
                <w:sz w:val="15"/>
                <w:szCs w:val="15"/>
                <w:highlight w:val="none"/>
                <w:lang w:eastAsia="zh-CN"/>
              </w:rPr>
              <w:t>其他</w:t>
            </w:r>
            <w:r>
              <w:rPr>
                <w:rFonts w:hint="eastAsia" w:ascii="宋体" w:hAnsi="宋体" w:eastAsia="宋体" w:cs="宋体"/>
                <w:color w:val="auto"/>
                <w:sz w:val="15"/>
                <w:szCs w:val="15"/>
                <w:highlight w:val="none"/>
              </w:rPr>
              <w:t>罚款额度处罚的，报案审会决定。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7" w:hRule="atLeast"/>
        </w:trPr>
        <w:tc>
          <w:tcPr>
            <w:tcW w:w="610" w:type="dxa"/>
            <w:noWrap w:val="0"/>
            <w:vAlign w:val="center"/>
          </w:tcPr>
          <w:p>
            <w:pPr>
              <w:spacing w:line="240"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6</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为露天烧烤食品提供场地</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kern w:val="32"/>
                <w:sz w:val="15"/>
                <w:szCs w:val="15"/>
                <w:highlight w:val="none"/>
              </w:rPr>
            </w:pPr>
            <w:r>
              <w:rPr>
                <w:rFonts w:hint="eastAsia" w:ascii="宋体" w:hAnsi="宋体" w:eastAsia="宋体"/>
                <w:color w:val="auto"/>
                <w:sz w:val="15"/>
                <w:szCs w:val="15"/>
                <w:highlight w:val="none"/>
              </w:rPr>
              <w:t>违反条款：第六十一条第二款； 处罚条款：第一百一十条第二款：</w:t>
            </w:r>
            <w:r>
              <w:rPr>
                <w:rFonts w:ascii="宋体" w:hAnsi="宋体" w:eastAsia="宋体"/>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违法行为持续时间较长、占用场地规模较大、群众多次举报（3次以上，含3次），或者造成通行秩序、市容环境秩序较为混乱等情形之一的，</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需酌情给予2000以下罚款的，说明理由，报案审会决定。</w:t>
            </w: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7"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7</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运输散装、流体物料车辆不符合条件（未安装卫星定位系统、未密闭运输）</w:t>
            </w:r>
          </w:p>
        </w:tc>
        <w:tc>
          <w:tcPr>
            <w:tcW w:w="2789"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违反条款：第八十三条；处罚条款：第一百二十一条：责令改正，处二千元以上二万</w:t>
            </w:r>
            <w:r>
              <w:rPr>
                <w:rFonts w:hint="eastAsia" w:ascii="宋体" w:hAnsi="宋体" w:eastAsia="宋体"/>
                <w:color w:val="auto"/>
                <w:sz w:val="15"/>
                <w:szCs w:val="15"/>
                <w:highlight w:val="none"/>
                <w:lang w:eastAsia="zh-CN"/>
              </w:rPr>
              <w:t>元</w:t>
            </w:r>
            <w:r>
              <w:rPr>
                <w:rFonts w:hint="eastAsia" w:ascii="宋体" w:hAnsi="宋体" w:eastAsia="宋体"/>
                <w:color w:val="auto"/>
                <w:sz w:val="15"/>
                <w:szCs w:val="15"/>
                <w:highlight w:val="none"/>
              </w:rPr>
              <w:t>以下罚款；拒不改正的，车辆不得上道路行驶。</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车辆同时存在不符合条件、未安装卫星定位系统、未密闭等</w:t>
            </w:r>
            <w:r>
              <w:rPr>
                <w:rFonts w:hint="eastAsia" w:ascii="宋体" w:hAnsi="宋体" w:eastAsia="宋体"/>
                <w:color w:val="auto"/>
                <w:sz w:val="15"/>
                <w:szCs w:val="15"/>
                <w:highlight w:val="none"/>
                <w:lang w:val="en-US" w:eastAsia="zh-CN"/>
              </w:rPr>
              <w:t>2种情形的系数2，3种情形的系数4；2.</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泄漏</w:t>
            </w:r>
            <w:r>
              <w:rPr>
                <w:rFonts w:hint="eastAsia" w:ascii="宋体" w:hAnsi="宋体" w:eastAsia="宋体"/>
                <w:color w:val="auto"/>
                <w:sz w:val="15"/>
                <w:szCs w:val="15"/>
                <w:highlight w:val="none"/>
              </w:rPr>
              <w:t>遗撒的，系数4-9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0" w:hRule="atLeast"/>
        </w:trPr>
        <w:tc>
          <w:tcPr>
            <w:tcW w:w="61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8</w:t>
            </w:r>
          </w:p>
        </w:tc>
        <w:tc>
          <w:tcPr>
            <w:tcW w:w="1830" w:type="dxa"/>
            <w:gridSpan w:val="3"/>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建筑垃圾资源化处置场（渣土消纳场、燃煤电厂贮灰场、垃圾填埋场）未实施分区作业或者未采取措施防治扬尘污染</w:t>
            </w:r>
          </w:p>
        </w:tc>
        <w:tc>
          <w:tcPr>
            <w:tcW w:w="2789" w:type="dxa"/>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40" w:lineRule="exact"/>
              <w:jc w:val="center"/>
              <w:rPr>
                <w:rFonts w:ascii="宋体" w:hAnsi="宋体" w:eastAsia="宋体"/>
                <w:color w:val="auto"/>
                <w:sz w:val="15"/>
                <w:szCs w:val="15"/>
                <w:highlight w:val="none"/>
              </w:rPr>
            </w:pPr>
          </w:p>
        </w:tc>
        <w:tc>
          <w:tcPr>
            <w:tcW w:w="3426" w:type="dxa"/>
            <w:noWrap w:val="0"/>
            <w:vAlign w:val="center"/>
          </w:tcPr>
          <w:p>
            <w:pPr>
              <w:spacing w:line="24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产生较大环境污染或者社会影响的，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5-8；</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造成社会恶劣影响或者</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严重后果的，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9</w:t>
            </w:r>
            <w:r>
              <w:rPr>
                <w:rFonts w:hint="eastAsia" w:ascii="宋体" w:hAnsi="宋体" w:eastAsia="宋体"/>
                <w:color w:val="auto"/>
                <w:sz w:val="15"/>
                <w:szCs w:val="15"/>
                <w:highlight w:val="none"/>
                <w:lang w:val="en-US" w:eastAsia="zh-CN"/>
              </w:rPr>
              <w:t>;3.</w:t>
            </w:r>
            <w:r>
              <w:rPr>
                <w:rFonts w:hint="eastAsia" w:ascii="宋体" w:hAnsi="宋体" w:eastAsia="宋体"/>
                <w:color w:val="auto"/>
                <w:sz w:val="15"/>
                <w:szCs w:val="15"/>
                <w:highlight w:val="none"/>
              </w:rPr>
              <w:t>存在基准2.1.3规定情形的，系数按照相关规定确定。</w:t>
            </w:r>
          </w:p>
        </w:tc>
        <w:tc>
          <w:tcPr>
            <w:tcW w:w="1875" w:type="dxa"/>
            <w:gridSpan w:val="2"/>
            <w:noWrap w:val="0"/>
            <w:vAlign w:val="center"/>
          </w:tcPr>
          <w:p>
            <w:pPr>
              <w:spacing w:line="24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p>
            <w:pPr>
              <w:spacing w:line="240" w:lineRule="exact"/>
              <w:rPr>
                <w:rFonts w:ascii="宋体" w:hAnsi="宋体" w:eastAsia="宋体"/>
                <w:color w:val="auto"/>
                <w:sz w:val="15"/>
                <w:szCs w:val="15"/>
                <w:highlight w:val="none"/>
              </w:rPr>
            </w:pPr>
          </w:p>
        </w:tc>
        <w:tc>
          <w:tcPr>
            <w:tcW w:w="1982" w:type="dxa"/>
            <w:gridSpan w:val="2"/>
            <w:noWrap w:val="0"/>
            <w:vAlign w:val="center"/>
          </w:tcPr>
          <w:p>
            <w:pPr>
              <w:spacing w:line="240" w:lineRule="exact"/>
              <w:rPr>
                <w:rFonts w:ascii="宋体" w:hAnsi="宋体" w:eastAsia="宋体"/>
                <w:color w:val="auto"/>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0" w:name="_Toc954400207"/>
            <w:bookmarkStart w:id="111" w:name="_Toc110851471"/>
            <w:bookmarkStart w:id="112" w:name="_Toc1745180410"/>
            <w:r>
              <w:rPr>
                <w:rFonts w:hint="eastAsia" w:ascii="宋体" w:hAnsi="宋体" w:eastAsia="宋体"/>
                <w:color w:val="auto"/>
                <w:sz w:val="21"/>
                <w:szCs w:val="21"/>
                <w:highlight w:val="none"/>
              </w:rPr>
              <w:t>《北京市环境噪声污染防治办法》案由</w:t>
            </w:r>
            <w:r>
              <w:rPr>
                <w:rFonts w:hint="eastAsia" w:ascii="宋体" w:hAnsi="宋体" w:eastAsia="宋体"/>
                <w:color w:val="auto"/>
                <w:sz w:val="21"/>
                <w:szCs w:val="21"/>
                <w:highlight w:val="none"/>
                <w:lang w:val="en-US" w:eastAsia="zh-CN"/>
              </w:rPr>
              <w:t>1</w:t>
            </w:r>
            <w:r>
              <w:rPr>
                <w:rFonts w:hint="eastAsia" w:ascii="宋体" w:hAnsi="宋体" w:eastAsia="宋体"/>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01" w:hRule="atLeast"/>
        </w:trPr>
        <w:tc>
          <w:tcPr>
            <w:tcW w:w="610" w:type="dxa"/>
            <w:noWrap w:val="0"/>
            <w:vAlign w:val="center"/>
          </w:tcPr>
          <w:p>
            <w:pPr>
              <w:spacing w:line="240"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特殊时段在噪声敏感建筑物集中区域内从事产生噪声的施工作业</w:t>
            </w:r>
          </w:p>
        </w:tc>
        <w:tc>
          <w:tcPr>
            <w:tcW w:w="2789" w:type="dxa"/>
            <w:tcBorders>
              <w:bottom w:val="single" w:color="auto" w:sz="4" w:space="0"/>
            </w:tcBorders>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p>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处罚条款：第三十九条 责令停止违法行为，并处1万元以上3万元以下罚款</w:t>
            </w:r>
          </w:p>
        </w:tc>
        <w:tc>
          <w:tcPr>
            <w:tcW w:w="851"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tabs>
                <w:tab w:val="left" w:pos="312"/>
              </w:tabs>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社会恶劣影响等情形，</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1；2.媒体曝光，造成不良社会影响的，系数2；3.在中（高）考考场周边的，系数2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40" w:lineRule="exact"/>
              <w:rPr>
                <w:rFonts w:ascii="宋体" w:hAnsi="宋体" w:eastAsia="宋体" w:cs="宋体"/>
                <w:color w:val="auto"/>
                <w:kern w:val="0"/>
                <w:sz w:val="15"/>
                <w:szCs w:val="15"/>
                <w:highlight w:val="none"/>
              </w:rPr>
            </w:pPr>
          </w:p>
        </w:tc>
        <w:tc>
          <w:tcPr>
            <w:tcW w:w="897" w:type="dxa"/>
            <w:gridSpan w:val="2"/>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10" w:hRule="atLeast"/>
        </w:trPr>
        <w:tc>
          <w:tcPr>
            <w:tcW w:w="15100" w:type="dxa"/>
            <w:gridSpan w:val="14"/>
            <w:noWrap w:val="0"/>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21"/>
                <w:szCs w:val="21"/>
                <w:highlight w:val="none"/>
              </w:rPr>
            </w:pPr>
            <w:bookmarkStart w:id="113" w:name="_Toc110851472"/>
            <w:bookmarkStart w:id="114" w:name="_Toc1791388183"/>
            <w:bookmarkStart w:id="115" w:name="_Toc193344115"/>
            <w:r>
              <w:rPr>
                <w:rStyle w:val="52"/>
                <w:rFonts w:hint="eastAsia" w:ascii="宋体" w:hAnsi="宋体" w:eastAsia="宋体"/>
                <w:color w:val="auto"/>
                <w:sz w:val="21"/>
                <w:szCs w:val="21"/>
                <w:highlight w:val="none"/>
              </w:rPr>
              <w:t>《中华人民共和国噪声污染防治法》案由</w:t>
            </w:r>
            <w:r>
              <w:rPr>
                <w:rStyle w:val="52"/>
                <w:rFonts w:hint="eastAsia" w:ascii="宋体" w:hAnsi="宋体" w:eastAsia="宋体"/>
                <w:color w:val="auto"/>
                <w:sz w:val="21"/>
                <w:szCs w:val="21"/>
                <w:highlight w:val="none"/>
                <w:lang w:val="en-US" w:eastAsia="zh-CN"/>
              </w:rPr>
              <w:t>6</w:t>
            </w:r>
            <w:r>
              <w:rPr>
                <w:rStyle w:val="52"/>
                <w:rFonts w:hint="eastAsia" w:ascii="宋体" w:hAnsi="宋体" w:eastAsia="宋体"/>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1830" w:type="dxa"/>
            <w:gridSpan w:val="3"/>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未取得证明夜间施工</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处罚条款：第七十七条第（二）项 责令改正，处一万元以上十万元以下的罚款；拒不改正的，可以责令暂停施工。</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20"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1.持续时间较长</w:t>
            </w:r>
            <w:r>
              <w:rPr>
                <w:rFonts w:hint="eastAsia" w:ascii="宋体" w:hAnsi="宋体" w:eastAsia="宋体"/>
                <w:color w:val="auto"/>
                <w:sz w:val="15"/>
                <w:szCs w:val="15"/>
                <w:highlight w:val="none"/>
                <w:lang w:eastAsia="zh-CN"/>
              </w:rPr>
              <w:t>（达到</w:t>
            </w:r>
            <w:r>
              <w:rPr>
                <w:rFonts w:hint="eastAsia" w:ascii="宋体" w:hAnsi="宋体" w:eastAsia="宋体"/>
                <w:color w:val="auto"/>
                <w:sz w:val="15"/>
                <w:szCs w:val="15"/>
                <w:highlight w:val="none"/>
                <w:lang w:val="en-US" w:eastAsia="zh-CN"/>
              </w:rPr>
              <w:t>3天及以上的</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宋体" w:hAnsi="宋体" w:eastAsia="宋体"/>
                <w:b w:val="0"/>
                <w:bCs w:val="0"/>
                <w:color w:val="auto"/>
                <w:sz w:val="15"/>
                <w:szCs w:val="15"/>
                <w:highlight w:val="none"/>
              </w:rPr>
              <w:t>系数1-4</w:t>
            </w:r>
            <w:r>
              <w:rPr>
                <w:rFonts w:hint="eastAsia" w:ascii="宋体" w:hAnsi="宋体" w:eastAsia="宋体"/>
                <w:color w:val="auto"/>
                <w:sz w:val="15"/>
                <w:szCs w:val="15"/>
                <w:highlight w:val="none"/>
              </w:rPr>
              <w:t>；2.存在在中高考等特殊时段，投诉举报较多，媒体曝光，或者造成</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社会恶劣影响等情形的，系数5-9。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20" w:lineRule="exact"/>
              <w:rPr>
                <w:color w:val="auto"/>
                <w:highlight w:val="none"/>
              </w:rPr>
            </w:pPr>
            <w:r>
              <w:rPr>
                <w:rFonts w:hint="eastAsia" w:ascii="宋体" w:hAnsi="宋体" w:eastAsia="宋体"/>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32"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未按照规定制定噪声污染防治实施方案</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违反条款：第四十条第二款 ；</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处罚条款：第七十八条第（二）项 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1.大型建设工程</w:t>
            </w:r>
            <w:r>
              <w:rPr>
                <w:rFonts w:hint="eastAsia" w:ascii="宋体" w:hAnsi="宋体" w:eastAsia="宋体"/>
                <w:color w:val="auto"/>
                <w:sz w:val="15"/>
                <w:szCs w:val="15"/>
                <w:highlight w:val="none"/>
                <w:lang w:val="en"/>
              </w:rPr>
              <w:t>是指</w:t>
            </w:r>
            <w:r>
              <w:rPr>
                <w:rFonts w:hint="eastAsia" w:ascii="宋体" w:hAnsi="宋体" w:eastAsia="宋体"/>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c>
          <w:tcPr>
            <w:tcW w:w="897" w:type="dxa"/>
            <w:gridSpan w:val="2"/>
            <w:vMerge w:val="restart"/>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0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jc w:val="lef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2.造成投诉举报较多，或者其他社会恶劣影响的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3</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建设单位夜间施工未按照规定公告</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违反条款：第四十三条第二款；</w:t>
            </w:r>
          </w:p>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处罚条款：第七十八条第（四）项，责令改正，处五千元以上五万元以下的罚款；拒不改正的，处五万元以上二十万元以下的罚款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《北京市环境噪声污染防治办法》的“进行夜间施工作业未公告相关内容”停止执行。</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50000（拒不改正）</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1.未公告</w:t>
            </w:r>
            <w:r>
              <w:rPr>
                <w:rFonts w:hint="eastAsia" w:ascii="宋体" w:hAnsi="宋体" w:eastAsia="宋体"/>
                <w:color w:val="auto"/>
                <w:sz w:val="15"/>
                <w:szCs w:val="15"/>
                <w:highlight w:val="none"/>
                <w:lang w:val="en"/>
              </w:rPr>
              <w:t>持续</w:t>
            </w:r>
            <w:r>
              <w:rPr>
                <w:rFonts w:hint="eastAsia" w:ascii="宋体" w:hAnsi="宋体" w:eastAsia="宋体"/>
                <w:color w:val="auto"/>
                <w:sz w:val="15"/>
                <w:szCs w:val="15"/>
                <w:highlight w:val="none"/>
              </w:rPr>
              <w:t>时间较长，或者公告内容不全</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eastAsia="宋体"/>
                <w:color w:val="auto"/>
                <w:sz w:val="15"/>
                <w:szCs w:val="15"/>
                <w:highlight w:val="none"/>
                <w:lang w:val="en" w:eastAsia="zh-CN"/>
              </w:rPr>
              <w:t>。</w:t>
            </w:r>
            <w:r>
              <w:rPr>
                <w:rFonts w:ascii="宋体" w:hAnsi="宋体" w:eastAsia="宋体"/>
                <w:color w:val="auto"/>
                <w:sz w:val="15"/>
                <w:szCs w:val="15"/>
                <w:highlight w:val="none"/>
                <w:lang w:val="en"/>
              </w:rPr>
              <w:t>2.</w:t>
            </w:r>
            <w:r>
              <w:rPr>
                <w:rFonts w:hint="eastAsia" w:ascii="宋体" w:hAnsi="宋体" w:eastAsia="宋体"/>
                <w:color w:val="auto"/>
                <w:sz w:val="15"/>
                <w:szCs w:val="15"/>
                <w:highlight w:val="none"/>
              </w:rPr>
              <w:t>造成投诉举报较多，或者其他社会恶劣影响的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val="e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bookmarkStart w:id="116" w:name="_Toc760985315"/>
            <w:bookmarkStart w:id="117" w:name="_Toc110851473"/>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noWrap w:val="0"/>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3" w:hRule="atLeast"/>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noWrap w:val="0"/>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strike w:val="0"/>
                <w:dstrike w:val="0"/>
                <w:color w:val="auto"/>
                <w:sz w:val="15"/>
                <w:szCs w:val="15"/>
                <w:highlight w:val="none"/>
              </w:rPr>
              <w:t>《基准》“拒不改正”的情形，不纳入本案由</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31"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118" w:name="_Toc640564770"/>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5"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19" w:name="_Toc1019648660"/>
            <w:bookmarkStart w:id="120" w:name="_Toc1669927446"/>
            <w:bookmarkStart w:id="121" w:name="_Toc110851474"/>
            <w:r>
              <w:rPr>
                <w:rFonts w:hint="eastAsia" w:ascii="宋体" w:hAnsi="宋体" w:eastAsia="宋体"/>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0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未按规定设置围挡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2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违反条款：第八十一条第一款第（一）项</w:t>
            </w: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1.未按规定管护围挡长度16-30米的，系数1；31-45米的，系数2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，长度</w:t>
            </w:r>
            <w:r>
              <w:rPr>
                <w:rFonts w:hint="eastAsia" w:ascii="宋体" w:hAnsi="宋体" w:eastAsia="宋体"/>
                <w:color w:val="auto"/>
                <w:sz w:val="15"/>
                <w:szCs w:val="15"/>
                <w:highlight w:val="none"/>
                <w:lang w:val="en-US" w:eastAsia="zh-CN"/>
              </w:rPr>
              <w:t>136米及以上的，系数9</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未按规定管护围挡</w:t>
            </w:r>
            <w:r>
              <w:rPr>
                <w:rFonts w:hint="eastAsia" w:ascii="宋体" w:hAnsi="宋体" w:eastAsia="宋体"/>
                <w:color w:val="auto"/>
                <w:sz w:val="15"/>
                <w:szCs w:val="15"/>
                <w:highlight w:val="none"/>
              </w:rPr>
              <w:t>危害公共安全的，系数9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6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施工单位未在施工现场出入口公示相关信息</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处罚条款：第一百一十九条：责令限期改正，处一万元以上十万元以下罚款；拒不改正的，责令停工整治</w:t>
            </w:r>
          </w:p>
        </w:tc>
        <w:tc>
          <w:tcPr>
            <w:tcW w:w="851" w:type="dxa"/>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strike w:val="0"/>
                <w:dstrike w:val="0"/>
                <w:color w:val="auto"/>
                <w:sz w:val="15"/>
                <w:szCs w:val="15"/>
                <w:highlight w:val="none"/>
                <w:lang w:val="en-US" w:eastAsia="zh-CN"/>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需要做出其他处罚决定的，报请案审会决定。</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未对施工现场内主要道路和物料堆放场地进行硬化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widowControl w:val="0"/>
              <w:numPr>
                <w:ilvl w:val="0"/>
                <w:numId w:val="0"/>
              </w:numPr>
              <w:jc w:val="both"/>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未硬化、覆盖或者绿化面积10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未对施工现场内除主要道路和物料堆放场地外</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场地进行覆盖或者临时绿化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大风天气未停止可能产生扬尘污染的施工作业</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ascii="宋体" w:hAnsi="宋体" w:eastAsia="宋体"/>
                <w:color w:val="auto"/>
                <w:sz w:val="15"/>
                <w:szCs w:val="15"/>
                <w:highlight w:val="none"/>
              </w:rPr>
              <w:t>1.6</w:t>
            </w:r>
            <w:r>
              <w:rPr>
                <w:rFonts w:hint="eastAsia" w:ascii="宋体" w:hAnsi="宋体" w:eastAsia="宋体"/>
                <w:color w:val="auto"/>
                <w:sz w:val="15"/>
                <w:szCs w:val="15"/>
                <w:highlight w:val="none"/>
              </w:rPr>
              <w:t>级及</w:t>
            </w:r>
            <w:r>
              <w:rPr>
                <w:rFonts w:ascii="宋体" w:hAnsi="宋体" w:eastAsia="宋体"/>
                <w:color w:val="auto"/>
                <w:sz w:val="15"/>
                <w:szCs w:val="15"/>
                <w:highlight w:val="none"/>
              </w:rPr>
              <w:t>6</w:t>
            </w:r>
            <w:r>
              <w:rPr>
                <w:rFonts w:hint="eastAsia" w:ascii="宋体" w:hAnsi="宋体" w:eastAsia="宋体"/>
                <w:color w:val="auto"/>
                <w:sz w:val="15"/>
                <w:szCs w:val="15"/>
                <w:highlight w:val="none"/>
              </w:rPr>
              <w:t>级以上大风未停止可能产生扬尘污染的施工作业的，系数</w:t>
            </w:r>
            <w:r>
              <w:rPr>
                <w:rFonts w:ascii="宋体" w:hAnsi="宋体" w:eastAsia="宋体"/>
                <w:color w:val="auto"/>
                <w:sz w:val="15"/>
                <w:szCs w:val="15"/>
                <w:highlight w:val="none"/>
              </w:rPr>
              <w:t>5-8</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6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施工现场未按规定安装视频监控系统</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9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施工车辆未经除泥、冲洗驶出工地</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8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hint="default" w:ascii="宋体" w:hAnsi="宋体" w:eastAsia="宋体" w:cs="宋体"/>
                <w:color w:val="auto"/>
                <w:sz w:val="15"/>
                <w:szCs w:val="15"/>
                <w:highlight w:val="none"/>
                <w:lang w:val="en"/>
              </w:rPr>
            </w:pPr>
            <w:r>
              <w:rPr>
                <w:rFonts w:hint="eastAsia" w:ascii="宋体" w:hAnsi="宋体" w:eastAsia="宋体"/>
                <w:color w:val="auto"/>
                <w:sz w:val="15"/>
                <w:szCs w:val="15"/>
                <w:highlight w:val="none"/>
              </w:rPr>
              <w:t>车辆清洗处未配套设置排水、泥浆沉淀设施</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违反条款：第八十一条第一款第（五）项</w:t>
            </w:r>
          </w:p>
          <w:p>
            <w:pPr>
              <w:spacing w:line="22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施工现场道路及进出口周边一百米以内的道路有泥土和建筑垃圾</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违反条款：第八十一条第一款第（六）项；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污染道路长21－30米的，系数1；31－40米的，系数2；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3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道路挖掘施工过程中未及时覆盖破损路面并采取措施</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路面长21－30米的，系数1；31－40米的，系数2；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道路挖掘施工完成后未及时修复路面</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违反条款：第八十一条第一款第（七）项；</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处罚条款：第一百一十九条，责令限期改正，处一万元以上十万元以下罚款；拒不改正，责令停工整治。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未修复的道路长21－30米的，系数1；31－40米的，系数2；</w:t>
            </w:r>
            <w:r>
              <w:rPr>
                <w:rFonts w:hint="eastAsia" w:ascii="宋体" w:hAnsi="宋体" w:eastAsia="宋体" w:cs="宋体"/>
                <w:color w:val="auto"/>
                <w:kern w:val="0"/>
                <w:sz w:val="15"/>
                <w:szCs w:val="15"/>
                <w:highlight w:val="none"/>
                <w:lang w:val="en-US" w:eastAsia="zh-CN"/>
              </w:rPr>
              <w:t>41-50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51-60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4；61-70</w:t>
            </w:r>
            <w:r>
              <w:rPr>
                <w:rFonts w:hint="eastAsia" w:ascii="宋体" w:hAnsi="宋体" w:eastAsia="宋体" w:cs="宋体"/>
                <w:color w:val="auto"/>
                <w:kern w:val="0"/>
                <w:sz w:val="15"/>
                <w:szCs w:val="15"/>
                <w:highlight w:val="none"/>
              </w:rPr>
              <w:t>米的，系数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101米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拒不改正的，责令停工整治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2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产生扬尘的物料未按规定贮存或者未</w:t>
            </w:r>
            <w:r>
              <w:rPr>
                <w:rFonts w:hint="eastAsia" w:ascii="宋体" w:hAnsi="宋体" w:eastAsia="宋体"/>
                <w:bCs/>
                <w:color w:val="auto"/>
                <w:sz w:val="15"/>
                <w:szCs w:val="15"/>
                <w:highlight w:val="none"/>
              </w:rPr>
              <w:t>采取有效防尘措施</w:t>
            </w:r>
          </w:p>
        </w:tc>
        <w:tc>
          <w:tcPr>
            <w:tcW w:w="2789" w:type="dxa"/>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违反条款：第八十二条第一款；</w:t>
            </w:r>
          </w:p>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1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1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12" w:lineRule="exact"/>
              <w:rPr>
                <w:rFonts w:ascii="宋体" w:hAnsi="宋体" w:eastAsia="宋体"/>
                <w:strike/>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strike/>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7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未按规定处置或覆盖建筑土方、工程渣土、建筑垃圾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处罚条款：第一百二十条：责令限期改正，处一万元以上十万元以下罚款；拒不改正的，责令停工整治或者停业整治。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占地面积10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以下的，系数0；11－15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的，系数1；16－20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系数2</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拒不改正的，责令停工整治或者停业整治。</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2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2" w:name="_Toc110851475"/>
            <w:bookmarkStart w:id="123" w:name="_Toc854219027"/>
            <w:bookmarkStart w:id="124" w:name="_Toc3603249"/>
            <w:r>
              <w:rPr>
                <w:rFonts w:hint="eastAsia" w:ascii="宋体" w:hAnsi="宋体" w:eastAsia="宋体"/>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建设单位未按标准设置围挡</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1.未按标准设置围挡长度1</w:t>
            </w:r>
            <w:r>
              <w:rPr>
                <w:rFonts w:ascii="宋体" w:hAnsi="宋体" w:eastAsia="宋体"/>
                <w:color w:val="auto"/>
                <w:sz w:val="15"/>
                <w:szCs w:val="15"/>
                <w:highlight w:val="none"/>
              </w:rPr>
              <w:t>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施工单位未对围挡进行维护</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1.未按规定管护围挡长度</w:t>
            </w:r>
            <w:r>
              <w:rPr>
                <w:rFonts w:ascii="宋体" w:hAnsi="宋体" w:eastAsia="宋体"/>
                <w:color w:val="auto"/>
                <w:sz w:val="15"/>
                <w:szCs w:val="15"/>
                <w:highlight w:val="none"/>
              </w:rPr>
              <w:t>16</w:t>
            </w:r>
            <w:r>
              <w:rPr>
                <w:rFonts w:hint="eastAsia" w:ascii="宋体" w:hAnsi="宋体" w:eastAsia="宋体"/>
                <w:color w:val="auto"/>
                <w:sz w:val="15"/>
                <w:szCs w:val="15"/>
                <w:highlight w:val="none"/>
              </w:rPr>
              <w:t>-</w:t>
            </w:r>
            <w:r>
              <w:rPr>
                <w:rFonts w:ascii="宋体" w:hAnsi="宋体" w:eastAsia="宋体"/>
                <w:color w:val="auto"/>
                <w:sz w:val="15"/>
                <w:szCs w:val="15"/>
                <w:highlight w:val="none"/>
              </w:rPr>
              <w:t>30</w:t>
            </w:r>
            <w:r>
              <w:rPr>
                <w:rFonts w:hint="eastAsia" w:ascii="宋体" w:hAnsi="宋体" w:eastAsia="宋体"/>
                <w:color w:val="auto"/>
                <w:sz w:val="15"/>
                <w:szCs w:val="15"/>
                <w:highlight w:val="none"/>
              </w:rPr>
              <w:t>米的，系数1；</w:t>
            </w:r>
            <w:r>
              <w:rPr>
                <w:rFonts w:ascii="宋体" w:hAnsi="宋体" w:eastAsia="宋体"/>
                <w:color w:val="auto"/>
                <w:sz w:val="15"/>
                <w:szCs w:val="15"/>
                <w:highlight w:val="none"/>
              </w:rPr>
              <w:t>31</w:t>
            </w:r>
            <w:r>
              <w:rPr>
                <w:rFonts w:hint="eastAsia" w:ascii="宋体" w:hAnsi="宋体" w:eastAsia="宋体"/>
                <w:color w:val="auto"/>
                <w:sz w:val="15"/>
                <w:szCs w:val="15"/>
                <w:highlight w:val="none"/>
              </w:rPr>
              <w:t>-</w:t>
            </w:r>
            <w:r>
              <w:rPr>
                <w:rFonts w:ascii="宋体" w:hAnsi="宋体" w:eastAsia="宋体"/>
                <w:color w:val="auto"/>
                <w:sz w:val="15"/>
                <w:szCs w:val="15"/>
                <w:highlight w:val="none"/>
              </w:rPr>
              <w:t>45</w:t>
            </w:r>
            <w:r>
              <w:rPr>
                <w:rFonts w:hint="eastAsia" w:ascii="宋体" w:hAnsi="宋体" w:eastAsia="宋体"/>
                <w:color w:val="auto"/>
                <w:sz w:val="15"/>
                <w:szCs w:val="15"/>
                <w:highlight w:val="none"/>
              </w:rPr>
              <w:t>米的，系数2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46-60米的，系数3；61-75米的，系数4；76-90米的，系数5；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136米</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2.期间发生危害公共安全行为的，系数</w:t>
            </w:r>
            <w:r>
              <w:rPr>
                <w:rFonts w:ascii="宋体" w:hAnsi="宋体" w:eastAsia="宋体"/>
                <w:color w:val="auto"/>
                <w:sz w:val="15"/>
                <w:szCs w:val="15"/>
                <w:highlight w:val="none"/>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市政基础设施工程因特殊情况不能进行围挡的未设置警示标志（或未在工程危险部位采取防护措施）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违反条款：第二十三条第（一）项；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1.违法行为持续时间较长，或者未设置警示标志或者防护措施的长度、面积较大的，发生在人口密集地区的，系数</w:t>
            </w:r>
            <w:r>
              <w:rPr>
                <w:rFonts w:ascii="宋体" w:hAnsi="宋体" w:eastAsia="宋体"/>
                <w:color w:val="auto"/>
                <w:sz w:val="15"/>
                <w:szCs w:val="15"/>
                <w:highlight w:val="none"/>
              </w:rPr>
              <w:t>5-</w:t>
            </w:r>
            <w:r>
              <w:rPr>
                <w:rFonts w:hint="eastAsia" w:ascii="宋体" w:hAnsi="宋体" w:eastAsia="宋体"/>
                <w:color w:val="auto"/>
                <w:sz w:val="15"/>
                <w:szCs w:val="15"/>
                <w:highlight w:val="none"/>
                <w:lang w:val="en-US" w:eastAsia="zh-CN"/>
              </w:rPr>
              <w:t>6</w:t>
            </w:r>
            <w:r>
              <w:rPr>
                <w:rFonts w:hint="eastAsia" w:ascii="宋体" w:hAnsi="宋体" w:eastAsia="宋体"/>
                <w:color w:val="auto"/>
                <w:sz w:val="15"/>
                <w:szCs w:val="15"/>
                <w:highlight w:val="none"/>
              </w:rPr>
              <w:t>；2.期间发生危害公共安全行为的，系数9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未按规定对施工现场道路、场地进行硬化、覆盖或者绿化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未硬化、覆盖或者绿化面积</w:t>
            </w:r>
            <w:r>
              <w:rPr>
                <w:rFonts w:ascii="宋体" w:hAnsi="宋体" w:eastAsia="宋体" w:cs="宋体"/>
                <w:color w:val="auto"/>
                <w:kern w:val="0"/>
                <w:sz w:val="15"/>
                <w:szCs w:val="15"/>
                <w:highlight w:val="none"/>
              </w:rPr>
              <w:t>10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以下的，系数</w:t>
            </w:r>
            <w:r>
              <w:rPr>
                <w:rFonts w:hint="eastAsia" w:ascii="宋体" w:hAnsi="宋体" w:eastAsia="宋体" w:cs="宋体"/>
                <w:color w:val="auto"/>
                <w:kern w:val="0"/>
                <w:sz w:val="15"/>
                <w:szCs w:val="15"/>
                <w:highlight w:val="none"/>
              </w:rPr>
              <w:t>0；</w:t>
            </w:r>
            <w:r>
              <w:rPr>
                <w:rFonts w:ascii="宋体" w:hAnsi="宋体" w:eastAsia="宋体" w:cs="宋体"/>
                <w:color w:val="auto"/>
                <w:kern w:val="0"/>
                <w:sz w:val="15"/>
                <w:szCs w:val="15"/>
                <w:highlight w:val="none"/>
              </w:rPr>
              <w:t>11</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25</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rPr>
              <w:t>1；</w:t>
            </w:r>
            <w:r>
              <w:rPr>
                <w:rFonts w:ascii="宋体" w:hAnsi="宋体" w:eastAsia="宋体" w:cs="宋体"/>
                <w:color w:val="auto"/>
                <w:kern w:val="0"/>
                <w:sz w:val="15"/>
                <w:szCs w:val="15"/>
                <w:highlight w:val="none"/>
              </w:rPr>
              <w:t>26</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40</w:t>
            </w:r>
            <w:r>
              <w:rPr>
                <w:rFonts w:hint="eastAsia" w:ascii="宋体" w:hAnsi="宋体" w:eastAsia="宋体" w:cs="Batang"/>
                <w:color w:val="auto"/>
                <w:kern w:val="0"/>
                <w:sz w:val="15"/>
                <w:szCs w:val="15"/>
                <w:highlight w:val="none"/>
              </w:rPr>
              <w:t>㎡</w:t>
            </w:r>
            <w:r>
              <w:rPr>
                <w:rFonts w:hint="eastAsia" w:ascii="宋体" w:hAnsi="宋体" w:eastAsia="宋体" w:cs="Batang"/>
                <w:color w:val="auto"/>
                <w:kern w:val="0"/>
                <w:sz w:val="15"/>
                <w:szCs w:val="15"/>
                <w:highlight w:val="none"/>
                <w:lang w:eastAsia="zh-CN"/>
              </w:rPr>
              <w:t>的，</w:t>
            </w:r>
            <w:r>
              <w:rPr>
                <w:rFonts w:hint="eastAsia" w:ascii="宋体" w:hAnsi="宋体" w:eastAsia="宋体" w:cs="仿宋_GB2312"/>
                <w:color w:val="auto"/>
                <w:kern w:val="0"/>
                <w:sz w:val="15"/>
                <w:szCs w:val="15"/>
                <w:highlight w:val="none"/>
              </w:rPr>
              <w:t>系数</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s="宋体"/>
                <w:color w:val="auto"/>
                <w:kern w:val="0"/>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5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施工现场</w:t>
            </w:r>
            <w:r>
              <w:rPr>
                <w:rFonts w:ascii="宋体" w:hAnsi="宋体" w:eastAsia="宋体"/>
                <w:color w:val="auto"/>
                <w:sz w:val="15"/>
                <w:szCs w:val="15"/>
                <w:highlight w:val="none"/>
              </w:rPr>
              <w:t>土方</w:t>
            </w:r>
            <w:r>
              <w:rPr>
                <w:rFonts w:hint="eastAsia" w:ascii="宋体" w:hAnsi="宋体" w:eastAsia="宋体"/>
                <w:color w:val="auto"/>
                <w:sz w:val="15"/>
                <w:szCs w:val="15"/>
                <w:highlight w:val="none"/>
              </w:rPr>
              <w:t>未</w:t>
            </w:r>
            <w:r>
              <w:rPr>
                <w:rFonts w:ascii="宋体" w:hAnsi="宋体" w:eastAsia="宋体"/>
                <w:color w:val="auto"/>
                <w:sz w:val="15"/>
                <w:szCs w:val="15"/>
                <w:highlight w:val="none"/>
              </w:rPr>
              <w:t>集中堆放</w:t>
            </w:r>
            <w:r>
              <w:rPr>
                <w:rFonts w:hint="eastAsia" w:ascii="宋体" w:hAnsi="宋体" w:eastAsia="宋体"/>
                <w:color w:val="auto"/>
                <w:sz w:val="15"/>
                <w:szCs w:val="15"/>
                <w:highlight w:val="none"/>
              </w:rPr>
              <w:t>或者未</w:t>
            </w:r>
            <w:r>
              <w:rPr>
                <w:rFonts w:ascii="宋体" w:hAnsi="宋体" w:eastAsia="宋体"/>
                <w:color w:val="auto"/>
                <w:sz w:val="15"/>
                <w:szCs w:val="15"/>
                <w:highlight w:val="none"/>
              </w:rPr>
              <w:t>采取覆盖</w:t>
            </w:r>
            <w:r>
              <w:rPr>
                <w:rFonts w:hint="eastAsia" w:ascii="宋体" w:hAnsi="宋体" w:eastAsia="宋体"/>
                <w:color w:val="auto"/>
                <w:sz w:val="15"/>
                <w:szCs w:val="15"/>
                <w:highlight w:val="none"/>
              </w:rPr>
              <w:t>、</w:t>
            </w:r>
            <w:r>
              <w:rPr>
                <w:rFonts w:ascii="宋体" w:hAnsi="宋体" w:eastAsia="宋体"/>
                <w:color w:val="auto"/>
                <w:sz w:val="15"/>
                <w:szCs w:val="15"/>
                <w:highlight w:val="none"/>
              </w:rPr>
              <w:t>固化等措施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w:t>
            </w:r>
            <w:r>
              <w:rPr>
                <w:rFonts w:ascii="宋体" w:hAnsi="宋体" w:eastAsia="宋体"/>
                <w:color w:val="auto"/>
                <w:sz w:val="15"/>
                <w:szCs w:val="15"/>
                <w:highlight w:val="none"/>
              </w:rPr>
              <w:t>2</w:t>
            </w:r>
            <w:r>
              <w:rPr>
                <w:rFonts w:hint="eastAsia" w:ascii="宋体" w:hAnsi="宋体" w:eastAsia="宋体"/>
                <w:color w:val="auto"/>
                <w:sz w:val="15"/>
                <w:szCs w:val="15"/>
                <w:highlight w:val="none"/>
              </w:rPr>
              <w:t>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w:t>
            </w:r>
            <w:r>
              <w:rPr>
                <w:rFonts w:ascii="宋体" w:hAnsi="宋体" w:eastAsia="宋体"/>
                <w:color w:val="auto"/>
                <w:sz w:val="15"/>
                <w:szCs w:val="15"/>
                <w:highlight w:val="none"/>
              </w:rPr>
              <w:t>26</w:t>
            </w:r>
            <w:r>
              <w:rPr>
                <w:rFonts w:hint="eastAsia" w:ascii="宋体" w:hAnsi="宋体" w:eastAsia="宋体"/>
                <w:color w:val="auto"/>
                <w:sz w:val="15"/>
                <w:szCs w:val="15"/>
                <w:highlight w:val="none"/>
              </w:rPr>
              <w:t>－</w:t>
            </w:r>
            <w:r>
              <w:rPr>
                <w:rFonts w:ascii="宋体" w:hAnsi="宋体" w:eastAsia="宋体"/>
                <w:color w:val="auto"/>
                <w:sz w:val="15"/>
                <w:szCs w:val="15"/>
                <w:highlight w:val="none"/>
              </w:rPr>
              <w:t>4</w:t>
            </w:r>
            <w:r>
              <w:rPr>
                <w:rFonts w:hint="eastAsia" w:ascii="宋体" w:hAnsi="宋体" w:eastAsia="宋体"/>
                <w:color w:val="auto"/>
                <w:sz w:val="15"/>
                <w:szCs w:val="15"/>
                <w:highlight w:val="none"/>
              </w:rPr>
              <w:t>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10000×（1+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建设单位</w:t>
            </w:r>
            <w:r>
              <w:rPr>
                <w:rFonts w:hint="eastAsia" w:ascii="宋体" w:hAnsi="宋体" w:eastAsia="宋体" w:cs="宋体"/>
                <w:color w:val="auto"/>
                <w:kern w:val="0"/>
                <w:sz w:val="15"/>
                <w:szCs w:val="15"/>
                <w:highlight w:val="none"/>
              </w:rPr>
              <w:t>未对暂时不开发的空地进行绿化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1.面积1000</w:t>
            </w:r>
            <w:r>
              <w:rPr>
                <w:rFonts w:hint="eastAsia" w:ascii="宋体" w:hAnsi="宋体" w:eastAsia="宋体" w:cs="Batang"/>
                <w:color w:val="auto"/>
                <w:kern w:val="0"/>
                <w:sz w:val="15"/>
                <w:szCs w:val="15"/>
                <w:highlight w:val="none"/>
              </w:rPr>
              <w:t>㎡</w:t>
            </w:r>
            <w:r>
              <w:rPr>
                <w:rFonts w:hint="eastAsia" w:ascii="宋体" w:hAnsi="宋体" w:eastAsia="宋体" w:cs="仿宋_GB2312"/>
                <w:color w:val="auto"/>
                <w:kern w:val="0"/>
                <w:sz w:val="15"/>
                <w:szCs w:val="15"/>
                <w:highlight w:val="none"/>
              </w:rPr>
              <w:t>以内，</w:t>
            </w:r>
            <w:r>
              <w:rPr>
                <w:rFonts w:hint="eastAsia" w:ascii="宋体" w:hAnsi="宋体" w:eastAsia="宋体" w:cs="仿宋_GB2312"/>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ascii="宋体" w:hAnsi="宋体" w:eastAsia="宋体"/>
                <w:color w:val="auto"/>
                <w:sz w:val="15"/>
                <w:szCs w:val="15"/>
                <w:highlight w:val="none"/>
              </w:rPr>
              <w:t>1000</w:t>
            </w:r>
            <w:r>
              <w:rPr>
                <w:rFonts w:hint="eastAsia" w:ascii="宋体" w:hAnsi="宋体" w:eastAsia="宋体"/>
                <w:color w:val="auto"/>
                <w:sz w:val="15"/>
                <w:szCs w:val="15"/>
                <w:highlight w:val="none"/>
              </w:rPr>
              <w:t>－15</w:t>
            </w:r>
            <w:r>
              <w:rPr>
                <w:rFonts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1；1</w:t>
            </w:r>
            <w:r>
              <w:rPr>
                <w:rFonts w:ascii="宋体" w:hAnsi="宋体" w:eastAsia="宋体"/>
                <w:color w:val="auto"/>
                <w:sz w:val="15"/>
                <w:szCs w:val="15"/>
                <w:highlight w:val="none"/>
              </w:rPr>
              <w:t>500</w:t>
            </w:r>
            <w:r>
              <w:rPr>
                <w:rFonts w:hint="eastAsia" w:ascii="宋体" w:hAnsi="宋体" w:eastAsia="宋体"/>
                <w:color w:val="auto"/>
                <w:sz w:val="15"/>
                <w:szCs w:val="15"/>
                <w:highlight w:val="none"/>
              </w:rPr>
              <w:t>－2000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2000</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2500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30</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3000</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35</w:t>
            </w:r>
            <w:r>
              <w:rPr>
                <w:rFonts w:hint="eastAsia" w:ascii="宋体" w:hAnsi="宋体" w:eastAsia="宋体"/>
                <w:color w:val="auto"/>
                <w:sz w:val="15"/>
                <w:szCs w:val="15"/>
                <w:highlight w:val="none"/>
              </w:rPr>
              <w:t>00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系数</w:t>
            </w:r>
            <w:r>
              <w:rPr>
                <w:rFonts w:hint="eastAsia" w:ascii="宋体" w:hAnsi="宋体" w:eastAsia="宋体" w:cs="仿宋_GB2312"/>
                <w:color w:val="auto"/>
                <w:sz w:val="15"/>
                <w:szCs w:val="15"/>
                <w:highlight w:val="none"/>
                <w:lang w:val="en-US" w:eastAsia="zh-CN"/>
              </w:rPr>
              <w:t>5</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5000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s="宋体"/>
                <w:color w:val="auto"/>
                <w:kern w:val="0"/>
                <w:sz w:val="15"/>
                <w:szCs w:val="15"/>
                <w:highlight w:val="none"/>
              </w:rPr>
              <w:t>；2.尘土飞扬，对环境造成严重影响的，系数</w:t>
            </w:r>
            <w:r>
              <w:rPr>
                <w:rFonts w:hint="eastAsia" w:ascii="宋体" w:hAnsi="宋体" w:eastAsia="宋体"/>
                <w:strike w:val="0"/>
                <w:color w:val="auto"/>
                <w:sz w:val="15"/>
                <w:szCs w:val="15"/>
                <w:highlight w:val="none"/>
                <w:lang w:val="en-US" w:eastAsia="zh-CN"/>
              </w:rPr>
              <w:t>5-6</w:t>
            </w:r>
            <w:r>
              <w:rPr>
                <w:rFonts w:hint="eastAsia" w:ascii="宋体" w:hAnsi="宋体" w:eastAsia="宋体" w:cs="宋体"/>
                <w:color w:val="auto"/>
                <w:kern w:val="0"/>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noWrap w:val="0"/>
            <w:vAlign w:val="center"/>
          </w:tcPr>
          <w:p>
            <w:pPr>
              <w:spacing w:line="232" w:lineRule="exact"/>
              <w:rPr>
                <w:rFonts w:ascii="宋体" w:hAnsi="宋体" w:eastAsia="宋体" w:cs="宋体"/>
                <w:dstrike/>
                <w:color w:val="auto"/>
                <w:sz w:val="15"/>
                <w:szCs w:val="15"/>
                <w:highlight w:val="none"/>
              </w:rPr>
            </w:pPr>
            <w:r>
              <w:rPr>
                <w:rFonts w:hint="eastAsia" w:ascii="宋体" w:hAnsi="宋体" w:eastAsia="宋体"/>
                <w:color w:val="auto"/>
                <w:sz w:val="15"/>
                <w:szCs w:val="15"/>
                <w:highlight w:val="none"/>
              </w:rPr>
              <w:t>施工现场未采取洒水措施防止扬尘</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olor w:val="auto"/>
                <w:sz w:val="15"/>
                <w:szCs w:val="15"/>
                <w:highlight w:val="none"/>
              </w:rPr>
              <w:t>＝</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2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拆除作业时未采取洒水措施防止扬尘</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strike/>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可能产生扬尘污染的建筑材料未在库房存放或者未严密遮盖</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适用于施工现场相关违法行为的查处。</w:t>
            </w:r>
          </w:p>
          <w:p>
            <w:pPr>
              <w:spacing w:line="232" w:lineRule="exact"/>
              <w:jc w:val="lef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53"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施工现场存放油料未采取防止泄漏和污染措施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违反条款：第二十三条第（四）项；</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p>
            <w:pPr>
              <w:spacing w:line="232" w:lineRule="exact"/>
              <w:jc w:val="center"/>
              <w:rPr>
                <w:rFonts w:ascii="宋体" w:hAnsi="宋体" w:eastAsia="宋体"/>
                <w:color w:val="auto"/>
                <w:sz w:val="15"/>
                <w:szCs w:val="15"/>
                <w:highlight w:val="none"/>
              </w:rPr>
            </w:pP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1.面积10</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以下的，系数</w:t>
            </w:r>
            <w:r>
              <w:rPr>
                <w:rFonts w:hint="eastAsia" w:ascii="宋体" w:hAnsi="宋体" w:eastAsia="宋体"/>
                <w:color w:val="auto"/>
                <w:sz w:val="15"/>
                <w:szCs w:val="15"/>
                <w:highlight w:val="none"/>
              </w:rPr>
              <w:t>0；11－25</w:t>
            </w:r>
            <w:r>
              <w:rPr>
                <w:rFonts w:hint="eastAsia" w:ascii="宋体" w:hAnsi="宋体" w:eastAsia="宋体" w:cs="Batang"/>
                <w:color w:val="auto"/>
                <w:sz w:val="15"/>
                <w:szCs w:val="15"/>
                <w:highlight w:val="none"/>
              </w:rPr>
              <w:t>㎡</w:t>
            </w:r>
            <w:r>
              <w:rPr>
                <w:rFonts w:hint="eastAsia" w:ascii="宋体" w:hAnsi="宋体" w:eastAsia="宋体" w:cs="仿宋_GB2312"/>
                <w:color w:val="auto"/>
                <w:sz w:val="15"/>
                <w:szCs w:val="15"/>
                <w:highlight w:val="none"/>
              </w:rPr>
              <w:t>的，系数</w:t>
            </w:r>
            <w:r>
              <w:rPr>
                <w:rFonts w:hint="eastAsia" w:ascii="宋体" w:hAnsi="宋体" w:eastAsia="宋体"/>
                <w:color w:val="auto"/>
                <w:sz w:val="15"/>
                <w:szCs w:val="15"/>
                <w:highlight w:val="none"/>
              </w:rPr>
              <w:t>1；26－40</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的，</w:t>
            </w:r>
            <w:r>
              <w:rPr>
                <w:rFonts w:hint="eastAsia" w:ascii="宋体" w:hAnsi="宋体" w:eastAsia="宋体" w:cs="仿宋_GB2312"/>
                <w:color w:val="auto"/>
                <w:sz w:val="15"/>
                <w:szCs w:val="15"/>
                <w:highlight w:val="none"/>
              </w:rPr>
              <w:t>系数</w:t>
            </w:r>
            <w:r>
              <w:rPr>
                <w:rFonts w:hint="eastAsia" w:ascii="宋体" w:hAnsi="宋体" w:eastAsia="宋体"/>
                <w:color w:val="auto"/>
                <w:sz w:val="15"/>
                <w:szCs w:val="15"/>
                <w:highlight w:val="none"/>
              </w:rPr>
              <w:t>2</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以此类推</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131</w:t>
            </w:r>
            <w:r>
              <w:rPr>
                <w:rFonts w:hint="eastAsia" w:ascii="宋体" w:hAnsi="宋体" w:eastAsia="宋体" w:cs="Batang"/>
                <w:color w:val="auto"/>
                <w:sz w:val="15"/>
                <w:szCs w:val="15"/>
                <w:highlight w:val="none"/>
              </w:rPr>
              <w:t>㎡</w:t>
            </w:r>
            <w:r>
              <w:rPr>
                <w:rFonts w:hint="eastAsia" w:ascii="宋体" w:hAnsi="宋体" w:eastAsia="宋体" w:cs="Batang"/>
                <w:color w:val="auto"/>
                <w:sz w:val="15"/>
                <w:szCs w:val="15"/>
                <w:highlight w:val="none"/>
                <w:lang w:eastAsia="zh-CN"/>
              </w:rPr>
              <w:t>及以上的，系数</w:t>
            </w:r>
            <w:r>
              <w:rPr>
                <w:rFonts w:hint="eastAsia" w:ascii="宋体" w:hAnsi="宋体" w:eastAsia="宋体" w:cs="Batang"/>
                <w:color w:val="auto"/>
                <w:sz w:val="15"/>
                <w:szCs w:val="15"/>
                <w:highlight w:val="none"/>
                <w:lang w:val="en-US" w:eastAsia="zh-CN"/>
              </w:rPr>
              <w:t>9</w:t>
            </w:r>
            <w:r>
              <w:rPr>
                <w:rFonts w:hint="eastAsia" w:ascii="宋体" w:hAnsi="宋体" w:eastAsia="宋体"/>
                <w:color w:val="auto"/>
                <w:sz w:val="15"/>
                <w:szCs w:val="15"/>
                <w:highlight w:val="none"/>
              </w:rPr>
              <w:t>。2.造成尘土飞扬，严重污染环境的，</w:t>
            </w:r>
            <w:r>
              <w:rPr>
                <w:rFonts w:hint="eastAsia" w:ascii="宋体" w:hAnsi="宋体" w:eastAsia="宋体"/>
                <w:color w:val="auto"/>
                <w:sz w:val="15"/>
                <w:szCs w:val="15"/>
                <w:highlight w:val="none"/>
                <w:lang w:eastAsia="zh-CN"/>
              </w:rPr>
              <w:t>系数</w:t>
            </w:r>
            <w:r>
              <w:rPr>
                <w:rFonts w:hint="eastAsia" w:ascii="宋体" w:hAnsi="宋体" w:eastAsia="宋体"/>
                <w:strike w:val="0"/>
                <w:color w:val="auto"/>
                <w:sz w:val="15"/>
                <w:szCs w:val="15"/>
                <w:highlight w:val="none"/>
                <w:lang w:val="en-US" w:eastAsia="zh-CN"/>
              </w:rPr>
              <w:t>5-6</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10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6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施工现场出口处未设置冲洗车辆设施</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w:t>
            </w:r>
          </w:p>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处罚条款：第</w:t>
            </w:r>
            <w:r>
              <w:rPr>
                <w:rFonts w:ascii="宋体" w:hAnsi="宋体" w:eastAsia="宋体"/>
                <w:color w:val="auto"/>
                <w:sz w:val="15"/>
                <w:szCs w:val="15"/>
                <w:highlight w:val="none"/>
              </w:rPr>
              <w:t>三十七条，</w:t>
            </w:r>
            <w:r>
              <w:rPr>
                <w:rFonts w:hint="eastAsia" w:ascii="宋体" w:hAnsi="宋体" w:eastAsia="宋体"/>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ascii="宋体" w:hAnsi="宋体" w:eastAsia="宋体"/>
                <w:color w:val="auto"/>
                <w:sz w:val="15"/>
                <w:szCs w:val="15"/>
                <w:highlight w:val="none"/>
              </w:rPr>
              <w:t>0</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olor w:val="auto"/>
                <w:sz w:val="15"/>
                <w:szCs w:val="15"/>
                <w:highlight w:val="none"/>
                <w:lang w:eastAsia="zh-CN"/>
              </w:rPr>
              <w:t>逾期未</w:t>
            </w:r>
            <w:r>
              <w:rPr>
                <w:rFonts w:hint="eastAsia" w:ascii="宋体" w:hAnsi="宋体" w:eastAsia="宋体"/>
                <w:color w:val="auto"/>
                <w:sz w:val="15"/>
                <w:szCs w:val="15"/>
                <w:highlight w:val="none"/>
              </w:rPr>
              <w:t>改正的，责令停工整治</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未设密闭式垃圾站</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未设置时间持续较长、垃圾堆放量较大，垃圾飘洒、恶臭等环境脏乱严重等情形，</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未搭设密闭式专用垃圾通道或者未采用容器吊运的</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处罚条款：第三十八条：责令改正，处1000元以上1万元以下罚款。</w:t>
            </w:r>
          </w:p>
        </w:tc>
        <w:tc>
          <w:tcPr>
            <w:tcW w:w="851"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s="宋体"/>
                <w:dstrike/>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未搭设密闭式专用垃圾通道时间持续较长或不采用容器吊运时间较长的，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dstrike/>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96"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112928068"/>
            <w:bookmarkStart w:id="127" w:name="_Toc1256403622"/>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12"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28" w:name="_Toc509001082"/>
            <w:bookmarkStart w:id="129" w:name="_Toc110851477"/>
            <w:bookmarkStart w:id="130" w:name="_Toc460596015"/>
            <w:r>
              <w:rPr>
                <w:rFonts w:hint="eastAsia" w:ascii="宋体" w:hAnsi="宋体" w:eastAsia="宋体"/>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7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擅自停止使用机动车停车场</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擅自将机动车停车场改作他用</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违反条款第十四条第一款；处罚条款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第三十一条</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擅自将机动车临时停车场停止使用</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违反条款第十四条第二款；处罚条款；第三十一条：责令限期改正，恢复原状。</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非行政处罚事项</w:t>
            </w:r>
            <w:r>
              <w:rPr>
                <w:rFonts w:hint="eastAsia" w:ascii="宋体" w:hAnsi="宋体" w:eastAsia="宋体"/>
                <w:color w:val="auto"/>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190" w:lineRule="exact"/>
              <w:contextualSpacing/>
              <w:jc w:val="left"/>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无照经营（机动车停车场）</w:t>
            </w:r>
          </w:p>
        </w:tc>
        <w:tc>
          <w:tcPr>
            <w:tcW w:w="2789" w:type="dxa"/>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违反条款：《北京市机动车停车管理办法》第二十条第一款、《无证无照经营查处办法》第二条；</w:t>
            </w:r>
          </w:p>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3000</w:t>
            </w:r>
          </w:p>
        </w:tc>
        <w:tc>
          <w:tcPr>
            <w:tcW w:w="840" w:type="dxa"/>
            <w:noWrap w:val="0"/>
            <w:vAlign w:val="center"/>
          </w:tcPr>
          <w:p>
            <w:pPr>
              <w:spacing w:line="190"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3426" w:type="dxa"/>
            <w:noWrap w:val="0"/>
            <w:vAlign w:val="center"/>
          </w:tcPr>
          <w:p>
            <w:pPr>
              <w:spacing w:line="190" w:lineRule="exact"/>
              <w:contextualSpacing/>
              <w:jc w:val="left"/>
              <w:rPr>
                <w:rFonts w:hint="eastAsia" w:ascii="宋体" w:hAnsi="宋体" w:eastAsia="宋体" w:cs="宋体"/>
                <w:bCs/>
                <w:color w:val="auto"/>
                <w:kern w:val="0"/>
                <w:sz w:val="15"/>
                <w:szCs w:val="15"/>
                <w:highlight w:val="none"/>
                <w:lang w:eastAsia="zh-CN"/>
              </w:rPr>
            </w:pP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190"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罚款数额＝3000×（1＋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noWrap w:val="0"/>
            <w:vAlign w:val="center"/>
          </w:tcPr>
          <w:p>
            <w:pPr>
              <w:spacing w:line="190" w:lineRule="exact"/>
              <w:contextualSpacing/>
              <w:rPr>
                <w:rFonts w:hint="eastAsia" w:ascii="宋体" w:hAnsi="宋体" w:eastAsia="宋体" w:cs="宋体"/>
                <w:bCs/>
                <w:color w:val="auto"/>
                <w:kern w:val="0"/>
                <w:sz w:val="15"/>
                <w:szCs w:val="15"/>
                <w:highlight w:val="none"/>
                <w:lang w:eastAsia="zh-CN"/>
              </w:rPr>
            </w:pPr>
            <w:r>
              <w:rPr>
                <w:rFonts w:hint="eastAsia" w:ascii="宋体" w:hAnsi="宋体" w:eastAsia="宋体" w:cs="宋体"/>
                <w:bCs/>
                <w:color w:val="auto"/>
                <w:kern w:val="0"/>
                <w:sz w:val="15"/>
                <w:szCs w:val="15"/>
                <w:highlight w:val="none"/>
                <w:lang w:eastAsia="zh-CN"/>
              </w:rPr>
              <w:t>需要</w:t>
            </w:r>
            <w:r>
              <w:rPr>
                <w:rFonts w:hint="eastAsia" w:ascii="宋体" w:hAnsi="宋体" w:eastAsia="宋体" w:cs="宋体"/>
                <w:bCs/>
                <w:color w:val="auto"/>
                <w:kern w:val="0"/>
                <w:sz w:val="15"/>
                <w:szCs w:val="15"/>
                <w:highlight w:val="none"/>
              </w:rPr>
              <w:t>在3000元以下进行处罚</w:t>
            </w:r>
            <w:r>
              <w:rPr>
                <w:rFonts w:hint="eastAsia" w:ascii="宋体" w:hAnsi="宋体" w:eastAsia="宋体" w:cs="宋体"/>
                <w:bCs/>
                <w:color w:val="auto"/>
                <w:kern w:val="0"/>
                <w:sz w:val="15"/>
                <w:szCs w:val="15"/>
                <w:highlight w:val="none"/>
                <w:lang w:eastAsia="zh-CN"/>
              </w:rPr>
              <w:t>，</w:t>
            </w:r>
            <w:r>
              <w:rPr>
                <w:rFonts w:hint="eastAsia" w:ascii="宋体" w:hAnsi="宋体" w:eastAsia="宋体" w:cs="宋体"/>
                <w:bCs/>
                <w:color w:val="auto"/>
                <w:kern w:val="0"/>
                <w:sz w:val="15"/>
                <w:szCs w:val="15"/>
                <w:highlight w:val="none"/>
              </w:rPr>
              <w:t>报案审会审议</w:t>
            </w:r>
            <w:r>
              <w:rPr>
                <w:rFonts w:hint="eastAsia" w:ascii="宋体" w:hAnsi="宋体" w:eastAsia="宋体" w:cs="宋体"/>
                <w:bCs/>
                <w:color w:val="auto"/>
                <w:kern w:val="0"/>
                <w:sz w:val="15"/>
                <w:szCs w:val="15"/>
                <w:highlight w:val="none"/>
                <w:lang w:eastAsia="zh-CN"/>
              </w:rPr>
              <w:t>决定。</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62"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未按规定对停车泊位备案</w:t>
            </w:r>
          </w:p>
        </w:tc>
        <w:tc>
          <w:tcPr>
            <w:tcW w:w="2789" w:type="dxa"/>
            <w:noWrap w:val="0"/>
            <w:vAlign w:val="center"/>
          </w:tcPr>
          <w:p>
            <w:pPr>
              <w:spacing w:line="190" w:lineRule="exact"/>
              <w:rPr>
                <w:rFonts w:hint="eastAsia" w:ascii="宋体" w:hAnsi="宋体" w:eastAsia="宋体" w:cs="宋体"/>
                <w:color w:val="auto"/>
                <w:sz w:val="15"/>
                <w:szCs w:val="15"/>
                <w:highlight w:val="none"/>
                <w:lang w:eastAsia="zh-CN"/>
              </w:rPr>
            </w:pPr>
            <w:r>
              <w:rPr>
                <w:rFonts w:hint="eastAsia" w:ascii="宋体" w:hAnsi="宋体" w:eastAsia="宋体"/>
                <w:color w:val="auto"/>
                <w:sz w:val="15"/>
                <w:szCs w:val="15"/>
                <w:highlight w:val="none"/>
              </w:rPr>
              <w:t>违反条款：第二十条第一款；处罚条款：第三十二条第二款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处1万元罚款</w:t>
            </w:r>
            <w:r>
              <w:rPr>
                <w:rFonts w:hint="eastAsia" w:ascii="宋体" w:hAnsi="宋体" w:eastAsia="宋体"/>
                <w:color w:val="auto"/>
                <w:sz w:val="15"/>
                <w:szCs w:val="15"/>
                <w:highlight w:val="none"/>
                <w:lang w:eastAsia="zh-CN"/>
              </w:rPr>
              <w:t>。</w:t>
            </w:r>
          </w:p>
        </w:tc>
        <w:tc>
          <w:tcPr>
            <w:tcW w:w="851" w:type="dxa"/>
            <w:noWrap w:val="0"/>
            <w:vAlign w:val="center"/>
          </w:tcPr>
          <w:p>
            <w:pPr>
              <w:spacing w:line="190" w:lineRule="exact"/>
              <w:rPr>
                <w:rFonts w:ascii="宋体" w:hAnsi="宋体" w:eastAsia="宋体" w:cs="宋体"/>
                <w:color w:val="auto"/>
                <w:kern w:val="0"/>
                <w:sz w:val="15"/>
                <w:szCs w:val="15"/>
                <w:highlight w:val="none"/>
              </w:rPr>
            </w:pP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00"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停车场管理单位未配置完备的停车设施标志标识（或未为停车人进出提供明确的引导或未为残疾人提供必要服务）</w:t>
            </w:r>
          </w:p>
        </w:tc>
        <w:tc>
          <w:tcPr>
            <w:tcW w:w="2789" w:type="dxa"/>
            <w:vMerge w:val="restart"/>
            <w:noWrap w:val="0"/>
            <w:vAlign w:val="center"/>
          </w:tcPr>
          <w:p>
            <w:pPr>
              <w:spacing w:line="190"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p>
        </w:tc>
        <w:tc>
          <w:tcPr>
            <w:tcW w:w="3426" w:type="dxa"/>
            <w:noWrap w:val="0"/>
            <w:vAlign w:val="center"/>
          </w:tcPr>
          <w:p>
            <w:pPr>
              <w:spacing w:line="190" w:lineRule="exact"/>
              <w:rPr>
                <w:rFonts w:ascii="宋体" w:hAnsi="宋体" w:eastAsia="宋体" w:cs="宋体"/>
                <w:color w:val="auto"/>
                <w:kern w:val="0"/>
                <w:sz w:val="15"/>
                <w:szCs w:val="15"/>
                <w:highlight w:val="none"/>
              </w:rPr>
            </w:pP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p>
        </w:tc>
        <w:tc>
          <w:tcPr>
            <w:tcW w:w="1982" w:type="dxa"/>
            <w:gridSpan w:val="2"/>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190" w:lineRule="exact"/>
              <w:rPr>
                <w:rFonts w:ascii="宋体" w:hAnsi="宋体" w:eastAsia="宋体"/>
                <w:color w:val="auto"/>
                <w:sz w:val="15"/>
                <w:szCs w:val="15"/>
                <w:highlight w:val="none"/>
              </w:rPr>
            </w:pPr>
          </w:p>
        </w:tc>
        <w:tc>
          <w:tcPr>
            <w:tcW w:w="2789" w:type="dxa"/>
            <w:vMerge w:val="continue"/>
            <w:noWrap w:val="0"/>
            <w:vAlign w:val="center"/>
          </w:tcPr>
          <w:p>
            <w:pPr>
              <w:spacing w:line="190" w:lineRule="exact"/>
              <w:rPr>
                <w:rFonts w:ascii="宋体" w:hAnsi="宋体" w:eastAsia="宋体"/>
                <w:color w:val="auto"/>
                <w:sz w:val="15"/>
                <w:szCs w:val="15"/>
                <w:highlight w:val="none"/>
              </w:rPr>
            </w:pPr>
          </w:p>
        </w:tc>
        <w:tc>
          <w:tcPr>
            <w:tcW w:w="851"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19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190" w:lineRule="exact"/>
              <w:rPr>
                <w:rFonts w:ascii="宋体" w:hAnsi="宋体" w:eastAsia="宋体" w:cs="宋体"/>
                <w:strike/>
                <w:dstrike w:val="0"/>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190"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43"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停车场管理单位未指挥车辆按序进出和停放，维护停车秩序</w:t>
            </w:r>
          </w:p>
        </w:tc>
        <w:tc>
          <w:tcPr>
            <w:tcW w:w="2789"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因未有效指挥和维护停车秩序，致使周边交通拥堵或者诱发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3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停车场管理单位未对停车管理员进行专业培训、考核</w:t>
            </w:r>
          </w:p>
        </w:tc>
        <w:tc>
          <w:tcPr>
            <w:tcW w:w="2789" w:type="dxa"/>
            <w:vMerge w:val="restart"/>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9"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s="宋体"/>
                <w:color w:val="auto"/>
                <w:sz w:val="15"/>
                <w:szCs w:val="15"/>
                <w:highlight w:val="none"/>
              </w:rPr>
            </w:pPr>
          </w:p>
        </w:tc>
        <w:tc>
          <w:tcPr>
            <w:tcW w:w="2789" w:type="dxa"/>
            <w:vMerge w:val="continue"/>
            <w:noWrap w:val="0"/>
            <w:vAlign w:val="center"/>
          </w:tcPr>
          <w:p>
            <w:pPr>
              <w:spacing w:line="212" w:lineRule="exact"/>
              <w:rPr>
                <w:rFonts w:ascii="宋体" w:hAnsi="宋体" w:eastAsia="宋体" w:cs="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经核实，管理单位长达半年以上未对管理员进行培训考核，或者存在3名以上管理员同时未参与培训、考核的情形，系数1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w:t>
            </w:r>
            <w:r>
              <w:rPr>
                <w:rFonts w:hint="eastAsia" w:ascii="宋体" w:hAnsi="宋体" w:eastAsia="宋体" w:cs="宋体"/>
                <w:color w:val="auto"/>
                <w:kern w:val="0"/>
                <w:sz w:val="15"/>
                <w:szCs w:val="15"/>
                <w:highlight w:val="none"/>
                <w:lang w:eastAsia="zh-CN"/>
              </w:rPr>
              <w:t>《基准表》中情节</w:t>
            </w:r>
            <w:r>
              <w:rPr>
                <w:rFonts w:hint="eastAsia" w:ascii="宋体" w:hAnsi="宋体" w:eastAsia="宋体" w:cs="宋体"/>
                <w:color w:val="auto"/>
                <w:kern w:val="0"/>
                <w:sz w:val="15"/>
                <w:szCs w:val="15"/>
                <w:highlight w:val="none"/>
              </w:rPr>
              <w:t>系数规定的情形之一，或者一年内2次以上同类违法行为受到告诫或处罚的，视为情节严重。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95"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停车场管理单位在停车区域从事影响车辆安全停放的</w:t>
            </w:r>
            <w:r>
              <w:rPr>
                <w:rFonts w:hint="eastAsia" w:ascii="宋体" w:hAnsi="宋体" w:eastAsia="宋体"/>
                <w:color w:val="auto"/>
                <w:sz w:val="15"/>
                <w:szCs w:val="15"/>
                <w:highlight w:val="none"/>
                <w:shd w:val="clear" w:color="auto" w:fill="auto"/>
              </w:rPr>
              <w:t>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经</w:t>
            </w:r>
            <w:r>
              <w:rPr>
                <w:rFonts w:hint="eastAsia" w:ascii="宋体" w:hAnsi="宋体" w:eastAsia="宋体"/>
                <w:color w:val="auto"/>
                <w:sz w:val="15"/>
                <w:szCs w:val="15"/>
                <w:highlight w:val="none"/>
              </w:rPr>
              <w:t>营活动</w:t>
            </w:r>
          </w:p>
        </w:tc>
        <w:tc>
          <w:tcPr>
            <w:tcW w:w="2789" w:type="dxa"/>
            <w:vMerge w:val="restart"/>
            <w:noWrap w:val="0"/>
            <w:vAlign w:val="center"/>
          </w:tcPr>
          <w:p>
            <w:pPr>
              <w:spacing w:line="21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p>
        </w:tc>
        <w:tc>
          <w:tcPr>
            <w:tcW w:w="3426" w:type="dxa"/>
            <w:noWrap w:val="0"/>
            <w:vAlign w:val="center"/>
          </w:tcPr>
          <w:p>
            <w:pPr>
              <w:spacing w:line="21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12" w:lineRule="exact"/>
              <w:rPr>
                <w:rFonts w:ascii="宋体" w:hAnsi="宋体" w:eastAsia="宋体"/>
                <w:color w:val="auto"/>
                <w:sz w:val="15"/>
                <w:szCs w:val="15"/>
                <w:highlight w:val="none"/>
              </w:rPr>
            </w:pPr>
          </w:p>
        </w:tc>
        <w:tc>
          <w:tcPr>
            <w:tcW w:w="2789" w:type="dxa"/>
            <w:vMerge w:val="continue"/>
            <w:noWrap w:val="0"/>
            <w:vAlign w:val="center"/>
          </w:tcPr>
          <w:p>
            <w:pPr>
              <w:spacing w:line="212" w:lineRule="exact"/>
              <w:rPr>
                <w:rFonts w:ascii="宋体" w:hAnsi="宋体" w:eastAsia="宋体"/>
                <w:color w:val="auto"/>
                <w:sz w:val="15"/>
                <w:szCs w:val="15"/>
                <w:highlight w:val="none"/>
              </w:rPr>
            </w:pPr>
          </w:p>
        </w:tc>
        <w:tc>
          <w:tcPr>
            <w:tcW w:w="851"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1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1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一年内群众投诉3次以上，或者致使周边交通拥堵的，或者因上述原因诱发停车事故或者交通事故的，系数1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致使周边交通拥堵或者诱发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停车事故、交通事故的，或者一年内2次以上同类违法行为受到告诫或处罚的，视为情节严重。</w:t>
            </w:r>
          </w:p>
          <w:p>
            <w:pPr>
              <w:spacing w:line="21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停车场管理单位未建立投诉处理制度</w:t>
            </w:r>
          </w:p>
        </w:tc>
        <w:tc>
          <w:tcPr>
            <w:tcW w:w="2789"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3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vMerge w:val="continue"/>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停车场管理单位未遵守国家和</w:t>
            </w:r>
            <w:r>
              <w:rPr>
                <w:rFonts w:hint="eastAsia" w:ascii="宋体" w:hAnsi="宋体" w:eastAsia="宋体"/>
                <w:color w:val="auto"/>
                <w:sz w:val="15"/>
                <w:szCs w:val="15"/>
                <w:highlight w:val="none"/>
                <w:shd w:val="clear" w:color="auto" w:fill="auto"/>
              </w:rPr>
              <w:t>本市其</w:t>
            </w:r>
            <w:r>
              <w:rPr>
                <w:rFonts w:hint="eastAsia" w:ascii="宋体" w:hAnsi="宋体" w:eastAsia="宋体"/>
                <w:color w:val="auto"/>
                <w:sz w:val="15"/>
                <w:szCs w:val="15"/>
                <w:highlight w:val="none"/>
                <w:shd w:val="clear" w:color="auto" w:fill="auto"/>
                <w:lang w:eastAsia="zh-CN"/>
              </w:rPr>
              <w:t>他</w:t>
            </w:r>
            <w:r>
              <w:rPr>
                <w:rFonts w:hint="eastAsia" w:ascii="宋体" w:hAnsi="宋体" w:eastAsia="宋体"/>
                <w:color w:val="auto"/>
                <w:sz w:val="15"/>
                <w:szCs w:val="15"/>
                <w:highlight w:val="none"/>
                <w:shd w:val="clear" w:color="auto" w:fill="auto"/>
              </w:rPr>
              <w:t>相关停车管理服务规范和标准</w:t>
            </w:r>
          </w:p>
        </w:tc>
        <w:tc>
          <w:tcPr>
            <w:tcW w:w="2789" w:type="dxa"/>
            <w:vMerge w:val="restart"/>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按照规定额度处罚</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4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群众3次以上投诉，或者诱发</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停车事故、交通事故、治安事件的，或者一年内2次以上同类违法行为受到告诫或处罚的，视为情节严重。</w:t>
            </w:r>
          </w:p>
          <w:p>
            <w:pPr>
              <w:spacing w:line="232" w:lineRule="exact"/>
              <w:rPr>
                <w:rFonts w:ascii="宋体" w:hAnsi="宋体" w:eastAsia="宋体" w:cs="宋体"/>
                <w:color w:val="auto"/>
                <w:kern w:val="0"/>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w:t>
            </w:r>
            <w:r>
              <w:rPr>
                <w:rFonts w:hint="eastAsia" w:ascii="宋体" w:hAnsi="宋体" w:eastAsia="宋体"/>
                <w:strike w:val="0"/>
                <w:dstrike w:val="0"/>
                <w:color w:val="auto"/>
                <w:sz w:val="15"/>
                <w:szCs w:val="15"/>
                <w:highlight w:val="none"/>
              </w:rPr>
              <w:t>本项</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strike w:val="0"/>
                <w:dstrike w:val="0"/>
                <w:color w:val="auto"/>
                <w:sz w:val="15"/>
                <w:szCs w:val="15"/>
                <w:highlight w:val="none"/>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违反条款：第二十一条第二款；处罚条款：第三十四条，责令限期改正，并处5000元以上1万元以下罚款。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一年内群众投诉3次以上的，系数1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适用于中心城范围内向社会开放并收费的停车场；按规定实行限时的临时停车场除外。 </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9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擅自设置地桩、地锁等障碍物</w:t>
            </w:r>
          </w:p>
        </w:tc>
        <w:tc>
          <w:tcPr>
            <w:tcW w:w="2789" w:type="dxa"/>
            <w:noWrap w:val="0"/>
            <w:vAlign w:val="center"/>
          </w:tcPr>
          <w:p>
            <w:pPr>
              <w:spacing w:line="232" w:lineRule="exact"/>
              <w:rPr>
                <w:rFonts w:ascii="宋体" w:hAnsi="宋体" w:eastAsia="宋体" w:cs="宋体"/>
                <w:color w:val="auto"/>
                <w:sz w:val="15"/>
                <w:szCs w:val="15"/>
                <w:highlight w:val="none"/>
              </w:rPr>
            </w:pPr>
            <w:r>
              <w:rPr>
                <w:rFonts w:hint="eastAsia" w:ascii="宋体" w:hAnsi="宋体" w:eastAsia="宋体"/>
                <w:color w:val="auto"/>
                <w:sz w:val="15"/>
                <w:szCs w:val="15"/>
                <w:highlight w:val="none"/>
              </w:rPr>
              <w:t>违反条款：第二十七条第一款；处罚条款：第三十七条</w:t>
            </w:r>
            <w:r>
              <w:rPr>
                <w:rFonts w:hint="eastAsia" w:ascii="宋体" w:hAnsi="宋体" w:eastAsia="宋体"/>
                <w:color w:val="auto"/>
                <w:sz w:val="15"/>
                <w:szCs w:val="15"/>
                <w:highlight w:val="none"/>
                <w:lang w:eastAsia="zh-CN"/>
              </w:rPr>
              <w:t>第一款</w:t>
            </w:r>
            <w:r>
              <w:rPr>
                <w:rFonts w:hint="eastAsia" w:ascii="宋体" w:hAnsi="宋体" w:eastAsia="宋体"/>
                <w:color w:val="auto"/>
                <w:sz w:val="15"/>
                <w:szCs w:val="15"/>
                <w:highlight w:val="none"/>
              </w:rPr>
              <w:t>，责令停止违法行为，恢复原状，并处500元以上5000元以下罚款。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一年内群众投诉3次以上的，系数1；2.设置地桩、地锁等障碍物数量2个，系数1；3个，系数2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4个，系数3；5个，系数4；6个，系数5；</w:t>
            </w:r>
            <w:r>
              <w:rPr>
                <w:rFonts w:hint="eastAsia" w:ascii="宋体" w:hAnsi="宋体" w:eastAsia="宋体" w:cs="宋体"/>
                <w:color w:val="auto"/>
                <w:kern w:val="0"/>
                <w:sz w:val="15"/>
                <w:szCs w:val="15"/>
                <w:highlight w:val="none"/>
              </w:rPr>
              <w:t>以此</w:t>
            </w:r>
            <w:r>
              <w:rPr>
                <w:rFonts w:hint="eastAsia" w:ascii="宋体" w:hAnsi="宋体" w:eastAsia="宋体" w:cs="宋体"/>
                <w:color w:val="auto"/>
                <w:kern w:val="0"/>
                <w:sz w:val="15"/>
                <w:szCs w:val="15"/>
                <w:highlight w:val="none"/>
                <w:lang w:eastAsia="zh-CN"/>
              </w:rPr>
              <w:t>类推，</w:t>
            </w:r>
            <w:r>
              <w:rPr>
                <w:rFonts w:hint="eastAsia" w:ascii="宋体" w:hAnsi="宋体" w:eastAsia="宋体" w:cs="宋体"/>
                <w:color w:val="auto"/>
                <w:kern w:val="0"/>
                <w:sz w:val="15"/>
                <w:szCs w:val="15"/>
                <w:highlight w:val="none"/>
                <w:lang w:val="en-US" w:eastAsia="zh-CN"/>
              </w:rPr>
              <w:t>10个及以上的，系数9</w:t>
            </w:r>
            <w:r>
              <w:rPr>
                <w:rFonts w:hint="eastAsia" w:ascii="宋体" w:hAnsi="宋体" w:eastAsia="宋体" w:cs="宋体"/>
                <w:color w:val="auto"/>
                <w:kern w:val="0"/>
                <w:sz w:val="15"/>
                <w:szCs w:val="15"/>
                <w:highlight w:val="none"/>
              </w:rPr>
              <w:t>；3.存在</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严重影响通行和市容秩序、致使公共安全等事件的，系数9</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5"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1" w:name="_Toc1557995543"/>
            <w:bookmarkStart w:id="132" w:name="_Toc110851478"/>
            <w:bookmarkStart w:id="133" w:name="_Toc744429173"/>
            <w:r>
              <w:rPr>
                <w:rFonts w:hint="eastAsia" w:ascii="宋体" w:hAnsi="宋体" w:eastAsia="宋体"/>
                <w:color w:val="auto"/>
                <w:sz w:val="21"/>
                <w:szCs w:val="21"/>
                <w:highlight w:val="none"/>
              </w:rPr>
              <w:t>《北京市</w:t>
            </w:r>
            <w:r>
              <w:rPr>
                <w:rFonts w:ascii="宋体" w:hAnsi="宋体" w:eastAsia="宋体"/>
                <w:color w:val="auto"/>
                <w:sz w:val="21"/>
                <w:szCs w:val="21"/>
                <w:highlight w:val="none"/>
              </w:rPr>
              <w:t>机动车停车条例</w:t>
            </w:r>
            <w:r>
              <w:rPr>
                <w:rFonts w:hint="eastAsia" w:ascii="宋体" w:hAnsi="宋体" w:eastAsia="宋体"/>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4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未如实报送停车设施设置情况</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违反条款：第二十一条第一款。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处罚条款：第二十一条第三款，责令限期改正；逾期未改正的，处1万元罚款。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4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未按照规定时限（或未如实）报送停车设施设置情况</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处罚条款：第二十二条第二款，责令限期改正；逾期未改正的，处2000元罚款。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先行责令限期改正，当事人在规定期限内改正的，不予处罚；逾期未改正的，处2000元罚款。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7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公共停车设施未按照标准配建停车诱导设施（进出车辆信息采集及号牌系统、与所在区域停车诱导系统实时对接）</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违反条款：第二十四条第二款。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处罚条款：第二十四条第三款，责令限期改正；逾期未改正的，处1万元罚款。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先行责令限期改正，当事人在规定期限内改正的，不予处罚；逾期未改正的，处1万元罚款。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擅自设置固定或者可移动障碍物</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处罚条款：第二十六条第二款，责令停止违法行为，恢复原状，并处500元以上1000元以下罚款。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1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该条规定的障碍物包括地桩、地锁等固定式障碍物和废旧桌椅、自行车等可移动障碍物，和《办法》规定的“地桩、地锁等障碍物”有所区别。</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1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停车场未按规定24小时开放</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处罚条款：第三十二条第二款，责令限期改正，并处5000元以上1万元以下罚款。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存在基准2.1.3规定情形的，系数按照相关规定确定</w:t>
            </w:r>
            <w:r>
              <w:rPr>
                <w:rFonts w:hint="eastAsia" w:ascii="宋体" w:hAnsi="宋体" w:eastAsia="宋体" w:cs="宋体"/>
                <w:color w:val="auto"/>
                <w:kern w:val="0"/>
                <w:sz w:val="15"/>
                <w:szCs w:val="15"/>
                <w:highlight w:val="none"/>
                <w:lang w:eastAsia="zh-CN"/>
              </w:rPr>
              <w:t>（基准2.1.3.5不适用）。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罚款数额＝5000×（1＋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1.仅限于中心城区范围内经营性停车设施；2.《条例》未涉及的停车设施经营单位应遵守的</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规定，依据《办法》第二十一条规定执行。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违反规划将停车设施改作他用</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违反条款：第三十三条第一款。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处罚条款：第三十三条第四款，责令限期改正、恢复原状，并处每个泊位1万元罚款。</w:t>
            </w:r>
          </w:p>
        </w:tc>
        <w:tc>
          <w:tcPr>
            <w:tcW w:w="851" w:type="dxa"/>
            <w:noWrap w:val="0"/>
            <w:vAlign w:val="center"/>
          </w:tcPr>
          <w:p>
            <w:pPr>
              <w:spacing w:line="232" w:lineRule="exact"/>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按照规定执行，处每个泊位1万元罚款。</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6"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34" w:name="_Toc110851479"/>
            <w:bookmarkStart w:id="135" w:name="_Toc67594986"/>
            <w:bookmarkStart w:id="136" w:name="_Toc880763206"/>
            <w:r>
              <w:rPr>
                <w:rFonts w:hint="eastAsia" w:ascii="宋体" w:hAnsi="宋体" w:eastAsia="宋体"/>
                <w:color w:val="auto"/>
                <w:sz w:val="21"/>
                <w:szCs w:val="21"/>
                <w:highlight w:val="none"/>
              </w:rPr>
              <w:t>《北京市非机动车停车管理办法》《北京市</w:t>
            </w:r>
            <w:r>
              <w:rPr>
                <w:rFonts w:ascii="宋体" w:hAnsi="宋体" w:eastAsia="宋体"/>
                <w:color w:val="auto"/>
                <w:sz w:val="21"/>
                <w:szCs w:val="21"/>
                <w:highlight w:val="none"/>
              </w:rPr>
              <w:t>非机动车</w:t>
            </w:r>
            <w:r>
              <w:rPr>
                <w:rFonts w:hint="eastAsia" w:ascii="宋体" w:hAnsi="宋体" w:eastAsia="宋体"/>
                <w:color w:val="auto"/>
                <w:sz w:val="21"/>
                <w:szCs w:val="21"/>
                <w:highlight w:val="none"/>
              </w:rPr>
              <w:t>管理</w:t>
            </w:r>
            <w:r>
              <w:rPr>
                <w:rFonts w:ascii="宋体" w:hAnsi="宋体" w:eastAsia="宋体"/>
                <w:color w:val="auto"/>
                <w:sz w:val="21"/>
                <w:szCs w:val="21"/>
                <w:highlight w:val="none"/>
              </w:rPr>
              <w:t>条例</w:t>
            </w:r>
            <w:r>
              <w:rPr>
                <w:rFonts w:hint="eastAsia" w:ascii="宋体" w:hAnsi="宋体" w:eastAsia="宋体"/>
                <w:color w:val="auto"/>
                <w:sz w:val="21"/>
                <w:szCs w:val="21"/>
                <w:highlight w:val="none"/>
              </w:rPr>
              <w:t>》案由</w:t>
            </w:r>
            <w:r>
              <w:rPr>
                <w:rFonts w:hint="eastAsia" w:ascii="宋体" w:hAnsi="宋体" w:eastAsia="宋体"/>
                <w:color w:val="auto"/>
                <w:sz w:val="21"/>
                <w:szCs w:val="21"/>
                <w:highlight w:val="none"/>
                <w:lang w:val="en-US" w:eastAsia="zh-CN"/>
              </w:rPr>
              <w:t>6</w:t>
            </w:r>
            <w:r>
              <w:rPr>
                <w:rFonts w:hint="eastAsia" w:ascii="宋体" w:hAnsi="宋体" w:eastAsia="宋体"/>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17"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非机动车公共停车场未对公众开放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75" w:hRule="atLeast"/>
        </w:trPr>
        <w:tc>
          <w:tcPr>
            <w:tcW w:w="610" w:type="dxa"/>
            <w:tcBorders>
              <w:top w:val="single" w:color="000000" w:sz="4" w:space="0"/>
              <w:left w:val="single" w:color="000000" w:sz="4" w:space="0"/>
              <w:bottom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擅自侵占、停止使用非机动车公共停车场或者将其挪作他用</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违反条款：《北京市非机动车停车管理办法》第九条第一款；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ind w:firstLine="150" w:firstLineChars="100"/>
              <w:jc w:val="center"/>
              <w:rPr>
                <w:rFonts w:ascii="宋体" w:hAnsi="宋体" w:eastAsia="宋体"/>
                <w:color w:val="auto"/>
                <w:sz w:val="15"/>
                <w:szCs w:val="15"/>
                <w:highlight w:val="none"/>
              </w:rPr>
            </w:pPr>
          </w:p>
        </w:tc>
        <w:tc>
          <w:tcPr>
            <w:tcW w:w="897"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9" w:hRule="atLeast"/>
        </w:trPr>
        <w:tc>
          <w:tcPr>
            <w:tcW w:w="610" w:type="dxa"/>
            <w:vMerge w:val="restart"/>
            <w:tcBorders>
              <w:top w:val="single" w:color="000000" w:sz="4" w:space="0"/>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非机动车公共停车场未按规范设置</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适应于非经营性停车场。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restart"/>
            <w:tcBorders>
              <w:top w:val="single" w:color="000000" w:sz="4" w:space="0"/>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87" w:hRule="atLeast"/>
        </w:trPr>
        <w:tc>
          <w:tcPr>
            <w:tcW w:w="610" w:type="dxa"/>
            <w:vMerge w:val="continue"/>
            <w:tcBorders>
              <w:left w:val="single" w:color="000000"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91" w:hRule="atLeast"/>
        </w:trPr>
        <w:tc>
          <w:tcPr>
            <w:tcW w:w="610" w:type="dxa"/>
            <w:vMerge w:val="continue"/>
            <w:tcBorders>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s="Arial"/>
                <w:color w:val="auto"/>
                <w:kern w:val="0"/>
                <w:sz w:val="15"/>
                <w:szCs w:val="15"/>
                <w:highlight w:val="none"/>
              </w:rPr>
            </w:pP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违反条款：《北京市非机动车管理条例》第二十二条第二款；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ascii="宋体" w:hAnsi="宋体" w:eastAsia="宋体" w:cs="Arial"/>
                <w:color w:val="auto"/>
                <w:kern w:val="0"/>
                <w:sz w:val="15"/>
                <w:szCs w:val="15"/>
                <w:highlight w:val="none"/>
              </w:rPr>
              <w:t>2</w:t>
            </w:r>
            <w:r>
              <w:rPr>
                <w:rFonts w:hint="eastAsia" w:ascii="宋体" w:hAnsi="宋体" w:eastAsia="宋体" w:cs="Arial"/>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2</w:t>
            </w:r>
            <w:r>
              <w:rPr>
                <w:rFonts w:hint="eastAsia" w:ascii="宋体" w:hAnsi="宋体" w:eastAsia="宋体"/>
                <w:color w:val="auto"/>
                <w:sz w:val="15"/>
                <w:szCs w:val="15"/>
                <w:highlight w:val="none"/>
              </w:rPr>
              <w:t>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适用于经营性停车场。</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需要做出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vMerge w:val="continue"/>
            <w:tcBorders>
              <w:left w:val="single" w:color="000000" w:sz="4" w:space="0"/>
              <w:bottom w:val="single" w:color="auto" w:sz="4" w:space="0"/>
              <w:right w:val="single" w:color="000000" w:sz="4" w:space="0"/>
            </w:tcBorders>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5"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4</w:t>
            </w:r>
          </w:p>
        </w:tc>
        <w:tc>
          <w:tcPr>
            <w:tcW w:w="1830" w:type="dxa"/>
            <w:gridSpan w:val="3"/>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非机动车公共停车场未建立并落实各项管理和服务制度</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4"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1830" w:type="dxa"/>
            <w:gridSpan w:val="3"/>
            <w:vMerge w:val="continue"/>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1000</w:t>
            </w:r>
          </w:p>
        </w:tc>
        <w:tc>
          <w:tcPr>
            <w:tcW w:w="840" w:type="dxa"/>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232"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noWrap w:val="0"/>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ascii="宋体" w:hAnsi="宋体" w:eastAsia="宋体" w:cs="Arial"/>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c>
          <w:tcPr>
            <w:tcW w:w="897" w:type="dxa"/>
            <w:gridSpan w:val="2"/>
            <w:noWrap w:val="0"/>
            <w:vAlign w:val="center"/>
          </w:tcPr>
          <w:p>
            <w:pPr>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非机动车公共停车场的经营、管理单位拒绝接受指导和监督检查</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ind w:firstLine="75" w:firstLineChars="50"/>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jc w:val="center"/>
              <w:rPr>
                <w:rFonts w:ascii="宋体" w:hAnsi="宋体" w:eastAsia="宋体"/>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1" w:hRule="atLeast"/>
        </w:trPr>
        <w:tc>
          <w:tcPr>
            <w:tcW w:w="610" w:type="dxa"/>
            <w:vMerge w:val="restart"/>
            <w:noWrap w:val="0"/>
            <w:vAlign w:val="center"/>
          </w:tcPr>
          <w:p>
            <w:pPr>
              <w:spacing w:before="100" w:beforeAutospacing="1" w:after="100" w:afterAutospacing="1" w:line="232"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未保证非机动车公共停车场内的停车秩序（环境卫生、停车安全）</w:t>
            </w: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违反条款：《北京市非机动车停车管理办法》第十一条第一款第（五）项；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处罚条款：《北京市非机动车停车管理办法》第十五条 责令限期改正，处500元以上1000元以下罚款。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500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罚款数额＝500×（1+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适用于查处“未保证良好的环境卫生”行为。</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09" w:hRule="atLeast"/>
        </w:trPr>
        <w:tc>
          <w:tcPr>
            <w:tcW w:w="610" w:type="dxa"/>
            <w:vMerge w:val="continue"/>
            <w:noWrap w:val="0"/>
            <w:vAlign w:val="center"/>
          </w:tcPr>
          <w:p>
            <w:pPr>
              <w:spacing w:before="100" w:beforeAutospacing="1" w:after="100" w:afterAutospacing="1" w:line="232" w:lineRule="exact"/>
              <w:jc w:val="center"/>
              <w:rPr>
                <w:rFonts w:ascii="宋体" w:hAnsi="宋体" w:eastAsia="宋体" w:cs="Arial"/>
                <w:b/>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noWrap w:val="0"/>
            <w:vAlign w:val="center"/>
          </w:tcPr>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违反条款：《北京市非机动车管理条例》第二十三条第（二）项。</w:t>
            </w:r>
          </w:p>
          <w:p>
            <w:pPr>
              <w:spacing w:line="19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处罚条款：《北京市非机动车管理条例》第三十二条第一款 责令改正，处1000元以上5000元以下罚款。</w:t>
            </w:r>
          </w:p>
        </w:tc>
        <w:tc>
          <w:tcPr>
            <w:tcW w:w="851"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r>
              <w:rPr>
                <w:rFonts w:ascii="宋体" w:hAnsi="宋体" w:eastAsia="宋体" w:cs="Arial"/>
                <w:color w:val="auto"/>
                <w:kern w:val="0"/>
                <w:sz w:val="15"/>
                <w:szCs w:val="15"/>
                <w:highlight w:val="none"/>
              </w:rPr>
              <w:t>000</w:t>
            </w:r>
          </w:p>
        </w:tc>
        <w:tc>
          <w:tcPr>
            <w:tcW w:w="840" w:type="dxa"/>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s="Arial"/>
                <w:color w:val="auto"/>
                <w:kern w:val="0"/>
                <w:sz w:val="15"/>
                <w:szCs w:val="15"/>
                <w:highlight w:val="none"/>
              </w:rPr>
              <w:t>1</w:t>
            </w:r>
          </w:p>
        </w:tc>
        <w:tc>
          <w:tcPr>
            <w:tcW w:w="3426" w:type="dxa"/>
            <w:noWrap w:val="0"/>
            <w:vAlign w:val="center"/>
          </w:tcPr>
          <w:p>
            <w:pPr>
              <w:spacing w:line="190" w:lineRule="exact"/>
              <w:rPr>
                <w:rFonts w:hint="eastAsia" w:ascii="宋体" w:hAnsi="宋体" w:eastAsia="宋体" w:cs="Arial"/>
                <w:color w:val="auto"/>
                <w:kern w:val="0"/>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before="100" w:beforeAutospacing="1" w:after="100" w:afterAutospacing="1" w:line="190" w:lineRule="exact"/>
              <w:jc w:val="center"/>
              <w:rPr>
                <w:rFonts w:ascii="宋体" w:hAnsi="宋体" w:eastAsia="宋体" w:cs="Arial"/>
                <w:color w:val="auto"/>
                <w:kern w:val="0"/>
                <w:sz w:val="15"/>
                <w:szCs w:val="15"/>
                <w:highlight w:val="none"/>
              </w:rPr>
            </w:pPr>
            <w:r>
              <w:rPr>
                <w:rFonts w:hint="eastAsia" w:ascii="宋体" w:hAnsi="宋体" w:eastAsia="宋体"/>
                <w:color w:val="auto"/>
                <w:sz w:val="15"/>
                <w:szCs w:val="15"/>
                <w:highlight w:val="none"/>
              </w:rPr>
              <w:t>罚款数额＝1000×（1+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19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适用于查处“未保障停车场内的停车秩序和停车安全”行为。</w:t>
            </w:r>
          </w:p>
          <w:p>
            <w:pPr>
              <w:spacing w:line="190" w:lineRule="exact"/>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c>
          <w:tcPr>
            <w:tcW w:w="897" w:type="dxa"/>
            <w:gridSpan w:val="2"/>
            <w:noWrap w:val="0"/>
            <w:vAlign w:val="center"/>
          </w:tcPr>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s="Arial"/>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Arial"/>
                <w:color w:val="auto"/>
                <w:kern w:val="0"/>
                <w:sz w:val="15"/>
                <w:szCs w:val="15"/>
                <w:highlight w:val="none"/>
              </w:rPr>
            </w:pP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p>
        </w:tc>
        <w:tc>
          <w:tcPr>
            <w:tcW w:w="1982" w:type="dxa"/>
            <w:gridSpan w:val="2"/>
            <w:noWrap w:val="0"/>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市级、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区级、</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ascii="宋体" w:hAnsi="宋体" w:eastAsia="宋体" w:cs="Arial"/>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宋体" w:hAnsi="宋体" w:eastAsia="宋体"/>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55" w:hRule="atLeast"/>
        </w:trPr>
        <w:tc>
          <w:tcPr>
            <w:tcW w:w="610" w:type="dxa"/>
            <w:noWrap w:val="0"/>
            <w:vAlign w:val="center"/>
          </w:tcPr>
          <w:p>
            <w:pPr>
              <w:keepNext w:val="0"/>
              <w:keepLines w:val="0"/>
              <w:pageBreakBefore w:val="0"/>
              <w:kinsoku/>
              <w:overflowPunct/>
              <w:topLinePunct w:val="0"/>
              <w:autoSpaceDE/>
              <w:autoSpaceDN/>
              <w:bidi w:val="0"/>
              <w:adjustRightInd/>
              <w:snapToGrid/>
              <w:spacing w:line="240" w:lineRule="auto"/>
              <w:jc w:val="center"/>
              <w:rPr>
                <w:rFonts w:hint="default" w:ascii="宋体" w:hAnsi="宋体" w:eastAsia="宋体" w:cs="Arial"/>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Arial"/>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rPr>
            </w:pPr>
          </w:p>
        </w:tc>
        <w:tc>
          <w:tcPr>
            <w:tcW w:w="1875"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c>
          <w:tcPr>
            <w:tcW w:w="897" w:type="dxa"/>
            <w:gridSpan w:val="2"/>
            <w:noWrap w:val="0"/>
            <w:vAlign w:val="center"/>
          </w:tcPr>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strike w:val="0"/>
                <w:dstrike w:val="0"/>
                <w:color w:val="auto"/>
                <w:sz w:val="15"/>
                <w:szCs w:val="15"/>
                <w:highlight w:val="none"/>
                <w:u w:val="none"/>
                <w:lang w:eastAsia="zh-CN"/>
              </w:rPr>
            </w:pPr>
            <w:r>
              <w:rPr>
                <w:rFonts w:hint="eastAsia" w:ascii="宋体" w:hAnsi="宋体" w:eastAsia="宋体"/>
                <w:strike w:val="0"/>
                <w:dstrike w:val="0"/>
                <w:color w:val="auto"/>
                <w:sz w:val="15"/>
                <w:szCs w:val="15"/>
                <w:highlight w:val="none"/>
                <w:u w:val="none"/>
                <w:lang w:eastAsia="zh-CN"/>
              </w:rPr>
              <w:t>街道</w:t>
            </w:r>
          </w:p>
          <w:p>
            <w:pPr>
              <w:keepNext w:val="0"/>
              <w:keepLines w:val="0"/>
              <w:pageBreakBefore w:val="0"/>
              <w:kinsoku/>
              <w:overflowPunct/>
              <w:topLinePunct w:val="0"/>
              <w:autoSpaceDE/>
              <w:autoSpaceDN/>
              <w:bidi w:val="0"/>
              <w:adjustRightInd/>
              <w:snapToGrid/>
              <w:spacing w:line="240" w:lineRule="auto"/>
              <w:jc w:val="center"/>
              <w:rPr>
                <w:rFonts w:hint="eastAsia" w:ascii="宋体" w:hAnsi="宋体" w:eastAsia="宋体"/>
                <w:color w:val="auto"/>
                <w:sz w:val="15"/>
                <w:szCs w:val="15"/>
                <w:highlight w:val="none"/>
              </w:rPr>
            </w:pPr>
            <w:r>
              <w:rPr>
                <w:rFonts w:hint="eastAsia" w:ascii="宋体" w:hAnsi="宋体" w:eastAsia="宋体"/>
                <w:strike w:val="0"/>
                <w:dstrike w:val="0"/>
                <w:color w:val="auto"/>
                <w:sz w:val="15"/>
                <w:szCs w:val="15"/>
                <w:highlight w:val="none"/>
                <w:u w:val="none"/>
                <w:lang w:eastAsia="zh-CN"/>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73"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139" w:name="_Toc272872790"/>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7"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strike w:val="0"/>
                <w:color w:val="auto"/>
                <w:sz w:val="15"/>
                <w:szCs w:val="15"/>
                <w:highlight w:val="none"/>
              </w:rPr>
            </w:pPr>
            <w:bookmarkStart w:id="140" w:name="_Toc110851481"/>
            <w:bookmarkStart w:id="141" w:name="_Toc1003354917"/>
            <w:bookmarkStart w:id="142" w:name="_Toc1833599949"/>
            <w:r>
              <w:rPr>
                <w:rFonts w:hint="eastAsia" w:ascii="宋体" w:hAnsi="宋体" w:eastAsia="宋体"/>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43" w:hRule="atLeast"/>
        </w:trPr>
        <w:tc>
          <w:tcPr>
            <w:tcW w:w="610" w:type="dxa"/>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noWrap w:val="0"/>
            <w:vAlign w:val="center"/>
          </w:tcPr>
          <w:p>
            <w:pPr>
              <w:spacing w:line="204"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无证经营出租汽车</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5000</w:t>
            </w:r>
          </w:p>
        </w:tc>
        <w:tc>
          <w:tcPr>
            <w:tcW w:w="840"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宋体" w:hAnsi="宋体" w:eastAsia="宋体"/>
                <w:strike w:val="0"/>
                <w:dstrike w:val="0"/>
                <w:color w:val="auto"/>
                <w:sz w:val="15"/>
                <w:szCs w:val="15"/>
                <w:highlight w:val="none"/>
              </w:rPr>
            </w:pPr>
            <w:r>
              <w:rPr>
                <w:rFonts w:hint="eastAsia" w:ascii="宋体" w:hAnsi="宋体" w:eastAsia="宋体" w:cs="宋体"/>
                <w:strike w:val="0"/>
                <w:dstrike w:val="0"/>
                <w:color w:val="auto"/>
                <w:sz w:val="15"/>
                <w:szCs w:val="15"/>
                <w:highlight w:val="none"/>
              </w:rPr>
              <w:t>罚款数额＝5000×</w:t>
            </w:r>
            <w:r>
              <w:rPr>
                <w:rFonts w:hint="eastAsia" w:ascii="宋体" w:hAnsi="宋体" w:eastAsia="宋体" w:cs="宋体"/>
                <w:bCs/>
                <w:strike w:val="0"/>
                <w:dstrike w:val="0"/>
                <w:color w:val="auto"/>
                <w:sz w:val="15"/>
                <w:szCs w:val="15"/>
                <w:highlight w:val="none"/>
              </w:rPr>
              <w:t>（1＋</w:t>
            </w:r>
            <w:r>
              <w:rPr>
                <w:rFonts w:hint="eastAsia" w:ascii="宋体" w:hAnsi="宋体" w:eastAsia="宋体" w:cs="宋体"/>
                <w:bCs/>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s="宋体"/>
                <w:strike w:val="0"/>
                <w:dstrike w:val="0"/>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noWrap w:val="0"/>
            <w:vAlign w:val="center"/>
          </w:tcPr>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街道</w:t>
            </w:r>
          </w:p>
          <w:p>
            <w:pPr>
              <w:spacing w:line="204"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23"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43" w:name="_Toc121789162"/>
            <w:bookmarkStart w:id="144" w:name="_Toc1464911332"/>
            <w:bookmarkStart w:id="145" w:name="_Toc110851482"/>
            <w:r>
              <w:rPr>
                <w:rFonts w:hint="eastAsia" w:ascii="宋体" w:hAnsi="宋体" w:eastAsia="宋体"/>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2"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未经许可擅自（或组织）从事巡游出租汽车客运经营</w:t>
            </w:r>
          </w:p>
        </w:tc>
        <w:tc>
          <w:tcPr>
            <w:tcW w:w="2789" w:type="dxa"/>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没有违法所得或者违法所得不足2万元的，基数为10000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10000×（1＋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restart"/>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p>
            <w:pPr>
              <w:spacing w:line="232" w:lineRule="exact"/>
              <w:rPr>
                <w:rFonts w:ascii="宋体" w:hAnsi="宋体" w:eastAsia="宋体"/>
                <w:color w:val="auto"/>
                <w:sz w:val="15"/>
                <w:szCs w:val="15"/>
                <w:highlight w:val="none"/>
              </w:rPr>
            </w:pPr>
            <w:r>
              <w:rPr>
                <w:rFonts w:hint="eastAsia" w:ascii="宋体" w:hAnsi="宋体" w:eastAsia="宋体"/>
                <w:strike w:val="0"/>
                <w:dstrike w:val="0"/>
                <w:color w:val="auto"/>
                <w:sz w:val="15"/>
                <w:szCs w:val="15"/>
                <w:highlight w:val="none"/>
              </w:rPr>
              <w:t>重点站区适用本案由，参照交通执法相关裁量基准。</w:t>
            </w: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22"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违法所得2万元以上的，基数为违法所得。</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造成秩序混乱或者较大社会影响的，系数2-4；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对组织行为，</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2-4</w:t>
            </w:r>
            <w:r>
              <w:rPr>
                <w:rFonts w:hint="eastAsia" w:ascii="宋体" w:hAnsi="宋体" w:eastAsia="宋体"/>
                <w:color w:val="auto"/>
                <w:sz w:val="15"/>
                <w:szCs w:val="15"/>
                <w:highlight w:val="none"/>
                <w:lang w:val="en-US" w:eastAsia="zh-CN"/>
              </w:rPr>
              <w:t>；3.</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hint="eastAsia" w:ascii="宋体" w:hAnsi="宋体" w:eastAsia="宋体" w:cs="宋体"/>
                <w:color w:val="auto"/>
                <w:kern w:val="0"/>
                <w:sz w:val="15"/>
                <w:szCs w:val="15"/>
                <w:highlight w:val="none"/>
              </w:rPr>
              <w:t>＝</w:t>
            </w:r>
            <w:r>
              <w:rPr>
                <w:rFonts w:hint="eastAsia" w:ascii="宋体" w:hAnsi="宋体" w:eastAsia="宋体" w:cs="宋体"/>
                <w:bCs/>
                <w:color w:val="auto"/>
                <w:kern w:val="0"/>
                <w:sz w:val="15"/>
                <w:szCs w:val="15"/>
                <w:highlight w:val="none"/>
              </w:rPr>
              <w:t>违法所得×2×（1＋</w:t>
            </w:r>
            <w:r>
              <w:rPr>
                <w:rFonts w:hint="eastAsia" w:ascii="宋体" w:hAnsi="宋体" w:eastAsia="宋体" w:cs="宋体"/>
                <w:bCs/>
                <w:color w:val="auto"/>
                <w:kern w:val="0"/>
                <w:sz w:val="15"/>
                <w:szCs w:val="15"/>
                <w:highlight w:val="none"/>
                <w:lang w:eastAsia="zh-CN"/>
              </w:rPr>
              <w:t>情节系数</w:t>
            </w:r>
            <w:r>
              <w:rPr>
                <w:rFonts w:hint="eastAsia" w:ascii="宋体" w:hAnsi="宋体" w:eastAsia="宋体" w:cs="宋体"/>
                <w:bCs/>
                <w:color w:val="auto"/>
                <w:kern w:val="0"/>
                <w:sz w:val="15"/>
                <w:szCs w:val="15"/>
                <w:highlight w:val="none"/>
              </w:rPr>
              <w:t>）</w:t>
            </w:r>
          </w:p>
        </w:tc>
        <w:tc>
          <w:tcPr>
            <w:tcW w:w="1982"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9" w:hRule="atLeast"/>
        </w:trPr>
        <w:tc>
          <w:tcPr>
            <w:tcW w:w="61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利用摩托车、三轮车、残疾人机动轮椅车等车辆从事客运经营</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违反条款：第八条第一款。 </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处罚条款：第八条第二款，没收车辆，没收违法所得，并可处500元以上2000元以下罚款。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500</w:t>
            </w:r>
          </w:p>
        </w:tc>
        <w:tc>
          <w:tcPr>
            <w:tcW w:w="840"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造成秩序混乱或者较大社会影响的，系数1-3</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罚款数额＝500×</w:t>
            </w:r>
            <w:r>
              <w:rPr>
                <w:rFonts w:hint="eastAsia" w:ascii="宋体" w:hAnsi="宋体" w:eastAsia="宋体" w:cs="宋体"/>
                <w:bCs/>
                <w:color w:val="auto"/>
                <w:sz w:val="15"/>
                <w:szCs w:val="15"/>
                <w:highlight w:val="none"/>
              </w:rPr>
              <w:t>（1</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eastAsia="zh-CN"/>
              </w:rPr>
              <w:t>情节系数</w:t>
            </w:r>
            <w:r>
              <w:rPr>
                <w:rFonts w:hint="eastAsia" w:ascii="宋体" w:hAnsi="宋体" w:eastAsia="宋体" w:cs="宋体"/>
                <w:bCs/>
                <w:color w:val="auto"/>
                <w:sz w:val="15"/>
                <w:szCs w:val="15"/>
                <w:highlight w:val="none"/>
              </w:rPr>
              <w:t>）</w:t>
            </w:r>
          </w:p>
        </w:tc>
        <w:tc>
          <w:tcPr>
            <w:tcW w:w="1982" w:type="dxa"/>
            <w:gridSpan w:val="2"/>
            <w:noWrap w:val="0"/>
            <w:vAlign w:val="center"/>
          </w:tcPr>
          <w:p>
            <w:pPr>
              <w:spacing w:line="232" w:lineRule="exact"/>
              <w:jc w:val="left"/>
              <w:rPr>
                <w:rFonts w:ascii="宋体" w:hAnsi="宋体" w:eastAsia="宋体"/>
                <w:color w:val="auto"/>
                <w:sz w:val="15"/>
                <w:szCs w:val="15"/>
                <w:highlight w:val="none"/>
              </w:rPr>
            </w:pPr>
          </w:p>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74"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143954148"/>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76"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49" w:name="_Toc704954681"/>
            <w:bookmarkStart w:id="150" w:name="_Toc1606894570"/>
            <w:bookmarkStart w:id="151" w:name="_Toc110851484"/>
            <w:r>
              <w:rPr>
                <w:rFonts w:hint="eastAsia" w:ascii="宋体" w:hAnsi="宋体" w:eastAsia="宋体"/>
                <w:color w:val="auto"/>
                <w:sz w:val="21"/>
                <w:szCs w:val="21"/>
                <w:highlight w:val="none"/>
              </w:rPr>
              <w:t>《无证</w:t>
            </w:r>
            <w:r>
              <w:rPr>
                <w:rFonts w:ascii="宋体" w:hAnsi="宋体" w:eastAsia="宋体"/>
                <w:color w:val="auto"/>
                <w:sz w:val="21"/>
                <w:szCs w:val="21"/>
                <w:highlight w:val="none"/>
              </w:rPr>
              <w:t>无照经营查处办法</w:t>
            </w:r>
            <w:r>
              <w:rPr>
                <w:rFonts w:hint="eastAsia" w:ascii="宋体" w:hAnsi="宋体" w:eastAsia="宋体"/>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45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无照经营</w:t>
            </w:r>
          </w:p>
        </w:tc>
        <w:tc>
          <w:tcPr>
            <w:tcW w:w="2789"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违反条款：第二条；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lang w:eastAsia="zh-CN"/>
              </w:rPr>
            </w:pP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罚款数额＝100×（1＋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1.适用于一般无照经营情形；2.占用无障碍设施或者机动车道；占用过街桥、地下过街通道；使用畜力车、农用运输车及</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机动车、电动车为经营工具；经营违禁品；占用非机动车道或者</w:t>
            </w:r>
            <w:r>
              <w:rPr>
                <w:rFonts w:hint="eastAsia" w:ascii="宋体" w:hAnsi="宋体" w:eastAsia="宋体" w:cs="宋体"/>
                <w:bCs/>
                <w:color w:val="auto"/>
                <w:kern w:val="0"/>
                <w:sz w:val="15"/>
                <w:szCs w:val="15"/>
                <w:highlight w:val="none"/>
                <w:lang w:eastAsia="zh-CN"/>
              </w:rPr>
              <w:t>其他</w:t>
            </w:r>
            <w:r>
              <w:rPr>
                <w:rFonts w:hint="eastAsia" w:ascii="宋体" w:hAnsi="宋体" w:eastAsia="宋体" w:cs="宋体"/>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72" w:hRule="atLeast"/>
        </w:trPr>
        <w:tc>
          <w:tcPr>
            <w:tcW w:w="610"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2</w:t>
            </w:r>
          </w:p>
        </w:tc>
        <w:tc>
          <w:tcPr>
            <w:tcW w:w="1830" w:type="dxa"/>
            <w:gridSpan w:val="3"/>
            <w:noWrap w:val="0"/>
            <w:vAlign w:val="center"/>
          </w:tcPr>
          <w:p>
            <w:pPr>
              <w:spacing w:line="232" w:lineRule="exact"/>
              <w:contextualSpacing/>
              <w:rPr>
                <w:rFonts w:ascii="宋体" w:hAnsi="宋体" w:eastAsia="宋体" w:cs="宋体"/>
                <w:bCs/>
                <w:color w:val="auto"/>
                <w:kern w:val="0"/>
                <w:sz w:val="15"/>
                <w:szCs w:val="15"/>
                <w:highlight w:val="none"/>
              </w:rPr>
            </w:pPr>
            <w:r>
              <w:rPr>
                <w:rFonts w:ascii="宋体" w:hAnsi="宋体" w:eastAsia="宋体" w:cs="宋体"/>
                <w:bCs/>
                <w:color w:val="auto"/>
                <w:kern w:val="0"/>
                <w:sz w:val="15"/>
                <w:szCs w:val="15"/>
                <w:highlight w:val="none"/>
              </w:rPr>
              <w:t>为无照经营者提供</w:t>
            </w:r>
            <w:r>
              <w:rPr>
                <w:rFonts w:hint="eastAsia" w:ascii="宋体" w:hAnsi="宋体" w:eastAsia="宋体" w:cs="宋体"/>
                <w:bCs/>
                <w:color w:val="auto"/>
                <w:kern w:val="0"/>
                <w:sz w:val="15"/>
                <w:szCs w:val="15"/>
                <w:highlight w:val="none"/>
              </w:rPr>
              <w:t>场所或者条件</w:t>
            </w:r>
          </w:p>
        </w:tc>
        <w:tc>
          <w:tcPr>
            <w:tcW w:w="2789" w:type="dxa"/>
            <w:noWrap w:val="0"/>
            <w:vAlign w:val="center"/>
          </w:tcPr>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违反条款：第十四条；</w:t>
            </w:r>
          </w:p>
          <w:p>
            <w:pPr>
              <w:spacing w:line="232" w:lineRule="exact"/>
              <w:contextualSpacing/>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处罚条款：第十四条，责令停止违法行为，没收违法所得，并处</w:t>
            </w:r>
            <w:r>
              <w:rPr>
                <w:rFonts w:ascii="宋体" w:hAnsi="宋体" w:eastAsia="宋体" w:cs="宋体"/>
                <w:bCs/>
                <w:color w:val="auto"/>
                <w:kern w:val="0"/>
                <w:sz w:val="15"/>
                <w:szCs w:val="15"/>
                <w:highlight w:val="none"/>
              </w:rPr>
              <w:t>5000</w:t>
            </w:r>
            <w:r>
              <w:rPr>
                <w:rFonts w:hint="eastAsia" w:ascii="宋体" w:hAnsi="宋体" w:eastAsia="宋体" w:cs="宋体"/>
                <w:bCs/>
                <w:color w:val="auto"/>
                <w:kern w:val="0"/>
                <w:sz w:val="15"/>
                <w:szCs w:val="15"/>
                <w:highlight w:val="none"/>
              </w:rPr>
              <w:t>元以下的罚款。</w:t>
            </w:r>
          </w:p>
        </w:tc>
        <w:tc>
          <w:tcPr>
            <w:tcW w:w="851" w:type="dxa"/>
            <w:noWrap w:val="0"/>
            <w:vAlign w:val="center"/>
          </w:tcPr>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s="宋体"/>
                <w:bCs/>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noWrap w:val="0"/>
            <w:vAlign w:val="center"/>
          </w:tcPr>
          <w:p>
            <w:pPr>
              <w:spacing w:line="232" w:lineRule="exact"/>
              <w:contextualSpacing/>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造成</w:t>
            </w:r>
            <w:r>
              <w:rPr>
                <w:rFonts w:hint="eastAsia" w:ascii="宋体" w:hAnsi="宋体" w:eastAsia="宋体"/>
                <w:color w:val="auto"/>
                <w:sz w:val="15"/>
                <w:szCs w:val="15"/>
                <w:highlight w:val="none"/>
                <w:lang w:eastAsia="zh-CN"/>
              </w:rPr>
              <w:t>严重</w:t>
            </w:r>
            <w:r>
              <w:rPr>
                <w:rFonts w:hint="eastAsia" w:ascii="宋体" w:hAnsi="宋体" w:eastAsia="宋体"/>
                <w:color w:val="auto"/>
                <w:sz w:val="15"/>
                <w:szCs w:val="15"/>
                <w:highlight w:val="none"/>
              </w:rPr>
              <w:t>影响的，系数</w:t>
            </w:r>
            <w:r>
              <w:rPr>
                <w:rFonts w:hint="eastAsia" w:ascii="宋体" w:hAnsi="宋体" w:eastAsia="宋体"/>
                <w:color w:val="auto"/>
                <w:sz w:val="15"/>
                <w:szCs w:val="15"/>
                <w:highlight w:val="none"/>
                <w:lang w:val="en-US" w:eastAsia="zh-CN"/>
              </w:rPr>
              <w:t>5-9</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color w:val="auto"/>
                <w:sz w:val="15"/>
                <w:szCs w:val="15"/>
                <w:highlight w:val="none"/>
              </w:rPr>
            </w:pPr>
            <w:r>
              <w:rPr>
                <w:rFonts w:hint="eastAsia" w:ascii="宋体" w:hAnsi="宋体" w:eastAsia="宋体"/>
                <w:color w:val="auto"/>
                <w:sz w:val="15"/>
                <w:szCs w:val="15"/>
                <w:highlight w:val="none"/>
              </w:rPr>
              <w:t>罚款数额＝</w:t>
            </w:r>
            <w:r>
              <w:rPr>
                <w:rFonts w:ascii="宋体" w:hAnsi="宋体" w:eastAsia="宋体"/>
                <w:color w:val="auto"/>
                <w:sz w:val="15"/>
                <w:szCs w:val="15"/>
                <w:highlight w:val="none"/>
              </w:rPr>
              <w:t>5</w:t>
            </w:r>
            <w:r>
              <w:rPr>
                <w:rFonts w:hint="eastAsia" w:ascii="宋体" w:hAnsi="宋体" w:eastAsia="宋体"/>
                <w:color w:val="auto"/>
                <w:sz w:val="15"/>
                <w:szCs w:val="15"/>
                <w:highlight w:val="none"/>
              </w:rPr>
              <w:t>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ascii="宋体" w:hAnsi="宋体" w:eastAsia="宋体" w:cs="宋体"/>
                <w:bCs/>
                <w:color w:val="auto"/>
                <w:kern w:val="0"/>
                <w:sz w:val="15"/>
                <w:szCs w:val="15"/>
                <w:highlight w:val="none"/>
              </w:rPr>
            </w:pPr>
          </w:p>
        </w:tc>
        <w:tc>
          <w:tcPr>
            <w:tcW w:w="897" w:type="dxa"/>
            <w:gridSpan w:val="2"/>
            <w:noWrap w:val="0"/>
            <w:vAlign w:val="center"/>
          </w:tcPr>
          <w:p>
            <w:pPr>
              <w:spacing w:line="232" w:lineRule="exact"/>
              <w:contextualSpacing/>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contextualSpacing/>
              <w:jc w:val="center"/>
              <w:rPr>
                <w:rFonts w:ascii="宋体" w:hAnsi="宋体" w:eastAsia="宋体" w:cs="宋体"/>
                <w:bCs/>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4" w:hRule="atLeast"/>
        </w:trPr>
        <w:tc>
          <w:tcPr>
            <w:tcW w:w="61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ascii="宋体" w:hAnsi="宋体" w:eastAsia="宋体" w:cs="宋体"/>
                <w:bCs/>
                <w:strike w:val="0"/>
                <w:dstrike w:val="0"/>
                <w:color w:val="auto"/>
                <w:kern w:val="0"/>
                <w:sz w:val="15"/>
                <w:szCs w:val="15"/>
                <w:highlight w:val="none"/>
              </w:rPr>
              <w:t>3</w:t>
            </w:r>
          </w:p>
        </w:tc>
        <w:tc>
          <w:tcPr>
            <w:tcW w:w="1830" w:type="dxa"/>
            <w:gridSpan w:val="3"/>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无照经营（人力三轮车等业务）</w:t>
            </w:r>
          </w:p>
        </w:tc>
        <w:tc>
          <w:tcPr>
            <w:tcW w:w="2789" w:type="dxa"/>
            <w:noWrap w:val="0"/>
            <w:vAlign w:val="center"/>
          </w:tcPr>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违反条款：第二条；</w:t>
            </w:r>
          </w:p>
          <w:p>
            <w:pPr>
              <w:spacing w:line="232" w:lineRule="exact"/>
              <w:contextualSpacing/>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处罚条款：第十三条，责令停止违法行为，没收违法所得，并处1万元以下的罚款。</w:t>
            </w:r>
          </w:p>
        </w:tc>
        <w:tc>
          <w:tcPr>
            <w:tcW w:w="851"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500</w:t>
            </w:r>
          </w:p>
        </w:tc>
        <w:tc>
          <w:tcPr>
            <w:tcW w:w="840" w:type="dxa"/>
            <w:noWrap w:val="0"/>
            <w:vAlign w:val="center"/>
          </w:tcPr>
          <w:p>
            <w:pPr>
              <w:spacing w:line="232" w:lineRule="exact"/>
              <w:contextualSpacing/>
              <w:jc w:val="center"/>
              <w:rPr>
                <w:rFonts w:ascii="宋体" w:hAnsi="宋体" w:eastAsia="宋体" w:cs="宋体"/>
                <w:bCs/>
                <w:strike w:val="0"/>
                <w:dstrike w:val="0"/>
                <w:color w:val="auto"/>
                <w:kern w:val="0"/>
                <w:sz w:val="15"/>
                <w:szCs w:val="15"/>
                <w:highlight w:val="none"/>
              </w:rPr>
            </w:pPr>
            <w:r>
              <w:rPr>
                <w:rFonts w:hint="eastAsia" w:ascii="宋体" w:hAnsi="宋体" w:eastAsia="宋体" w:cs="宋体"/>
                <w:bCs/>
                <w:strike w:val="0"/>
                <w:dstrike w:val="0"/>
                <w:color w:val="auto"/>
                <w:kern w:val="0"/>
                <w:sz w:val="15"/>
                <w:szCs w:val="15"/>
                <w:highlight w:val="none"/>
              </w:rPr>
              <w:t>1</w:t>
            </w:r>
          </w:p>
        </w:tc>
        <w:tc>
          <w:tcPr>
            <w:tcW w:w="3426" w:type="dxa"/>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lang w:val="en-US" w:eastAsia="zh-CN"/>
              </w:rPr>
              <w:t>1.</w:t>
            </w:r>
            <w:r>
              <w:rPr>
                <w:rFonts w:hint="eastAsia" w:ascii="宋体" w:hAnsi="宋体" w:eastAsia="宋体"/>
                <w:strike w:val="0"/>
                <w:dstrike w:val="0"/>
                <w:color w:val="auto"/>
                <w:sz w:val="15"/>
                <w:szCs w:val="15"/>
                <w:highlight w:val="none"/>
              </w:rPr>
              <w:t>造成秩序混乱或者较大社会影响的，系数1-3</w:t>
            </w:r>
            <w:r>
              <w:rPr>
                <w:rFonts w:hint="eastAsia" w:ascii="宋体" w:hAnsi="宋体" w:eastAsia="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lang w:val="en-US" w:eastAsia="zh-CN"/>
              </w:rPr>
              <w:t>2.</w:t>
            </w:r>
            <w:r>
              <w:rPr>
                <w:rFonts w:hint="eastAsia" w:ascii="宋体" w:hAnsi="宋体" w:eastAsia="宋体"/>
                <w:strike w:val="0"/>
                <w:dstrike w:val="0"/>
                <w:color w:val="auto"/>
                <w:sz w:val="15"/>
                <w:szCs w:val="15"/>
                <w:highlight w:val="none"/>
              </w:rPr>
              <w:t>存在基准2.1.3规定情形的，系数按照相关规定确定。</w:t>
            </w:r>
          </w:p>
        </w:tc>
        <w:tc>
          <w:tcPr>
            <w:tcW w:w="1875" w:type="dxa"/>
            <w:gridSpan w:val="2"/>
            <w:noWrap w:val="0"/>
            <w:vAlign w:val="center"/>
          </w:tcPr>
          <w:p>
            <w:pPr>
              <w:spacing w:line="232" w:lineRule="exact"/>
              <w:contextualSpacing/>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罚款数额＝500×</w:t>
            </w:r>
            <w:r>
              <w:rPr>
                <w:rFonts w:hint="eastAsia" w:ascii="宋体" w:hAnsi="宋体" w:eastAsia="宋体" w:cs="宋体"/>
                <w:bCs/>
                <w:strike w:val="0"/>
                <w:dstrike w:val="0"/>
                <w:color w:val="auto"/>
                <w:sz w:val="15"/>
                <w:szCs w:val="15"/>
                <w:highlight w:val="none"/>
              </w:rPr>
              <w:t>（1</w:t>
            </w:r>
            <w:r>
              <w:rPr>
                <w:rFonts w:hint="eastAsia" w:ascii="宋体" w:hAnsi="宋体" w:eastAsia="宋体"/>
                <w:strike w:val="0"/>
                <w:dstrike w:val="0"/>
                <w:color w:val="auto"/>
                <w:sz w:val="15"/>
                <w:szCs w:val="15"/>
                <w:highlight w:val="none"/>
              </w:rPr>
              <w:t>＋</w:t>
            </w:r>
            <w:r>
              <w:rPr>
                <w:rFonts w:hint="eastAsia" w:ascii="宋体" w:hAnsi="宋体" w:eastAsia="宋体"/>
                <w:strike w:val="0"/>
                <w:dstrike w:val="0"/>
                <w:color w:val="auto"/>
                <w:sz w:val="15"/>
                <w:szCs w:val="15"/>
                <w:highlight w:val="none"/>
                <w:lang w:eastAsia="zh-CN"/>
              </w:rPr>
              <w:t>情节系数</w:t>
            </w:r>
            <w:r>
              <w:rPr>
                <w:rFonts w:hint="eastAsia" w:ascii="宋体" w:hAnsi="宋体" w:eastAsia="宋体" w:cs="宋体"/>
                <w:bCs/>
                <w:strike w:val="0"/>
                <w:dstrike w:val="0"/>
                <w:color w:val="auto"/>
                <w:sz w:val="15"/>
                <w:szCs w:val="15"/>
                <w:highlight w:val="none"/>
              </w:rPr>
              <w:t>）</w:t>
            </w:r>
          </w:p>
        </w:tc>
        <w:tc>
          <w:tcPr>
            <w:tcW w:w="1982" w:type="dxa"/>
            <w:gridSpan w:val="2"/>
            <w:noWrap w:val="0"/>
            <w:vAlign w:val="center"/>
          </w:tcPr>
          <w:p>
            <w:pPr>
              <w:spacing w:line="232" w:lineRule="exact"/>
              <w:rPr>
                <w:rFonts w:ascii="宋体" w:hAnsi="宋体" w:eastAsia="宋体"/>
                <w:strike w:val="0"/>
                <w:color w:val="auto"/>
                <w:sz w:val="15"/>
                <w:szCs w:val="15"/>
                <w:highlight w:val="none"/>
              </w:rPr>
            </w:pPr>
            <w:r>
              <w:rPr>
                <w:rFonts w:hint="eastAsia" w:ascii="宋体" w:hAnsi="宋体" w:eastAsia="宋体"/>
                <w:strike w:val="0"/>
                <w:color w:val="auto"/>
                <w:sz w:val="15"/>
                <w:szCs w:val="15"/>
                <w:highlight w:val="none"/>
              </w:rPr>
              <w:t>需要给予</w:t>
            </w:r>
            <w:r>
              <w:rPr>
                <w:rFonts w:hint="eastAsia" w:ascii="宋体" w:hAnsi="宋体" w:eastAsia="宋体"/>
                <w:strike w:val="0"/>
                <w:color w:val="auto"/>
                <w:sz w:val="15"/>
                <w:szCs w:val="15"/>
                <w:highlight w:val="none"/>
                <w:lang w:eastAsia="zh-CN"/>
              </w:rPr>
              <w:t>其他</w:t>
            </w:r>
            <w:r>
              <w:rPr>
                <w:rFonts w:hint="eastAsia" w:ascii="宋体" w:hAnsi="宋体" w:eastAsia="宋体"/>
                <w:strike w:val="0"/>
                <w:color w:val="auto"/>
                <w:sz w:val="15"/>
                <w:szCs w:val="15"/>
                <w:highlight w:val="none"/>
              </w:rPr>
              <w:t>处罚额度的，报案审会决定。</w:t>
            </w:r>
          </w:p>
          <w:p>
            <w:pPr>
              <w:spacing w:line="232" w:lineRule="exact"/>
              <w:contextualSpacing/>
              <w:rPr>
                <w:rFonts w:hint="eastAsia" w:ascii="宋体" w:hAnsi="宋体" w:eastAsia="宋体"/>
                <w:strike w:val="0"/>
                <w:dstrike w:val="0"/>
                <w:color w:val="auto"/>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82" w:hRule="atLeast"/>
        </w:trPr>
        <w:tc>
          <w:tcPr>
            <w:tcW w:w="15100" w:type="dxa"/>
            <w:gridSpan w:val="14"/>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516342011"/>
            <w:bookmarkStart w:id="154" w:name="_Toc110851485"/>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宋体" w:hAnsi="宋体" w:eastAsia="宋体"/>
                <w:color w:val="auto"/>
                <w:sz w:val="15"/>
                <w:szCs w:val="15"/>
                <w:highlight w:val="none"/>
              </w:rPr>
            </w:pPr>
            <w:bookmarkStart w:id="155" w:name="_Toc110851486"/>
            <w:bookmarkStart w:id="156" w:name="_Toc2059876047"/>
            <w:bookmarkStart w:id="157" w:name="_Toc187041735"/>
            <w:r>
              <w:rPr>
                <w:rFonts w:hint="eastAsia" w:ascii="宋体" w:hAnsi="宋体" w:eastAsia="宋体"/>
                <w:color w:val="auto"/>
                <w:sz w:val="21"/>
                <w:szCs w:val="21"/>
                <w:highlight w:val="none"/>
              </w:rPr>
              <w:t>《中华人民共和国城乡规划法》《北京市城乡规划条例》</w:t>
            </w:r>
            <w:r>
              <w:rPr>
                <w:rFonts w:hint="eastAsia" w:ascii="宋体" w:hAnsi="宋体" w:eastAsia="宋体"/>
                <w:color w:val="auto"/>
                <w:sz w:val="21"/>
                <w:szCs w:val="21"/>
                <w:highlight w:val="none"/>
                <w:lang w:val="en-US" w:eastAsia="zh-CN"/>
              </w:rPr>
              <w:t xml:space="preserve"> </w:t>
            </w:r>
            <w:r>
              <w:rPr>
                <w:rFonts w:hint="eastAsia" w:ascii="宋体" w:hAnsi="宋体" w:eastAsia="宋体"/>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98" w:hRule="atLeast"/>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违法建设</w:t>
            </w:r>
          </w:p>
        </w:tc>
        <w:tc>
          <w:tcPr>
            <w:tcW w:w="9781"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新生违法建设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r>
              <w:rPr>
                <w:rFonts w:hint="eastAsia" w:ascii="宋体" w:hAnsi="宋体" w:eastAsia="宋体" w:cs="宋体"/>
                <w:color w:val="auto"/>
                <w:kern w:val="0"/>
                <w:sz w:val="15"/>
                <w:szCs w:val="15"/>
                <w:highlight w:val="none"/>
              </w:rPr>
              <w:br w:type="textWrapping"/>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44" w:hRule="atLeast"/>
        </w:trPr>
        <w:tc>
          <w:tcPr>
            <w:tcW w:w="610" w:type="dxa"/>
            <w:vMerge w:val="continue"/>
            <w:tcBorders>
              <w:bottom w:val="single" w:color="auto" w:sz="4" w:space="0"/>
            </w:tcBorders>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tcBorders>
              <w:bottom w:val="single" w:color="auto" w:sz="4" w:space="0"/>
            </w:tcBorders>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6"/>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已建成违法建设</w:t>
            </w:r>
            <w:r>
              <w:rPr>
                <w:rFonts w:ascii="宋体" w:hAnsi="宋体" w:eastAsia="宋体" w:cs="宋体"/>
                <w:b/>
                <w:bCs/>
                <w:color w:val="auto"/>
                <w:kern w:val="0"/>
                <w:sz w:val="15"/>
                <w:szCs w:val="15"/>
                <w:highlight w:val="none"/>
              </w:rPr>
              <w:t>]</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拆除条款：（限期拆除）</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（强制拆除）</w:t>
            </w:r>
            <w:r>
              <w:rPr>
                <w:rFonts w:hint="eastAsia" w:ascii="宋体" w:hAnsi="宋体" w:eastAsia="宋体" w:cs="宋体"/>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hint="eastAsia" w:ascii="宋体" w:hAnsi="宋体" w:eastAsia="宋体" w:cs="宋体"/>
                <w:b/>
                <w:color w:val="auto"/>
                <w:kern w:val="0"/>
                <w:sz w:val="15"/>
                <w:szCs w:val="15"/>
                <w:highlight w:val="none"/>
              </w:rPr>
              <w:t>（无主公告）</w:t>
            </w:r>
            <w:r>
              <w:rPr>
                <w:rFonts w:hint="eastAsia" w:ascii="宋体" w:hAnsi="宋体" w:eastAsia="宋体" w:cs="宋体"/>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r>
              <w:rPr>
                <w:rFonts w:ascii="宋体" w:hAnsi="宋体" w:eastAsia="宋体" w:cs="宋体"/>
                <w:color w:val="auto"/>
                <w:kern w:val="0"/>
                <w:sz w:val="15"/>
                <w:szCs w:val="15"/>
                <w:highlight w:val="none"/>
              </w:rPr>
              <w:br w:type="textWrapping"/>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tcBorders>
              <w:bottom w:val="single" w:color="auto" w:sz="4" w:space="0"/>
            </w:tcBorders>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p>
        </w:tc>
        <w:tc>
          <w:tcPr>
            <w:tcW w:w="9781" w:type="dxa"/>
            <w:gridSpan w:val="6"/>
            <w:noWrap w:val="0"/>
            <w:vAlign w:val="top"/>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b/>
                <w:bCs/>
                <w:color w:val="auto"/>
                <w:kern w:val="0"/>
                <w:sz w:val="15"/>
                <w:szCs w:val="15"/>
                <w:highlight w:val="none"/>
              </w:rPr>
            </w:pPr>
            <w:r>
              <w:rPr>
                <w:rFonts w:ascii="宋体" w:hAnsi="宋体" w:eastAsia="宋体" w:cs="宋体"/>
                <w:b/>
                <w:bCs/>
                <w:color w:val="auto"/>
                <w:kern w:val="0"/>
                <w:sz w:val="15"/>
                <w:szCs w:val="15"/>
                <w:highlight w:val="none"/>
              </w:rPr>
              <w:t>[</w:t>
            </w:r>
            <w:r>
              <w:rPr>
                <w:rFonts w:hint="eastAsia" w:ascii="宋体" w:hAnsi="宋体" w:eastAsia="宋体" w:cs="宋体"/>
                <w:b/>
                <w:bCs/>
                <w:color w:val="auto"/>
                <w:kern w:val="0"/>
                <w:sz w:val="15"/>
                <w:szCs w:val="15"/>
                <w:highlight w:val="none"/>
              </w:rPr>
              <w:t>城镇临时建设工程未取得临时建设工程规划许可证违法建设</w:t>
            </w:r>
            <w:r>
              <w:rPr>
                <w:rFonts w:ascii="宋体" w:hAnsi="宋体" w:eastAsia="宋体" w:cs="宋体"/>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拆除条款：</w:t>
            </w:r>
            <w:r>
              <w:rPr>
                <w:rFonts w:hint="eastAsia" w:ascii="宋体" w:hAnsi="宋体" w:eastAsia="宋体" w:cs="宋体"/>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rPr>
              <w:t>日。公告期间届满后</w:t>
            </w:r>
            <w:r>
              <w:rPr>
                <w:rFonts w:ascii="宋体" w:hAnsi="宋体" w:eastAsia="宋体" w:cs="宋体"/>
                <w:color w:val="auto"/>
                <w:kern w:val="0"/>
                <w:sz w:val="15"/>
                <w:szCs w:val="15"/>
                <w:highlight w:val="none"/>
              </w:rPr>
              <w:t>6</w:t>
            </w:r>
            <w:r>
              <w:rPr>
                <w:rFonts w:hint="eastAsia" w:ascii="宋体" w:hAnsi="宋体" w:eastAsia="宋体" w:cs="宋体"/>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ascii="宋体" w:hAnsi="宋体" w:eastAsia="宋体" w:cs="宋体"/>
                <w:b/>
                <w:color w:val="auto"/>
                <w:kern w:val="0"/>
                <w:sz w:val="15"/>
                <w:szCs w:val="15"/>
                <w:highlight w:val="none"/>
                <w:lang w:val="en"/>
              </w:rPr>
            </w:pP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《北京市城乡规划条例》第七十六条。</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罚款裁量按照《住房和城乡建设部关于印发〈关于规范城乡规划行政处罚裁量权的指导意见〉的通知》执行。</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2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未按照规定在施工现场对外公示建设工程规划许可证（含临时）及附件、附图</w:t>
            </w:r>
          </w:p>
        </w:tc>
        <w:tc>
          <w:tcPr>
            <w:tcW w:w="2789" w:type="dxa"/>
            <w:noWrap w:val="0"/>
            <w:vAlign w:val="center"/>
          </w:tcPr>
          <w:p>
            <w:pPr>
              <w:spacing w:line="232" w:lineRule="exact"/>
              <w:jc w:val="left"/>
              <w:rPr>
                <w:rFonts w:ascii="宋体" w:hAnsi="宋体" w:eastAsia="宋体" w:cs="宋体"/>
                <w:color w:val="auto"/>
                <w:kern w:val="0"/>
                <w:sz w:val="15"/>
                <w:szCs w:val="15"/>
                <w:highlight w:val="none"/>
              </w:rPr>
            </w:pPr>
            <w:r>
              <w:rPr>
                <w:rFonts w:hint="eastAsia" w:ascii="宋体" w:hAnsi="宋体" w:eastAsia="宋体" w:cs="宋体"/>
                <w:b/>
                <w:bCs/>
                <w:color w:val="auto"/>
                <w:kern w:val="0"/>
                <w:sz w:val="15"/>
                <w:szCs w:val="15"/>
                <w:highlight w:val="none"/>
              </w:rPr>
              <w:t>违反条款：</w:t>
            </w:r>
            <w:r>
              <w:rPr>
                <w:rFonts w:hint="eastAsia" w:ascii="宋体" w:hAnsi="宋体" w:eastAsia="宋体" w:cs="宋体"/>
                <w:color w:val="auto"/>
                <w:kern w:val="0"/>
                <w:sz w:val="15"/>
                <w:szCs w:val="15"/>
                <w:highlight w:val="none"/>
              </w:rPr>
              <w:t>《北京市城乡规划条例》第六十四条；</w:t>
            </w:r>
            <w:r>
              <w:rPr>
                <w:rFonts w:hint="eastAsia" w:ascii="宋体" w:hAnsi="宋体" w:eastAsia="宋体" w:cs="宋体"/>
                <w:b/>
                <w:bCs/>
                <w:color w:val="auto"/>
                <w:kern w:val="0"/>
                <w:sz w:val="15"/>
                <w:szCs w:val="15"/>
                <w:highlight w:val="none"/>
              </w:rPr>
              <w:t>处罚条款：</w:t>
            </w:r>
            <w:r>
              <w:rPr>
                <w:rFonts w:hint="eastAsia" w:ascii="宋体" w:hAnsi="宋体" w:eastAsia="宋体" w:cs="宋体"/>
                <w:color w:val="auto"/>
                <w:kern w:val="0"/>
                <w:sz w:val="15"/>
                <w:szCs w:val="15"/>
                <w:highlight w:val="none"/>
              </w:rPr>
              <w:t>《北京市城乡规划条例》第八十五条，责令限期改正，可以并处</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元以上</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该项案由执法区域范畴与查处违法建设分工区域范畴相同</w:t>
            </w:r>
            <w:r>
              <w:rPr>
                <w:rFonts w:hint="eastAsia" w:ascii="宋体" w:hAnsi="宋体" w:eastAsia="宋体" w:cs="宋体"/>
                <w:strike w:val="0"/>
                <w:dstrike w:val="0"/>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15100" w:type="dxa"/>
            <w:gridSpan w:val="14"/>
            <w:noWrap w:val="0"/>
            <w:vAlign w:val="center"/>
          </w:tcPr>
          <w:p>
            <w:pPr>
              <w:pStyle w:val="2"/>
              <w:keepNext w:val="0"/>
              <w:keepLines w:val="0"/>
              <w:rPr>
                <w:rFonts w:ascii="黑体" w:hAnsi="黑体" w:eastAsia="黑体"/>
                <w:b w:val="0"/>
                <w:color w:val="auto"/>
                <w:sz w:val="24"/>
                <w:szCs w:val="24"/>
                <w:highlight w:val="none"/>
              </w:rPr>
            </w:pPr>
            <w:bookmarkStart w:id="158" w:name="_Toc110851487"/>
            <w:bookmarkStart w:id="159" w:name="_Toc250975437"/>
            <w:bookmarkStart w:id="160" w:name="_Toc1909913449"/>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55"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1" w:name="_Toc110851488"/>
            <w:bookmarkStart w:id="162" w:name="_Toc363033362"/>
            <w:bookmarkStart w:id="163" w:name="_Toc2115253117"/>
            <w:r>
              <w:rPr>
                <w:rFonts w:hint="eastAsia" w:ascii="宋体" w:hAnsi="宋体" w:eastAsia="宋体"/>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6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无导游证进行导游活动</w:t>
            </w:r>
          </w:p>
        </w:tc>
        <w:tc>
          <w:tcPr>
            <w:tcW w:w="2789"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违反、处罚条款：第一百零二条第一款，责令改正，没收违法所得，并处1千元以上1万元以下罚款，予以公告。</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造成社会不良影响的，系数</w:t>
            </w:r>
            <w:r>
              <w:rPr>
                <w:rFonts w:hint="eastAsia" w:ascii="宋体" w:hAnsi="宋体" w:eastAsia="宋体" w:cs="宋体"/>
                <w:color w:val="auto"/>
                <w:kern w:val="0"/>
                <w:sz w:val="15"/>
                <w:szCs w:val="15"/>
                <w:highlight w:val="none"/>
                <w:lang w:val="en-US" w:eastAsia="zh-CN"/>
              </w:rPr>
              <w:t>1-3；2.存在基准2.1.3规定情形的，系数按照相关规定确定（基准2.1.3.5不适用）。</w:t>
            </w:r>
          </w:p>
        </w:tc>
        <w:tc>
          <w:tcPr>
            <w:tcW w:w="1875" w:type="dxa"/>
            <w:gridSpan w:val="2"/>
            <w:noWrap w:val="0"/>
            <w:vAlign w:val="center"/>
          </w:tcPr>
          <w:p>
            <w:pPr>
              <w:spacing w:line="220" w:lineRule="exact"/>
              <w:jc w:val="lef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numPr>
                <w:ilvl w:val="0"/>
                <w:numId w:val="0"/>
              </w:numPr>
              <w:spacing w:line="22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85" w:hRule="atLeast"/>
        </w:trPr>
        <w:tc>
          <w:tcPr>
            <w:tcW w:w="15100" w:type="dxa"/>
            <w:gridSpan w:val="14"/>
            <w:noWrap w:val="0"/>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60045957"/>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467" w:hRule="atLeast"/>
        </w:trPr>
        <w:tc>
          <w:tcPr>
            <w:tcW w:w="15100" w:type="dxa"/>
            <w:gridSpan w:val="14"/>
            <w:noWrap w:val="0"/>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olor w:val="auto"/>
                <w:sz w:val="21"/>
                <w:szCs w:val="21"/>
                <w:highlight w:val="none"/>
              </w:rPr>
            </w:pPr>
            <w:bookmarkStart w:id="167" w:name="_Toc110851490"/>
            <w:bookmarkStart w:id="168" w:name="_Toc508127422"/>
            <w:bookmarkStart w:id="169" w:name="_Toc948913247"/>
            <w:r>
              <w:rPr>
                <w:rFonts w:hint="eastAsia" w:ascii="宋体" w:hAnsi="宋体" w:eastAsia="宋体"/>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食品摊贩以欺骗、贿赂等不正当手段取得备案</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违反条款：第二十三条；</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处罚条款：第二十三条，对食品摊贩处2000元以上5000元以下罚款。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000×（1＋</w:t>
            </w:r>
            <w:r>
              <w:rPr>
                <w:rFonts w:hint="eastAsia" w:ascii="宋体" w:hAnsi="宋体" w:eastAsia="宋体" w:cs="宋体"/>
                <w:color w:val="auto"/>
                <w:kern w:val="0"/>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0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食品摊贩超出备案载明的经营区域、经营时段从事食品生产经营活动</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违反条款：第八条第二款和《北京市市容环境卫生条例》第三十五条第一款；</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1.超出</w:t>
            </w:r>
            <w:r>
              <w:rPr>
                <w:rFonts w:ascii="宋体" w:hAnsi="宋体" w:eastAsia="宋体" w:cs="宋体"/>
                <w:color w:val="auto"/>
                <w:kern w:val="0"/>
                <w:sz w:val="15"/>
                <w:szCs w:val="15"/>
                <w:highlight w:val="none"/>
              </w:rPr>
              <w:t>备案载明的经营区域或经营时段的，</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；2.同时</w:t>
            </w:r>
            <w:r>
              <w:rPr>
                <w:rFonts w:ascii="宋体" w:hAnsi="宋体" w:eastAsia="宋体" w:cs="宋体"/>
                <w:color w:val="auto"/>
                <w:kern w:val="0"/>
                <w:sz w:val="15"/>
                <w:szCs w:val="15"/>
                <w:highlight w:val="none"/>
              </w:rPr>
              <w:t>超出</w:t>
            </w:r>
            <w:r>
              <w:rPr>
                <w:rFonts w:hint="eastAsia" w:ascii="宋体" w:hAnsi="宋体" w:eastAsia="宋体" w:cs="宋体"/>
                <w:color w:val="auto"/>
                <w:kern w:val="0"/>
                <w:sz w:val="15"/>
                <w:szCs w:val="15"/>
                <w:highlight w:val="none"/>
              </w:rPr>
              <w:t>备</w:t>
            </w:r>
            <w:r>
              <w:rPr>
                <w:rFonts w:ascii="宋体" w:hAnsi="宋体" w:eastAsia="宋体" w:cs="宋体"/>
                <w:color w:val="auto"/>
                <w:kern w:val="0"/>
                <w:sz w:val="15"/>
                <w:szCs w:val="15"/>
                <w:highlight w:val="none"/>
              </w:rPr>
              <w:t>案载明的经营区域</w:t>
            </w:r>
            <w:r>
              <w:rPr>
                <w:rFonts w:hint="eastAsia" w:ascii="宋体" w:hAnsi="宋体" w:eastAsia="宋体" w:cs="宋体"/>
                <w:color w:val="auto"/>
                <w:kern w:val="0"/>
                <w:sz w:val="15"/>
                <w:szCs w:val="15"/>
                <w:highlight w:val="none"/>
              </w:rPr>
              <w:t>和</w:t>
            </w:r>
            <w:r>
              <w:rPr>
                <w:rFonts w:ascii="宋体" w:hAnsi="宋体" w:eastAsia="宋体" w:cs="宋体"/>
                <w:color w:val="auto"/>
                <w:kern w:val="0"/>
                <w:sz w:val="15"/>
                <w:szCs w:val="15"/>
                <w:highlight w:val="none"/>
              </w:rPr>
              <w:t>经营时段的</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食品摊贩用非食品原料生产制作食品（在食品中添加食品添加剂以外的化学物质和</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可能危害人体健康的物质、用回收食品作为原料生产加工食品）</w:t>
            </w:r>
          </w:p>
        </w:tc>
        <w:tc>
          <w:tcPr>
            <w:tcW w:w="2789"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违反条款：第十三条第一项；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食品摊贩经营病死、毒死或者死因不明的禽、畜、兽、水产动物肉类或者生产经营其制品</w:t>
            </w:r>
          </w:p>
        </w:tc>
        <w:tc>
          <w:tcPr>
            <w:tcW w:w="2789"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违反条款：第十三条第二项；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食品摊贩经营未按规定进行检疫或者检疫不合格的肉类（未经检验或者检验不合格的肉类制品）</w:t>
            </w:r>
          </w:p>
        </w:tc>
        <w:tc>
          <w:tcPr>
            <w:tcW w:w="2789"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违反条款：第十三条第三项；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24"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04" w:lineRule="exact"/>
              <w:rPr>
                <w:rFonts w:ascii="宋体" w:hAnsi="宋体" w:eastAsia="宋体"/>
                <w:color w:val="auto"/>
                <w:sz w:val="15"/>
                <w:szCs w:val="15"/>
                <w:highlight w:val="none"/>
              </w:rPr>
            </w:pPr>
          </w:p>
        </w:tc>
        <w:tc>
          <w:tcPr>
            <w:tcW w:w="2789" w:type="dxa"/>
            <w:vMerge w:val="continue"/>
            <w:noWrap w:val="0"/>
            <w:vAlign w:val="center"/>
          </w:tcPr>
          <w:p>
            <w:pPr>
              <w:spacing w:line="204"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食品摊贩生产经营国家为防病等特殊需要明令禁止生产经营的食品；</w:t>
            </w:r>
          </w:p>
        </w:tc>
        <w:tc>
          <w:tcPr>
            <w:tcW w:w="2789" w:type="dxa"/>
            <w:vMerge w:val="restart"/>
            <w:noWrap w:val="0"/>
            <w:vAlign w:val="center"/>
          </w:tcPr>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违反条款：第十三条第四项；</w:t>
            </w:r>
          </w:p>
          <w:p>
            <w:pPr>
              <w:spacing w:line="204"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33"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食品摊贩违反国家规定在食品中添加药品</w:t>
            </w:r>
          </w:p>
        </w:tc>
        <w:tc>
          <w:tcPr>
            <w:tcW w:w="2789" w:type="dxa"/>
            <w:vMerge w:val="restart"/>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违反条款：第十三条第五项；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ascii="宋体" w:hAnsi="宋体" w:eastAsia="宋体" w:cs="宋体"/>
                <w:color w:val="auto"/>
                <w:kern w:val="0"/>
                <w:sz w:val="15"/>
                <w:szCs w:val="15"/>
                <w:highlight w:val="none"/>
              </w:rPr>
              <w:t>货值金额不足</w:t>
            </w:r>
            <w:r>
              <w:rPr>
                <w:rFonts w:hint="eastAsia" w:ascii="宋体" w:hAnsi="宋体" w:eastAsia="宋体" w:cs="宋体"/>
                <w:color w:val="auto"/>
                <w:kern w:val="0"/>
                <w:sz w:val="15"/>
                <w:szCs w:val="15"/>
                <w:highlight w:val="none"/>
              </w:rPr>
              <w:t>1万元</w:t>
            </w:r>
            <w:r>
              <w:rPr>
                <w:rFonts w:ascii="宋体" w:hAnsi="宋体" w:eastAsia="宋体" w:cs="宋体"/>
                <w:color w:val="auto"/>
                <w:kern w:val="0"/>
                <w:sz w:val="15"/>
                <w:szCs w:val="15"/>
                <w:highlight w:val="none"/>
              </w:rPr>
              <w:t>）</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w:t>
            </w:r>
            <w:r>
              <w:rPr>
                <w:rFonts w:ascii="宋体" w:hAnsi="宋体" w:eastAsia="宋体" w:cs="宋体"/>
                <w:color w:val="auto"/>
                <w:kern w:val="0"/>
                <w:sz w:val="15"/>
                <w:szCs w:val="15"/>
                <w:highlight w:val="none"/>
              </w:rPr>
              <w:t>00000</w:t>
            </w: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×5</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restart"/>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51" w:hRule="atLeast"/>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20" w:lineRule="exact"/>
              <w:rPr>
                <w:rFonts w:ascii="宋体" w:hAnsi="宋体" w:eastAsia="宋体"/>
                <w:color w:val="auto"/>
                <w:sz w:val="15"/>
                <w:szCs w:val="15"/>
                <w:highlight w:val="none"/>
              </w:rPr>
            </w:pPr>
          </w:p>
        </w:tc>
        <w:tc>
          <w:tcPr>
            <w:tcW w:w="2789" w:type="dxa"/>
            <w:vMerge w:val="continue"/>
            <w:noWrap w:val="0"/>
            <w:vAlign w:val="center"/>
          </w:tcPr>
          <w:p>
            <w:pPr>
              <w:spacing w:line="220"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货值</w:t>
            </w:r>
            <w:r>
              <w:rPr>
                <w:rFonts w:ascii="宋体" w:hAnsi="宋体" w:eastAsia="宋体" w:cs="宋体"/>
                <w:color w:val="auto"/>
                <w:kern w:val="0"/>
                <w:sz w:val="15"/>
                <w:szCs w:val="15"/>
                <w:highlight w:val="none"/>
              </w:rPr>
              <w:t>金额</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r>
              <w:rPr>
                <w:rFonts w:hint="default"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造成食品安全事故的，系数15。</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罚款数额＝货值</w:t>
            </w:r>
            <w:r>
              <w:rPr>
                <w:rFonts w:ascii="宋体" w:hAnsi="宋体" w:eastAsia="宋体" w:cs="宋体"/>
                <w:color w:val="auto"/>
                <w:kern w:val="0"/>
                <w:sz w:val="15"/>
                <w:szCs w:val="15"/>
                <w:highlight w:val="none"/>
              </w:rPr>
              <w:t>金额</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+情节系数）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olor w:val="auto"/>
                <w:sz w:val="15"/>
                <w:szCs w:val="15"/>
                <w:highlight w:val="none"/>
              </w:rPr>
              <w:t>需要给予</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处罚额度的，报案审会决定。</w:t>
            </w:r>
          </w:p>
        </w:tc>
        <w:tc>
          <w:tcPr>
            <w:tcW w:w="897" w:type="dxa"/>
            <w:gridSpan w:val="2"/>
            <w:vMerge w:val="continue"/>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食品摊贩生产制作致病性微生物，农药残留、兽药残留、生物毒素、重金属等污染物质以及</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危害人体健康的物质含量超过食品安全标准限量的食品</w:t>
            </w:r>
          </w:p>
        </w:tc>
        <w:tc>
          <w:tcPr>
            <w:tcW w:w="2789" w:type="dxa"/>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违反条款：第十三条第六项；</w:t>
            </w:r>
          </w:p>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食品摊贩超范围、超限量使用食品添加剂生产制作食品（用超过保质期的食品原料、食品添加剂生产制作食品）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违反条款：第十三条第七项；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0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食品摊贩生产经营腐败变质、油脂酸败、霉变生虫、污秽不洁、混有异物、掺假掺杂或者感官性状异常的食品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违反条款：第十三条第八项；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47"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食品摊贩标注虚假生产日期、保质期（销售超过保质期的食品）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违反条款：第十三条第九项；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食品摊贩生产制作</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不符合食品安全标准的食品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ascii="宋体" w:hAnsi="宋体" w:eastAsia="宋体" w:cs="宋体"/>
                <w:color w:val="auto"/>
                <w:kern w:val="0"/>
                <w:sz w:val="15"/>
                <w:szCs w:val="15"/>
                <w:highlight w:val="none"/>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1.经营</w:t>
            </w:r>
            <w:r>
              <w:rPr>
                <w:rFonts w:ascii="宋体" w:hAnsi="宋体" w:eastAsia="宋体" w:cs="宋体"/>
                <w:color w:val="auto"/>
                <w:kern w:val="0"/>
                <w:sz w:val="15"/>
                <w:szCs w:val="15"/>
                <w:highlight w:val="none"/>
              </w:rPr>
              <w:t>冷荤</w:t>
            </w:r>
            <w:r>
              <w:rPr>
                <w:rFonts w:hint="eastAsia" w:ascii="宋体" w:hAnsi="宋体" w:eastAsia="宋体" w:cs="宋体"/>
                <w:color w:val="auto"/>
                <w:kern w:val="0"/>
                <w:sz w:val="15"/>
                <w:szCs w:val="15"/>
                <w:highlight w:val="none"/>
              </w:rPr>
              <w:t>凉菜</w:t>
            </w:r>
            <w:r>
              <w:rPr>
                <w:rFonts w:ascii="宋体" w:hAnsi="宋体" w:eastAsia="宋体" w:cs="宋体"/>
                <w:color w:val="auto"/>
                <w:kern w:val="0"/>
                <w:sz w:val="15"/>
                <w:szCs w:val="15"/>
                <w:highlight w:val="none"/>
              </w:rPr>
              <w:t>、</w:t>
            </w:r>
            <w:r>
              <w:rPr>
                <w:rFonts w:hint="eastAsia" w:ascii="宋体" w:hAnsi="宋体" w:eastAsia="宋体"/>
                <w:color w:val="auto"/>
                <w:sz w:val="15"/>
                <w:szCs w:val="15"/>
                <w:highlight w:val="none"/>
              </w:rPr>
              <w:t>生食水产品、裱花蛋糕、散装熟食、散装酒的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0.5；</w:t>
            </w:r>
            <w:r>
              <w:rPr>
                <w:rFonts w:ascii="宋体" w:hAnsi="宋体" w:eastAsia="宋体"/>
                <w:color w:val="auto"/>
                <w:sz w:val="15"/>
                <w:szCs w:val="15"/>
                <w:highlight w:val="none"/>
              </w:rPr>
              <w:t>2.</w:t>
            </w:r>
            <w:r>
              <w:rPr>
                <w:rFonts w:hint="eastAsia" w:ascii="宋体" w:hAnsi="宋体" w:eastAsia="宋体"/>
                <w:color w:val="auto"/>
                <w:sz w:val="15"/>
                <w:szCs w:val="15"/>
                <w:highlight w:val="none"/>
              </w:rPr>
              <w:t>经营保健食品、婴幼儿配方食品和特殊医学用途配方食品等特殊食品的</w:t>
            </w:r>
            <w:r>
              <w:rPr>
                <w:rFonts w:ascii="宋体" w:hAnsi="宋体" w:eastAsia="宋体"/>
                <w:color w:val="auto"/>
                <w:sz w:val="15"/>
                <w:szCs w:val="15"/>
                <w:highlight w:val="none"/>
              </w:rPr>
              <w:t>，</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1；3.经营</w:t>
            </w:r>
            <w:r>
              <w:rPr>
                <w:rFonts w:ascii="宋体" w:hAnsi="宋体" w:eastAsia="宋体"/>
                <w:color w:val="auto"/>
                <w:sz w:val="15"/>
                <w:szCs w:val="15"/>
                <w:highlight w:val="none"/>
              </w:rPr>
              <w:t>区人民政府确定的不得经营的类别的，</w:t>
            </w:r>
            <w:r>
              <w:rPr>
                <w:rFonts w:hint="eastAsia" w:ascii="宋体" w:hAnsi="宋体" w:eastAsia="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＝5000×（1+</w:t>
            </w:r>
            <w:r>
              <w:rPr>
                <w:rFonts w:hint="eastAsia" w:ascii="宋体" w:hAnsi="宋体" w:eastAsia="宋体" w:cs="宋体"/>
                <w:color w:val="auto"/>
                <w:kern w:val="0"/>
                <w:sz w:val="15"/>
                <w:szCs w:val="15"/>
                <w:highlight w:val="none"/>
                <w:lang w:eastAsia="zh-CN"/>
              </w:rPr>
              <w:t>情节</w:t>
            </w:r>
            <w:r>
              <w:rPr>
                <w:rFonts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根据</w:t>
            </w:r>
            <w:r>
              <w:rPr>
                <w:rFonts w:ascii="宋体" w:hAnsi="宋体" w:eastAsia="宋体" w:cs="宋体"/>
                <w:color w:val="auto"/>
                <w:kern w:val="0"/>
                <w:sz w:val="15"/>
                <w:szCs w:val="15"/>
                <w:highlight w:val="none"/>
              </w:rPr>
              <w:t>案件情况执行</w:t>
            </w:r>
            <w:r>
              <w:rPr>
                <w:rFonts w:hint="eastAsia" w:ascii="宋体" w:hAnsi="宋体" w:eastAsia="宋体" w:cs="宋体"/>
                <w:color w:val="auto"/>
                <w:kern w:val="0"/>
                <w:sz w:val="15"/>
                <w:szCs w:val="15"/>
                <w:highlight w:val="none"/>
                <w:lang w:eastAsia="zh-CN"/>
              </w:rPr>
              <w:t>。</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食品摊贩生产经营被包装材料、容器、运输工具等污染的食品</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违反条款：第十三条第十二项；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76"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违反条款：第十三条第十三项；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3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食品摊贩购进、存放、使用亚硝酸盐等易滥用的食品添加剂</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＝1000×（1+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64"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食品摊贩生产经营无标签的预包装食品（标签不符合法律、法规规定的食品）</w:t>
            </w:r>
          </w:p>
        </w:tc>
        <w:tc>
          <w:tcPr>
            <w:tcW w:w="2789"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违反条款：第十三条第十四项；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1.无</w:t>
            </w:r>
            <w:r>
              <w:rPr>
                <w:rFonts w:ascii="宋体" w:hAnsi="宋体" w:eastAsia="宋体" w:cs="宋体"/>
                <w:color w:val="auto"/>
                <w:kern w:val="0"/>
                <w:sz w:val="15"/>
                <w:szCs w:val="15"/>
                <w:highlight w:val="none"/>
              </w:rPr>
              <w:t>标签的预包装食品，</w:t>
            </w:r>
            <w:r>
              <w:rPr>
                <w:rFonts w:hint="eastAsia" w:ascii="宋体" w:hAnsi="宋体" w:eastAsia="宋体" w:cs="宋体"/>
                <w:color w:val="auto"/>
                <w:kern w:val="0"/>
                <w:sz w:val="15"/>
                <w:szCs w:val="15"/>
                <w:highlight w:val="none"/>
                <w:lang w:eastAsia="zh-CN"/>
              </w:rPr>
              <w:t>系数</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；2.标签</w:t>
            </w:r>
            <w:r>
              <w:rPr>
                <w:rFonts w:ascii="宋体" w:hAnsi="宋体" w:eastAsia="宋体" w:cs="宋体"/>
                <w:color w:val="auto"/>
                <w:kern w:val="0"/>
                <w:sz w:val="15"/>
                <w:szCs w:val="15"/>
                <w:highlight w:val="none"/>
              </w:rPr>
              <w:t>不符合法律、法规规定的食品，</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09"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食品摊贩在生产经营条件发生变化，不再符合法律、法规规定要求的情况下继续生产经营</w:t>
            </w:r>
          </w:p>
        </w:tc>
        <w:tc>
          <w:tcPr>
            <w:tcW w:w="2789"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违反条款：第十三条第十五项；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食品摊贩安排未取得健康证明或者患有国务院卫生健康行政部门规定的有碍食品安全疾病的人员从事接触直接入口食品的工作</w:t>
            </w:r>
          </w:p>
        </w:tc>
        <w:tc>
          <w:tcPr>
            <w:tcW w:w="2789" w:type="dxa"/>
            <w:noWrap w:val="0"/>
            <w:vAlign w:val="center"/>
          </w:tcPr>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违反条款：第十三条第十六项；</w:t>
            </w:r>
          </w:p>
          <w:p>
            <w:pPr>
              <w:spacing w:line="208"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08"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08"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08"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71"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食品摊贩采购食品、食品原料、食品添加剂、食品相关产品时查验、记录不规范</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违反条款：第十五条；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25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食品摊贩未对食品添加剂实行专区(柜)存放或没有专用的称量器具</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违反条款：第十六条第一款；</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处罚条款：第二十八条，责令限期改正；逾期拒不改正的，对食品摊贩处500元以上2000元以下罚款；情节严重的，责令停产停业。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＝500×（1+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w:t>
            </w:r>
            <w:r>
              <w:rPr>
                <w:rFonts w:ascii="宋体" w:hAnsi="宋体" w:eastAsia="宋体" w:cs="宋体"/>
                <w:color w:val="auto"/>
                <w:kern w:val="0"/>
                <w:sz w:val="15"/>
                <w:szCs w:val="15"/>
                <w:highlight w:val="none"/>
              </w:rPr>
              <w:t>的情形：</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t>一年内因同类违法行为，受到城管执法机关2次罚款处罚后又发生同类违法行为的；</w:t>
            </w:r>
          </w:p>
          <w:p>
            <w:pPr>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因违法行为导致严重后果或造成重大社会影响的；</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可以认定为“情节严重”情形的。</w:t>
            </w: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200"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食品摊贩未在生产经营场所显著位置公示备案证明、从业人员健康证明</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违反条款：第十四条；</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95" w:hRule="atLeast"/>
        </w:trPr>
        <w:tc>
          <w:tcPr>
            <w:tcW w:w="61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30" w:type="dxa"/>
            <w:gridSpan w:val="3"/>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食品摊贩使用食品添加剂的记录、公示不规范</w:t>
            </w:r>
          </w:p>
        </w:tc>
        <w:tc>
          <w:tcPr>
            <w:tcW w:w="2789" w:type="dxa"/>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违反条款：第二十条第一项；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处罚条款：第二十九条，责令限期改正；逾期拒不改正的，对食品摊贩处200元以上500元以下罚款。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w:t>
            </w:r>
            <w:r>
              <w:rPr>
                <w:rFonts w:ascii="宋体" w:hAnsi="宋体" w:eastAsia="宋体" w:cs="宋体"/>
                <w:color w:val="auto"/>
                <w:kern w:val="0"/>
                <w:sz w:val="15"/>
                <w:szCs w:val="15"/>
                <w:highlight w:val="none"/>
              </w:rPr>
              <w:t>数额</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情节系数</w:t>
            </w:r>
            <w:r>
              <w:rPr>
                <w:rFonts w:ascii="宋体" w:hAnsi="宋体" w:eastAsia="宋体" w:cs="宋体"/>
                <w:color w:val="auto"/>
                <w:kern w:val="0"/>
                <w:sz w:val="15"/>
                <w:szCs w:val="15"/>
                <w:highlight w:val="none"/>
              </w:rPr>
              <w:t>）</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4"/>
            <w:shd w:val="clear" w:color="auto" w:fill="auto"/>
            <w:noWrap w:val="0"/>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426247582"/>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90" w:hRule="atLeast"/>
        </w:trPr>
        <w:tc>
          <w:tcPr>
            <w:tcW w:w="15100" w:type="dxa"/>
            <w:gridSpan w:val="14"/>
            <w:shd w:val="clear" w:color="auto" w:fill="auto"/>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煤炭经营管理类案由3</w:t>
            </w:r>
            <w:r>
              <w:rPr>
                <w:rFonts w:ascii="宋体" w:hAnsi="宋体" w:eastAsia="宋体"/>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4"/>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3" w:name="_Toc1482088652"/>
            <w:bookmarkStart w:id="174" w:name="_Toc110851492"/>
            <w:bookmarkStart w:id="175" w:name="_Toc517315949"/>
            <w:r>
              <w:rPr>
                <w:rFonts w:hint="eastAsia" w:ascii="宋体" w:hAnsi="宋体" w:eastAsia="宋体"/>
                <w:color w:val="auto"/>
                <w:sz w:val="21"/>
                <w:szCs w:val="21"/>
                <w:highlight w:val="none"/>
              </w:rPr>
              <w:t>《中华人民共和国煤炭法》案由</w:t>
            </w:r>
            <w:r>
              <w:rPr>
                <w:rFonts w:ascii="宋体" w:hAnsi="宋体" w:eastAsia="宋体"/>
                <w:color w:val="auto"/>
                <w:sz w:val="21"/>
                <w:szCs w:val="21"/>
                <w:highlight w:val="none"/>
              </w:rPr>
              <w:t>3</w:t>
            </w:r>
            <w:r>
              <w:rPr>
                <w:rFonts w:hint="eastAsia" w:ascii="宋体" w:hAnsi="宋体" w:eastAsia="宋体"/>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18"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擅自开采保安煤柱或者采用危及相邻煤矿生产安全的危险方法采矿作业</w:t>
            </w:r>
          </w:p>
        </w:tc>
        <w:tc>
          <w:tcPr>
            <w:tcW w:w="2789"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6"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未经批准或者未采取安全措施在煤矿采区范围内进行危及煤矿安全的作业</w:t>
            </w:r>
          </w:p>
        </w:tc>
        <w:tc>
          <w:tcPr>
            <w:tcW w:w="2789" w:type="dxa"/>
            <w:shd w:val="clear" w:color="auto" w:fill="FFFFFF"/>
            <w:noWrap w:val="0"/>
            <w:vAlign w:val="center"/>
          </w:tcPr>
          <w:p>
            <w:pPr>
              <w:spacing w:line="22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10000</w:t>
            </w:r>
          </w:p>
        </w:tc>
        <w:tc>
          <w:tcPr>
            <w:tcW w:w="840" w:type="dxa"/>
            <w:shd w:val="clear" w:color="auto" w:fill="FFFFFF"/>
            <w:noWrap w:val="0"/>
            <w:vAlign w:val="center"/>
          </w:tcPr>
          <w:p>
            <w:pPr>
              <w:spacing w:line="22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2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w:t>
            </w:r>
            <w:r>
              <w:rPr>
                <w:rFonts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rPr>
              <w:t>；2.发生安全事故的，系数4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ascii="宋体" w:hAnsi="宋体" w:eastAsia="宋体" w:cs="宋体"/>
                <w:color w:val="auto"/>
                <w:kern w:val="0"/>
                <w:sz w:val="15"/>
                <w:szCs w:val="15"/>
                <w:highlight w:val="none"/>
              </w:rPr>
              <w:t>额度处罚的</w:t>
            </w:r>
            <w:r>
              <w:rPr>
                <w:rFonts w:hint="eastAsia" w:ascii="宋体" w:hAnsi="宋体" w:eastAsia="宋体" w:cs="宋体"/>
                <w:color w:val="auto"/>
                <w:kern w:val="0"/>
                <w:sz w:val="15"/>
                <w:szCs w:val="15"/>
                <w:highlight w:val="none"/>
              </w:rPr>
              <w:t>，报案审会讨论决定。</w:t>
            </w:r>
          </w:p>
        </w:tc>
        <w:tc>
          <w:tcPr>
            <w:tcW w:w="897" w:type="dxa"/>
            <w:gridSpan w:val="2"/>
            <w:shd w:val="clear" w:color="auto" w:fill="FFFFFF"/>
            <w:noWrap w:val="0"/>
            <w:vAlign w:val="center"/>
          </w:tcPr>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2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65"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在煤炭产品中掺杂、掺假，以次充好</w:t>
            </w:r>
          </w:p>
        </w:tc>
        <w:tc>
          <w:tcPr>
            <w:tcW w:w="2789" w:type="dxa"/>
            <w:shd w:val="clear" w:color="auto" w:fill="FFFFFF"/>
            <w:noWrap w:val="0"/>
            <w:vAlign w:val="center"/>
          </w:tcPr>
          <w:p>
            <w:pPr>
              <w:spacing w:line="232" w:lineRule="exact"/>
              <w:ind w:right="315" w:rightChars="150"/>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违法所得</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造成严重后果或者社会恶劣影响的，系数4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构成犯罪的，由司法机关依法追究刑事责任。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23" w:hRule="atLeast"/>
        </w:trPr>
        <w:tc>
          <w:tcPr>
            <w:tcW w:w="15100" w:type="dxa"/>
            <w:gridSpan w:val="14"/>
            <w:tcBorders>
              <w:bottom w:val="single" w:color="auto" w:sz="4" w:space="0"/>
            </w:tcBorders>
            <w:shd w:val="clear" w:color="auto" w:fill="FFFFFF"/>
            <w:noWrap w:val="0"/>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b/>
                <w:color w:val="auto"/>
                <w:kern w:val="0"/>
                <w:sz w:val="21"/>
                <w:szCs w:val="21"/>
                <w:highlight w:val="none"/>
              </w:rPr>
            </w:pPr>
            <w:r>
              <w:rPr>
                <w:rFonts w:hint="eastAsia" w:ascii="宋体" w:hAnsi="宋体" w:eastAsia="宋体"/>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4"/>
            <w:tcBorders>
              <w:bottom w:val="single" w:color="auto" w:sz="4" w:space="0"/>
            </w:tcBorders>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宋体" w:hAnsi="宋体" w:eastAsia="宋体"/>
                <w:color w:val="auto"/>
                <w:sz w:val="21"/>
                <w:szCs w:val="21"/>
                <w:highlight w:val="none"/>
              </w:rPr>
            </w:pPr>
            <w:bookmarkStart w:id="176" w:name="_Toc419487371"/>
            <w:bookmarkStart w:id="177" w:name="_Toc110851493"/>
            <w:bookmarkStart w:id="178" w:name="_Toc1932982768"/>
            <w:r>
              <w:rPr>
                <w:rFonts w:hint="eastAsia" w:ascii="宋体" w:hAnsi="宋体" w:eastAsia="宋体"/>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2"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经营燃气管网、热力管网的企业不准许符合入网技术标准的燃气、热力入网</w:t>
            </w:r>
          </w:p>
        </w:tc>
        <w:tc>
          <w:tcPr>
            <w:tcW w:w="2789"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93" w:hRule="atLeast"/>
        </w:trPr>
        <w:tc>
          <w:tcPr>
            <w:tcW w:w="61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石油销售企业未按照规定将符合国家标准的生物液体燃料纳入其燃料销售体系</w:t>
            </w:r>
          </w:p>
        </w:tc>
        <w:tc>
          <w:tcPr>
            <w:tcW w:w="2789" w:type="dxa"/>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经济</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损失额</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按照规定执行</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358" w:hRule="atLeast"/>
        </w:trPr>
        <w:tc>
          <w:tcPr>
            <w:tcW w:w="15100" w:type="dxa"/>
            <w:gridSpan w:val="14"/>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21"/>
                <w:szCs w:val="21"/>
                <w:highlight w:val="none"/>
              </w:rPr>
            </w:pPr>
            <w:bookmarkStart w:id="179" w:name="_Toc1494637303"/>
            <w:bookmarkStart w:id="180" w:name="_Toc110851494"/>
            <w:bookmarkStart w:id="181" w:name="_Toc2142516953"/>
            <w:r>
              <w:rPr>
                <w:rFonts w:hint="eastAsia" w:ascii="宋体" w:hAnsi="宋体" w:eastAsia="宋体"/>
                <w:color w:val="auto"/>
                <w:sz w:val="21"/>
                <w:szCs w:val="21"/>
                <w:highlight w:val="none"/>
              </w:rPr>
              <w:t>《中华人民共和国电力法》《电力供应与使用条例》案由</w:t>
            </w:r>
            <w:r>
              <w:rPr>
                <w:rFonts w:ascii="宋体" w:hAnsi="宋体" w:eastAsia="宋体"/>
                <w:color w:val="auto"/>
                <w:sz w:val="21"/>
                <w:szCs w:val="21"/>
                <w:highlight w:val="none"/>
              </w:rPr>
              <w:t>6</w:t>
            </w:r>
            <w:r>
              <w:rPr>
                <w:rFonts w:hint="eastAsia" w:ascii="宋体" w:hAnsi="宋体" w:eastAsia="宋体"/>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01"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电力建设项目使用国家明令淘汰的电力设备和技术</w:t>
            </w:r>
          </w:p>
        </w:tc>
        <w:tc>
          <w:tcPr>
            <w:tcW w:w="2789"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1.存在较大安全隐患的，系数2-3；2.发生安全事故的，系数4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546"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noWrap w:val="0"/>
            <w:vAlign w:val="center"/>
          </w:tcPr>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依据应急管理部门的裁量权基准执行。【“以上”包含本数、“以下”除法律规定的包含本数和最高档的“以下”包含本数外，其余均不包含本数。】</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p>
          <w:p>
            <w:pPr>
              <w:autoSpaceDE w:val="0"/>
              <w:spacing w:line="232" w:lineRule="exact"/>
              <w:rPr>
                <w:rFonts w:hint="eastAsia"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strike w:val="0"/>
                <w:dstrike w:val="0"/>
                <w:color w:val="auto"/>
                <w:kern w:val="0"/>
                <w:sz w:val="15"/>
                <w:szCs w:val="15"/>
                <w:highlight w:val="none"/>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shd w:val="clear" w:color="auto" w:fill="FFFFFF"/>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对违法行为，适用《中华人民共和国电力法》处罚。逾期未改正的，应另行立案，适用《中华人民共和国安全生产法》“逾期未改正”情形处罚。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《应急管理行政裁量权基准暂行规定》（应急管理部令第12号）</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《应急管理行政处罚裁量权基准》</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《北京市安全生产行政处罚自由裁量基准》（2025 年修订版）</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未经许可从事供电或者变更供电营业区</w:t>
            </w:r>
          </w:p>
        </w:tc>
        <w:tc>
          <w:tcPr>
            <w:tcW w:w="2789"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shd w:val="clear" w:color="auto" w:fill="FFFFFF"/>
            <w:noWrap w:val="0"/>
            <w:vAlign w:val="center"/>
          </w:tcPr>
          <w:p>
            <w:pPr>
              <w:autoSpaceDE w:val="0"/>
              <w:spacing w:line="25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未经许可从事电力供应业务，系数2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罚款数额＝违法所得×（1＋</w:t>
            </w:r>
            <w:r>
              <w:rPr>
                <w:rFonts w:hint="eastAsia" w:ascii="宋体" w:hAnsi="宋体" w:eastAsia="宋体"/>
                <w:color w:val="auto"/>
                <w:sz w:val="15"/>
                <w:szCs w:val="15"/>
                <w:highlight w:val="none"/>
                <w:lang w:eastAsia="zh-CN"/>
              </w:rPr>
              <w:t>情节系数</w:t>
            </w:r>
            <w:r>
              <w:rPr>
                <w:rFonts w:hint="eastAsia" w:ascii="宋体" w:hAnsi="宋体" w:eastAsia="宋体" w:cs="宋体"/>
                <w:color w:val="auto"/>
                <w:kern w:val="0"/>
                <w:sz w:val="15"/>
                <w:szCs w:val="15"/>
                <w:highlight w:val="none"/>
              </w:rPr>
              <w:t>）</w:t>
            </w:r>
          </w:p>
        </w:tc>
        <w:tc>
          <w:tcPr>
            <w:tcW w:w="1982" w:type="dxa"/>
            <w:gridSpan w:val="2"/>
            <w:shd w:val="clear" w:color="auto" w:fill="FFFFFF"/>
            <w:noWrap w:val="0"/>
            <w:vAlign w:val="center"/>
          </w:tcPr>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罚款数额不超过违法所得五倍。</w:t>
            </w:r>
          </w:p>
          <w:p>
            <w:pPr>
              <w:autoSpaceDE w:val="0"/>
              <w:spacing w:line="25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79"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3</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供电营业机构拒绝供电</w:t>
            </w:r>
          </w:p>
        </w:tc>
        <w:tc>
          <w:tcPr>
            <w:tcW w:w="2789"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违反条款：《中华人民共和国电力法》第二十六条第一款；处罚条款：第六十四条，责令改正，给予警告。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4</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供电企业中断供电</w:t>
            </w:r>
          </w:p>
        </w:tc>
        <w:tc>
          <w:tcPr>
            <w:tcW w:w="2789"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违反条款：《中华人民共和国电力法》第二十九条第一款；处罚条款：第六十四条，责令改正，给予警告。</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非罚款处罚事项</w:t>
            </w:r>
            <w:r>
              <w:rPr>
                <w:rFonts w:hint="eastAsia" w:ascii="宋体" w:hAnsi="宋体" w:eastAsia="宋体"/>
                <w:color w:val="auto"/>
                <w:sz w:val="15"/>
                <w:szCs w:val="15"/>
                <w:highlight w:val="none"/>
                <w:lang w:eastAsia="zh-CN"/>
              </w:rPr>
              <w:t>。</w:t>
            </w:r>
          </w:p>
        </w:tc>
        <w:tc>
          <w:tcPr>
            <w:tcW w:w="897" w:type="dxa"/>
            <w:gridSpan w:val="2"/>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spacing w:line="232" w:lineRule="exact"/>
              <w:jc w:val="center"/>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5</w:t>
            </w:r>
          </w:p>
        </w:tc>
        <w:tc>
          <w:tcPr>
            <w:tcW w:w="1830" w:type="dxa"/>
            <w:gridSpan w:val="3"/>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用户危害供电用电安全或者扰乱供电用电秩序</w:t>
            </w:r>
          </w:p>
        </w:tc>
        <w:tc>
          <w:tcPr>
            <w:tcW w:w="2789" w:type="dxa"/>
            <w:shd w:val="clear" w:color="auto" w:fill="FFFFFF"/>
            <w:noWrap w:val="0"/>
            <w:vAlign w:val="center"/>
          </w:tcPr>
          <w:p>
            <w:pPr>
              <w:spacing w:line="250"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noWrap w:val="0"/>
            <w:vAlign w:val="center"/>
          </w:tcPr>
          <w:p>
            <w:pPr>
              <w:spacing w:line="250" w:lineRule="exact"/>
              <w:rPr>
                <w:rFonts w:ascii="宋体" w:hAnsi="宋体" w:eastAsia="宋体"/>
                <w:color w:val="auto"/>
                <w:sz w:val="15"/>
                <w:szCs w:val="15"/>
                <w:highlight w:val="none"/>
              </w:rPr>
            </w:pPr>
          </w:p>
        </w:tc>
        <w:tc>
          <w:tcPr>
            <w:tcW w:w="840" w:type="dxa"/>
            <w:shd w:val="clear" w:color="auto" w:fill="FFFFFF"/>
            <w:noWrap w:val="0"/>
            <w:vAlign w:val="center"/>
          </w:tcPr>
          <w:p>
            <w:pPr>
              <w:spacing w:line="250" w:lineRule="exact"/>
              <w:jc w:val="center"/>
              <w:rPr>
                <w:rFonts w:ascii="宋体" w:hAnsi="宋体" w:eastAsia="宋体"/>
                <w:color w:val="auto"/>
                <w:sz w:val="15"/>
                <w:szCs w:val="15"/>
                <w:highlight w:val="none"/>
              </w:rPr>
            </w:pPr>
          </w:p>
        </w:tc>
        <w:tc>
          <w:tcPr>
            <w:tcW w:w="3426" w:type="dxa"/>
            <w:shd w:val="clear" w:color="auto" w:fill="FFFFFF"/>
            <w:noWrap w:val="0"/>
            <w:vAlign w:val="center"/>
          </w:tcPr>
          <w:p>
            <w:pPr>
              <w:spacing w:line="250" w:lineRule="exact"/>
              <w:rPr>
                <w:rFonts w:ascii="宋体" w:hAnsi="宋体" w:eastAsia="宋体"/>
                <w:color w:val="auto"/>
                <w:sz w:val="15"/>
                <w:szCs w:val="15"/>
                <w:highlight w:val="none"/>
              </w:rPr>
            </w:pPr>
          </w:p>
        </w:tc>
        <w:tc>
          <w:tcPr>
            <w:tcW w:w="1875" w:type="dxa"/>
            <w:gridSpan w:val="2"/>
            <w:shd w:val="clear" w:color="auto" w:fill="FFFFFF"/>
            <w:noWrap w:val="0"/>
            <w:vAlign w:val="center"/>
          </w:tcPr>
          <w:p>
            <w:pPr>
              <w:spacing w:line="250" w:lineRule="exact"/>
              <w:rPr>
                <w:rFonts w:ascii="宋体" w:hAnsi="宋体" w:eastAsia="宋体"/>
                <w:color w:val="auto"/>
                <w:sz w:val="15"/>
                <w:szCs w:val="15"/>
                <w:highlight w:val="none"/>
              </w:rPr>
            </w:pPr>
          </w:p>
        </w:tc>
        <w:tc>
          <w:tcPr>
            <w:tcW w:w="1982" w:type="dxa"/>
            <w:gridSpan w:val="2"/>
            <w:shd w:val="clear" w:color="auto" w:fill="FFFFFF"/>
            <w:noWrap w:val="0"/>
            <w:vAlign w:val="center"/>
          </w:tcPr>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按照规定执行。</w:t>
            </w:r>
          </w:p>
          <w:p>
            <w:pPr>
              <w:spacing w:line="250"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可参照《供用电监督管理办法》第</w:t>
            </w:r>
            <w:r>
              <w:rPr>
                <w:rFonts w:hint="eastAsia" w:ascii="宋体" w:hAnsi="宋体" w:eastAsia="宋体"/>
                <w:color w:val="auto"/>
                <w:sz w:val="15"/>
                <w:szCs w:val="15"/>
                <w:highlight w:val="none"/>
                <w:lang w:eastAsia="zh-CN"/>
              </w:rPr>
              <w:t>十九</w:t>
            </w:r>
            <w:r>
              <w:rPr>
                <w:rFonts w:hint="eastAsia" w:ascii="宋体" w:hAnsi="宋体" w:eastAsia="宋体"/>
                <w:color w:val="auto"/>
                <w:sz w:val="15"/>
                <w:szCs w:val="15"/>
                <w:highlight w:val="none"/>
              </w:rPr>
              <w:t>条相关规定。</w:t>
            </w:r>
          </w:p>
        </w:tc>
        <w:tc>
          <w:tcPr>
            <w:tcW w:w="897" w:type="dxa"/>
            <w:gridSpan w:val="2"/>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47" w:hRule="atLeast"/>
        </w:trPr>
        <w:tc>
          <w:tcPr>
            <w:tcW w:w="610" w:type="dxa"/>
            <w:vMerge w:val="restart"/>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6</w:t>
            </w:r>
          </w:p>
        </w:tc>
        <w:tc>
          <w:tcPr>
            <w:tcW w:w="1830" w:type="dxa"/>
            <w:gridSpan w:val="3"/>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盗窃电能</w:t>
            </w:r>
          </w:p>
        </w:tc>
        <w:tc>
          <w:tcPr>
            <w:tcW w:w="2789"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应交电费</w:t>
            </w:r>
          </w:p>
        </w:tc>
        <w:tc>
          <w:tcPr>
            <w:tcW w:w="840" w:type="dxa"/>
            <w:vMerge w:val="restart"/>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1.造成电能损失较大或者供电设施、用电计量装置等损坏的，系数2-3；2.造成电能损失严重或者供用电事故的，系数4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罚款数额＝应交电费×（1＋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罚款数额不超过应交电费五倍。</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autoSpaceDE w:val="0"/>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构成犯罪的，依法追究刑事责任。</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72" w:hRule="atLeast"/>
        </w:trPr>
        <w:tc>
          <w:tcPr>
            <w:tcW w:w="610" w:type="dxa"/>
            <w:vMerge w:val="continue"/>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p>
        </w:tc>
        <w:tc>
          <w:tcPr>
            <w:tcW w:w="1830" w:type="dxa"/>
            <w:gridSpan w:val="3"/>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2789" w:type="dxa"/>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违反条款：《电力供应与使用条例》第三十一条第（一）（二）（三）（四）（五）（六）项；处罚条款：第四十一条，责令停止违法行为，追缴电费并处应交电费</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倍以下的罚款。</w:t>
            </w:r>
          </w:p>
        </w:tc>
        <w:tc>
          <w:tcPr>
            <w:tcW w:w="851"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840" w:type="dxa"/>
            <w:vMerge w:val="continue"/>
            <w:shd w:val="clear" w:color="auto" w:fill="FFFFFF"/>
            <w:noWrap w:val="0"/>
            <w:vAlign w:val="center"/>
          </w:tcPr>
          <w:p>
            <w:pPr>
              <w:autoSpaceDE w:val="0"/>
              <w:spacing w:before="100" w:beforeAutospacing="1" w:after="100" w:afterAutospacing="1" w:line="232" w:lineRule="exact"/>
              <w:jc w:val="center"/>
              <w:rPr>
                <w:rFonts w:ascii="宋体" w:hAnsi="宋体" w:eastAsia="宋体"/>
                <w:color w:val="auto"/>
                <w:sz w:val="15"/>
                <w:szCs w:val="15"/>
                <w:highlight w:val="none"/>
              </w:rPr>
            </w:pPr>
          </w:p>
        </w:tc>
        <w:tc>
          <w:tcPr>
            <w:tcW w:w="3426" w:type="dxa"/>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875" w:type="dxa"/>
            <w:gridSpan w:val="2"/>
            <w:vMerge w:val="continue"/>
            <w:shd w:val="clear" w:color="auto" w:fill="FFFFFF"/>
            <w:noWrap w:val="0"/>
            <w:vAlign w:val="center"/>
          </w:tcPr>
          <w:p>
            <w:pPr>
              <w:autoSpaceDE w:val="0"/>
              <w:spacing w:before="100" w:beforeAutospacing="1" w:after="100" w:afterAutospacing="1" w:line="232" w:lineRule="exact"/>
              <w:jc w:val="left"/>
              <w:rPr>
                <w:rFonts w:ascii="宋体" w:hAnsi="宋体" w:eastAsia="宋体"/>
                <w:color w:val="auto"/>
                <w:sz w:val="15"/>
                <w:szCs w:val="15"/>
                <w:highlight w:val="none"/>
              </w:rPr>
            </w:pPr>
          </w:p>
        </w:tc>
        <w:tc>
          <w:tcPr>
            <w:tcW w:w="1982" w:type="dxa"/>
            <w:gridSpan w:val="2"/>
            <w:vMerge w:val="continue"/>
            <w:shd w:val="clear" w:color="auto" w:fill="FFFFFF"/>
            <w:noWrap w:val="0"/>
            <w:vAlign w:val="center"/>
          </w:tcPr>
          <w:p>
            <w:pPr>
              <w:spacing w:before="100" w:beforeAutospacing="1" w:after="100" w:afterAutospacing="1" w:line="232" w:lineRule="exact"/>
              <w:jc w:val="lef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12" w:hRule="atLeast"/>
        </w:trPr>
        <w:tc>
          <w:tcPr>
            <w:tcW w:w="15100" w:type="dxa"/>
            <w:gridSpan w:val="14"/>
            <w:shd w:val="clear" w:color="auto" w:fill="FFFFFF"/>
            <w:noWrap w:val="0"/>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宋体" w:hAnsi="宋体" w:eastAsia="宋体"/>
                <w:color w:val="auto"/>
                <w:sz w:val="15"/>
                <w:szCs w:val="15"/>
                <w:highlight w:val="none"/>
              </w:rPr>
            </w:pPr>
            <w:bookmarkStart w:id="182" w:name="_Toc110851495"/>
            <w:bookmarkStart w:id="183" w:name="_Toc409668775"/>
            <w:bookmarkStart w:id="184" w:name="_Toc1560873795"/>
            <w:r>
              <w:rPr>
                <w:rFonts w:hint="eastAsia" w:ascii="宋体" w:hAnsi="宋体" w:eastAsia="宋体"/>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0" w:hRule="atLeast"/>
        </w:trPr>
        <w:tc>
          <w:tcPr>
            <w:tcW w:w="610" w:type="dxa"/>
            <w:shd w:val="clear" w:color="auto" w:fill="FFFFFF"/>
            <w:noWrap w:val="0"/>
            <w:vAlign w:val="center"/>
          </w:tcPr>
          <w:p>
            <w:pPr>
              <w:spacing w:before="100" w:beforeAutospacing="1" w:after="100" w:afterAutospacing="1"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1</w:t>
            </w:r>
          </w:p>
        </w:tc>
        <w:tc>
          <w:tcPr>
            <w:tcW w:w="1830" w:type="dxa"/>
            <w:gridSpan w:val="3"/>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危害发电设施、变电设施</w:t>
            </w:r>
          </w:p>
        </w:tc>
        <w:tc>
          <w:tcPr>
            <w:tcW w:w="2789"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违反条款：《电力设施保护条例》第十三条第（一）（二）（三）（四）（五）项；</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w:t>
            </w: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万元以下的罚款。</w:t>
            </w:r>
          </w:p>
        </w:tc>
        <w:tc>
          <w:tcPr>
            <w:tcW w:w="851"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4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2</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危害电力线路设施</w:t>
            </w:r>
          </w:p>
        </w:tc>
        <w:tc>
          <w:tcPr>
            <w:tcW w:w="2789"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违反条款：《电力设施保护条例》第十四条第（一）（二）（三）（四）（五）（六）（七）（八）（九）（十）（十一）项；</w:t>
            </w:r>
          </w:p>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处罚条款：第二十七条，责令改正；拒不改正的，处1万元以下的罚款。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1.造成电能损失较大或者发电设施、变电设施损坏的，系数2-3；2.造成事故或者损失严重的，系数4</w:t>
            </w:r>
            <w:r>
              <w:rPr>
                <w:rFonts w:hint="eastAsia" w:ascii="宋体" w:hAnsi="宋体" w:eastAsia="宋体"/>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restart"/>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p>
            <w:pPr>
              <w:pStyle w:val="22"/>
              <w:ind w:left="0" w:leftChars="0" w:firstLine="0" w:firstLineChars="0"/>
              <w:rPr>
                <w:color w:val="auto"/>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99"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3</w:t>
            </w:r>
          </w:p>
        </w:tc>
        <w:tc>
          <w:tcPr>
            <w:tcW w:w="1830" w:type="dxa"/>
            <w:gridSpan w:val="3"/>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损坏使用中的杆塔基础</w:t>
            </w:r>
          </w:p>
        </w:tc>
        <w:tc>
          <w:tcPr>
            <w:tcW w:w="2789" w:type="dxa"/>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1.造成电能损失较大或者设施损坏的，系数2-3；2.造成事故的，系数4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43"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4</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损坏、拆卸、盗窃使用中或备用塔材、导线等电力设施</w:t>
            </w:r>
          </w:p>
        </w:tc>
        <w:tc>
          <w:tcPr>
            <w:tcW w:w="2789" w:type="dxa"/>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1.损坏、拆卸、盗窃使用中的塔材、导线等电力设施或者造成电能损失较大的，系数2-3；2.造成事故的，系数4</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vMerge w:val="continue"/>
            <w:shd w:val="clear" w:color="auto" w:fill="FFFFFF"/>
            <w:noWrap w:val="0"/>
            <w:vAlign w:val="center"/>
          </w:tcPr>
          <w:p>
            <w:pPr>
              <w:autoSpaceDE w:val="0"/>
              <w:spacing w:line="232" w:lineRule="exact"/>
              <w:rPr>
                <w:rFonts w:ascii="宋体" w:hAnsi="宋体" w:eastAsia="宋体"/>
                <w:color w:val="auto"/>
                <w:sz w:val="15"/>
                <w:szCs w:val="15"/>
                <w:highlight w:val="none"/>
              </w:rPr>
            </w:pPr>
          </w:p>
        </w:tc>
        <w:tc>
          <w:tcPr>
            <w:tcW w:w="897" w:type="dxa"/>
            <w:gridSpan w:val="2"/>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91" w:hRule="atLeast"/>
        </w:trPr>
        <w:tc>
          <w:tcPr>
            <w:tcW w:w="61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ascii="宋体" w:hAnsi="宋体" w:eastAsia="宋体"/>
                <w:color w:val="auto"/>
                <w:sz w:val="15"/>
                <w:szCs w:val="15"/>
                <w:highlight w:val="none"/>
              </w:rPr>
              <w:t>5</w:t>
            </w:r>
          </w:p>
        </w:tc>
        <w:tc>
          <w:tcPr>
            <w:tcW w:w="1830" w:type="dxa"/>
            <w:gridSpan w:val="3"/>
            <w:tcBorders>
              <w:bottom w:val="single" w:color="auto" w:sz="4" w:space="0"/>
            </w:tcBorders>
            <w:shd w:val="clear" w:color="auto" w:fill="FFFFFF"/>
            <w:noWrap w:val="0"/>
            <w:vAlign w:val="center"/>
          </w:tcPr>
          <w:p>
            <w:pPr>
              <w:spacing w:line="232" w:lineRule="exact"/>
              <w:jc w:val="left"/>
              <w:rPr>
                <w:rFonts w:ascii="宋体" w:hAnsi="宋体" w:eastAsia="宋体"/>
                <w:color w:val="auto"/>
                <w:sz w:val="15"/>
                <w:szCs w:val="15"/>
                <w:highlight w:val="none"/>
              </w:rPr>
            </w:pPr>
            <w:r>
              <w:rPr>
                <w:rFonts w:hint="eastAsia" w:ascii="宋体" w:hAnsi="宋体" w:eastAsia="宋体"/>
                <w:color w:val="auto"/>
                <w:sz w:val="15"/>
                <w:szCs w:val="15"/>
                <w:highlight w:val="none"/>
              </w:rPr>
              <w:t>拆卸、盗窃使用中或备用变压器等电力设备</w:t>
            </w:r>
          </w:p>
        </w:tc>
        <w:tc>
          <w:tcPr>
            <w:tcW w:w="2789" w:type="dxa"/>
            <w:tcBorders>
              <w:bottom w:val="single" w:color="auto" w:sz="4" w:space="0"/>
            </w:tcBorders>
            <w:shd w:val="clear" w:color="auto" w:fill="FFFFFF"/>
            <w:noWrap w:val="0"/>
            <w:vAlign w:val="center"/>
          </w:tcPr>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2000</w:t>
            </w:r>
          </w:p>
        </w:tc>
        <w:tc>
          <w:tcPr>
            <w:tcW w:w="840" w:type="dxa"/>
            <w:tcBorders>
              <w:bottom w:val="single" w:color="auto" w:sz="4" w:space="0"/>
            </w:tcBorders>
            <w:shd w:val="clear" w:color="auto" w:fill="FFFFFF"/>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1</w:t>
            </w:r>
          </w:p>
        </w:tc>
        <w:tc>
          <w:tcPr>
            <w:tcW w:w="3426" w:type="dxa"/>
            <w:tcBorders>
              <w:bottom w:val="single" w:color="auto" w:sz="4" w:space="0"/>
            </w:tcBorders>
            <w:shd w:val="clear" w:color="auto" w:fill="FFFFFF"/>
            <w:noWrap w:val="0"/>
            <w:vAlign w:val="center"/>
          </w:tcPr>
          <w:p>
            <w:pPr>
              <w:spacing w:line="232" w:lineRule="exact"/>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rPr>
              <w:t>1.拆卸、盗窃使用中变压器等电力设备或者造成电能损失较大的，系数2-3；2.造成事故的，系数4。</w:t>
            </w:r>
            <w:r>
              <w:rPr>
                <w:rFonts w:hint="eastAsia" w:ascii="宋体" w:hAnsi="宋体" w:eastAsia="宋体"/>
                <w:color w:val="auto"/>
                <w:sz w:val="15"/>
                <w:szCs w:val="15"/>
                <w:highlight w:val="none"/>
                <w:lang w:val="en-US" w:eastAsia="zh-CN"/>
              </w:rPr>
              <w:t>3</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罚款数额＝2000×（1＋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拒不改正的情形，不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autoSpaceDE w:val="0"/>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街道</w:t>
            </w:r>
          </w:p>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476" w:hRule="atLeast"/>
        </w:trPr>
        <w:tc>
          <w:tcPr>
            <w:tcW w:w="15100" w:type="dxa"/>
            <w:gridSpan w:val="14"/>
            <w:tcBorders>
              <w:bottom w:val="single" w:color="auto" w:sz="4" w:space="0"/>
            </w:tcBorders>
            <w:shd w:val="clear" w:color="auto" w:fill="FFFFFF"/>
            <w:noWrap w:val="0"/>
            <w:vAlign w:val="center"/>
          </w:tcPr>
          <w:p>
            <w:pPr>
              <w:pStyle w:val="3"/>
              <w:bidi w:val="0"/>
              <w:jc w:val="center"/>
              <w:rPr>
                <w:rFonts w:hint="default"/>
                <w:color w:val="auto"/>
                <w:highlight w:val="none"/>
                <w:lang w:val="en-US" w:eastAsia="zh-CN"/>
              </w:rPr>
            </w:pPr>
            <w:bookmarkStart w:id="185" w:name="_Toc2096517592"/>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198" w:hRule="atLeast"/>
        </w:trPr>
        <w:tc>
          <w:tcPr>
            <w:tcW w:w="610" w:type="dxa"/>
            <w:tcBorders>
              <w:bottom w:val="single" w:color="auto" w:sz="4" w:space="0"/>
            </w:tcBorders>
            <w:shd w:val="clear" w:color="auto" w:fill="FFFFFF"/>
            <w:noWrap w:val="0"/>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供电企业年供电可靠率低于国家有关规定</w:t>
            </w:r>
          </w:p>
        </w:tc>
        <w:tc>
          <w:tcPr>
            <w:tcW w:w="2789" w:type="dxa"/>
            <w:tcBorders>
              <w:bottom w:val="single" w:color="auto"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w:t>
            </w:r>
            <w:r>
              <w:rPr>
                <w:rStyle w:val="62"/>
                <w:rFonts w:hint="eastAsia" w:ascii="宋体" w:hAnsi="宋体" w:eastAsia="宋体" w:cs="宋体"/>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noWrap w:val="0"/>
            <w:vAlign w:val="center"/>
          </w:tcPr>
          <w:p>
            <w:pPr>
              <w:spacing w:line="232" w:lineRule="exact"/>
              <w:jc w:val="center"/>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s="宋体"/>
                <w:strike w:val="0"/>
                <w:dstrike w:val="0"/>
                <w:color w:val="auto"/>
                <w:sz w:val="15"/>
                <w:szCs w:val="15"/>
                <w:highlight w:val="none"/>
                <w:lang w:val="en-US" w:eastAsia="zh-CN"/>
              </w:rPr>
              <w:t>50000</w:t>
            </w:r>
          </w:p>
        </w:tc>
        <w:tc>
          <w:tcPr>
            <w:tcW w:w="840" w:type="dxa"/>
            <w:tcBorders>
              <w:bottom w:val="single" w:color="auto" w:sz="4" w:space="0"/>
            </w:tcBorders>
            <w:shd w:val="clear" w:color="auto" w:fill="FFFFFF"/>
            <w:noWrap w:val="0"/>
            <w:vAlign w:val="center"/>
          </w:tcPr>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3426" w:type="dxa"/>
            <w:tcBorders>
              <w:bottom w:val="single" w:color="auto" w:sz="4" w:space="0"/>
            </w:tcBorders>
            <w:shd w:val="clear" w:color="auto" w:fill="FFFFFF"/>
            <w:noWrap w:val="0"/>
            <w:vAlign w:val="center"/>
          </w:tcPr>
          <w:p>
            <w:pPr>
              <w:numPr>
                <w:ilvl w:val="0"/>
                <w:numId w:val="0"/>
              </w:numPr>
              <w:spacing w:line="232" w:lineRule="exact"/>
              <w:rPr>
                <w:rFonts w:hint="default" w:ascii="宋体" w:hAnsi="宋体" w:eastAsia="宋体" w:cs="宋体"/>
                <w:strike w:val="0"/>
                <w:dstrike w:val="0"/>
                <w:color w:val="auto"/>
                <w:sz w:val="15"/>
                <w:szCs w:val="15"/>
                <w:highlight w:val="none"/>
                <w:lang w:val="en-US" w:eastAsia="zh-CN"/>
              </w:rPr>
            </w:pPr>
            <w:r>
              <w:rPr>
                <w:rFonts w:hint="default" w:ascii="宋体" w:hAnsi="宋体" w:eastAsia="宋体" w:cs="宋体"/>
                <w:strike w:val="0"/>
                <w:dstrike w:val="0"/>
                <w:color w:val="auto"/>
                <w:sz w:val="15"/>
                <w:szCs w:val="15"/>
                <w:highlight w:val="none"/>
                <w:lang w:val="en-US"/>
              </w:rPr>
              <w:t>1.</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在</w:t>
            </w:r>
            <w:r>
              <w:rPr>
                <w:rFonts w:hint="eastAsia" w:ascii="宋体" w:hAnsi="宋体" w:eastAsia="宋体" w:cs="宋体"/>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宋体" w:hAnsi="宋体" w:eastAsia="宋体" w:cs="宋体"/>
                <w:strike w:val="0"/>
                <w:dstrike w:val="0"/>
                <w:color w:val="auto"/>
                <w:sz w:val="15"/>
                <w:szCs w:val="15"/>
                <w:highlight w:val="none"/>
              </w:rPr>
              <w:t>城市电网年供电可靠率</w:t>
            </w:r>
            <w:r>
              <w:rPr>
                <w:rFonts w:hint="eastAsia" w:ascii="宋体" w:hAnsi="宋体" w:eastAsia="宋体" w:cs="宋体"/>
                <w:strike w:val="0"/>
                <w:dstrike w:val="0"/>
                <w:color w:val="auto"/>
                <w:sz w:val="15"/>
                <w:szCs w:val="15"/>
                <w:highlight w:val="none"/>
                <w:lang w:eastAsia="zh-CN"/>
              </w:rPr>
              <w:t>低于</w:t>
            </w:r>
            <w:r>
              <w:rPr>
                <w:rFonts w:hint="eastAsia" w:ascii="宋体" w:hAnsi="宋体" w:eastAsia="宋体" w:cs="宋体"/>
                <w:strike w:val="0"/>
                <w:dstrike w:val="0"/>
                <w:color w:val="auto"/>
                <w:sz w:val="15"/>
                <w:szCs w:val="15"/>
                <w:highlight w:val="none"/>
                <w:lang w:val="en-US" w:eastAsia="zh-CN"/>
              </w:rPr>
              <w:t>97.2%的，系数9。</w:t>
            </w:r>
          </w:p>
          <w:p>
            <w:pPr>
              <w:spacing w:line="232" w:lineRule="exact"/>
              <w:rPr>
                <w:rFonts w:hint="default"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宋体" w:hAnsi="宋体" w:eastAsia="宋体" w:cs="宋体"/>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noWrap w:val="0"/>
            <w:vAlign w:val="center"/>
          </w:tcPr>
          <w:p>
            <w:pPr>
              <w:spacing w:line="232" w:lineRule="exact"/>
              <w:rPr>
                <w:rFonts w:hint="eastAsia" w:ascii="宋体" w:hAnsi="宋体" w:eastAsia="宋体" w:cs="宋体"/>
                <w:strike w:val="0"/>
                <w:dstrike w:val="0"/>
                <w:color w:val="auto"/>
                <w:sz w:val="15"/>
                <w:szCs w:val="15"/>
                <w:highlight w:val="none"/>
                <w:lang w:val="en-US" w:eastAsia="zh-CN"/>
              </w:rPr>
            </w:pPr>
            <w:r>
              <w:rPr>
                <w:rFonts w:hint="eastAsia" w:ascii="宋体" w:hAnsi="宋体" w:eastAsia="宋体"/>
                <w:color w:val="auto"/>
                <w:sz w:val="15"/>
                <w:szCs w:val="15"/>
                <w:highlight w:val="none"/>
              </w:rPr>
              <w:t>罚款数额＝</w:t>
            </w:r>
            <w:r>
              <w:rPr>
                <w:rFonts w:hint="eastAsia" w:ascii="宋体" w:hAnsi="宋体" w:eastAsia="宋体"/>
                <w:color w:val="auto"/>
                <w:sz w:val="15"/>
                <w:szCs w:val="15"/>
                <w:highlight w:val="none"/>
                <w:lang w:val="en-US" w:eastAsia="zh-CN"/>
              </w:rPr>
              <w:t>50000</w:t>
            </w:r>
            <w:r>
              <w:rPr>
                <w:rFonts w:hint="eastAsia" w:ascii="宋体" w:hAnsi="宋体" w:eastAsia="宋体"/>
                <w:color w:val="auto"/>
                <w:sz w:val="15"/>
                <w:szCs w:val="15"/>
                <w:highlight w:val="none"/>
              </w:rPr>
              <w:t>×（1＋</w:t>
            </w:r>
            <w:r>
              <w:rPr>
                <w:rFonts w:hint="eastAsia" w:ascii="宋体" w:hAnsi="宋体" w:eastAsia="宋体"/>
                <w:color w:val="auto"/>
                <w:sz w:val="15"/>
                <w:szCs w:val="15"/>
                <w:highlight w:val="none"/>
                <w:lang w:eastAsia="zh-CN"/>
              </w:rPr>
              <w:t>情节系数</w:t>
            </w:r>
            <w:r>
              <w:rPr>
                <w:rFonts w:hint="eastAsia" w:ascii="宋体" w:hAnsi="宋体" w:eastAsia="宋体"/>
                <w:color w:val="auto"/>
                <w:sz w:val="15"/>
                <w:szCs w:val="15"/>
                <w:highlight w:val="none"/>
              </w:rPr>
              <w:t>）</w:t>
            </w:r>
          </w:p>
        </w:tc>
        <w:tc>
          <w:tcPr>
            <w:tcW w:w="1982" w:type="dxa"/>
            <w:gridSpan w:val="2"/>
            <w:tcBorders>
              <w:bottom w:val="single" w:color="auto" w:sz="4" w:space="0"/>
            </w:tcBorders>
            <w:shd w:val="clear" w:color="auto" w:fill="FFFFFF"/>
            <w:noWrap w:val="0"/>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宋体" w:hAnsi="宋体" w:eastAsia="宋体"/>
                <w:color w:val="auto"/>
                <w:sz w:val="15"/>
                <w:szCs w:val="15"/>
                <w:highlight w:val="none"/>
              </w:rPr>
            </w:pPr>
          </w:p>
        </w:tc>
        <w:tc>
          <w:tcPr>
            <w:tcW w:w="897" w:type="dxa"/>
            <w:gridSpan w:val="2"/>
            <w:tcBorders>
              <w:bottom w:val="single" w:color="auto" w:sz="4" w:space="0"/>
            </w:tcBorders>
            <w:shd w:val="clear" w:color="auto" w:fill="FFFFFF"/>
            <w:noWrap w:val="0"/>
            <w:vAlign w:val="center"/>
          </w:tcPr>
          <w:p>
            <w:pPr>
              <w:autoSpaceDE w:val="0"/>
              <w:spacing w:line="232" w:lineRule="exact"/>
              <w:jc w:val="center"/>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4"/>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宋体" w:hAnsi="宋体" w:eastAsia="宋体"/>
                <w:b/>
                <w:strike w:val="0"/>
                <w:dstrike w:val="0"/>
                <w:color w:val="auto"/>
                <w:kern w:val="0"/>
                <w:sz w:val="21"/>
                <w:szCs w:val="21"/>
                <w:highlight w:val="none"/>
              </w:rPr>
            </w:pPr>
            <w:r>
              <w:rPr>
                <w:rFonts w:hint="eastAsia" w:ascii="宋体" w:hAnsi="宋体" w:eastAsia="宋体"/>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Pr>
        <w:tc>
          <w:tcPr>
            <w:tcW w:w="15100" w:type="dxa"/>
            <w:gridSpan w:val="14"/>
            <w:shd w:val="clear" w:color="auto" w:fill="auto"/>
            <w:noWrap w:val="0"/>
            <w:vAlign w:val="center"/>
          </w:tcPr>
          <w:p>
            <w:pPr>
              <w:pStyle w:val="3"/>
              <w:bidi w:val="0"/>
              <w:jc w:val="center"/>
              <w:rPr>
                <w:rFonts w:hint="eastAsia" w:ascii="宋体" w:hAnsi="宋体" w:eastAsia="宋体" w:cs="宋体"/>
                <w:color w:val="auto"/>
                <w:sz w:val="21"/>
                <w:szCs w:val="21"/>
                <w:highlight w:val="none"/>
              </w:rPr>
            </w:pPr>
            <w:bookmarkStart w:id="186" w:name="_Toc110851497"/>
            <w:bookmarkStart w:id="187" w:name="_Toc1490732698"/>
            <w:bookmarkStart w:id="188" w:name="_Toc1769615131"/>
            <w:r>
              <w:rPr>
                <w:rFonts w:hint="eastAsia" w:ascii="宋体" w:hAnsi="宋体" w:eastAsia="宋体" w:cs="宋体"/>
                <w:color w:val="auto"/>
                <w:sz w:val="21"/>
                <w:szCs w:val="21"/>
                <w:highlight w:val="none"/>
                <w:lang w:val="en-US" w:eastAsia="zh-CN"/>
              </w:rPr>
              <w:t>《中华人民共和国石油天然气管道保护法》</w:t>
            </w:r>
            <w:bookmarkEnd w:id="186"/>
            <w:bookmarkEnd w:id="187"/>
            <w:bookmarkStart w:id="189" w:name="_Toc63324556"/>
            <w:bookmarkStart w:id="190" w:name="_Toc110851498"/>
            <w:r>
              <w:rPr>
                <w:rFonts w:hint="eastAsia" w:ascii="宋体" w:hAnsi="宋体" w:eastAsia="宋体" w:cs="宋体"/>
                <w:color w:val="auto"/>
                <w:sz w:val="21"/>
                <w:szCs w:val="21"/>
                <w:highlight w:val="none"/>
                <w:lang w:val="en-US" w:eastAsia="zh-CN"/>
              </w:rPr>
              <w:t>案由22项</w:t>
            </w:r>
            <w:bookmarkEnd w:id="189"/>
            <w:bookmarkEnd w:id="190"/>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（注：不含东城、西城</w:t>
            </w:r>
            <w:r>
              <w:rPr>
                <w:rFonts w:hint="eastAsia" w:ascii="宋体" w:hAnsi="宋体" w:eastAsia="宋体" w:cs="宋体"/>
                <w:color w:val="auto"/>
                <w:sz w:val="21"/>
                <w:szCs w:val="21"/>
                <w:highlight w:val="none"/>
                <w:lang w:eastAsia="zh-CN"/>
              </w:rPr>
              <w:t>、朝阳</w:t>
            </w:r>
            <w:r>
              <w:rPr>
                <w:rFonts w:hint="eastAsia" w:ascii="宋体" w:hAnsi="宋体" w:eastAsia="宋体" w:cs="宋体"/>
                <w:color w:val="auto"/>
                <w:sz w:val="21"/>
                <w:szCs w:val="21"/>
                <w:highlight w:val="none"/>
              </w:rPr>
              <w:t>、天安门</w:t>
            </w:r>
            <w:r>
              <w:rPr>
                <w:rFonts w:hint="eastAsia" w:ascii="宋体" w:hAnsi="宋体" w:eastAsia="宋体" w:cs="宋体"/>
                <w:color w:val="auto"/>
                <w:sz w:val="21"/>
                <w:szCs w:val="21"/>
                <w:highlight w:val="none"/>
                <w:lang w:eastAsia="zh-CN"/>
              </w:rPr>
              <w:t>、重点站区</w:t>
            </w:r>
            <w:r>
              <w:rPr>
                <w:rFonts w:hint="eastAsia" w:ascii="宋体" w:hAnsi="宋体" w:eastAsia="宋体" w:cs="宋体"/>
                <w:color w:val="auto"/>
                <w:sz w:val="21"/>
                <w:szCs w:val="21"/>
                <w:highlight w:val="none"/>
              </w:rPr>
              <w:t>）</w:t>
            </w:r>
            <w:bookmarkEnd w:id="18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891" w:hRule="atLeast"/>
        </w:trPr>
        <w:tc>
          <w:tcPr>
            <w:tcW w:w="610" w:type="dxa"/>
            <w:shd w:val="clear" w:color="auto" w:fill="FFFFFF"/>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1830" w:type="dxa"/>
            <w:gridSpan w:val="3"/>
            <w:shd w:val="clear" w:color="auto" w:fill="FFFFFF"/>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未依法对管道进行巡护、检测和维修</w:t>
            </w:r>
          </w:p>
        </w:tc>
        <w:tc>
          <w:tcPr>
            <w:tcW w:w="2789" w:type="dxa"/>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20000</w:t>
            </w:r>
          </w:p>
        </w:tc>
        <w:tc>
          <w:tcPr>
            <w:tcW w:w="840" w:type="dxa"/>
            <w:shd w:val="clear" w:color="auto" w:fill="auto"/>
            <w:noWrap w:val="0"/>
            <w:vAlign w:val="center"/>
          </w:tcPr>
          <w:p>
            <w:pPr>
              <w:spacing w:line="232" w:lineRule="exact"/>
              <w:jc w:val="center"/>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1</w:t>
            </w:r>
          </w:p>
        </w:tc>
        <w:tc>
          <w:tcPr>
            <w:tcW w:w="3426" w:type="dxa"/>
            <w:shd w:val="clear" w:color="auto" w:fill="auto"/>
            <w:noWrap w:val="0"/>
            <w:vAlign w:val="center"/>
          </w:tcPr>
          <w:p>
            <w:pPr>
              <w:spacing w:line="232" w:lineRule="exact"/>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ascii="宋体" w:hAnsi="宋体" w:eastAsia="宋体" w:cs="宋体"/>
                <w:strike w:val="0"/>
                <w:dstrike w:val="0"/>
                <w:color w:val="auto"/>
                <w:kern w:val="0"/>
                <w:sz w:val="15"/>
                <w:szCs w:val="15"/>
                <w:highlight w:val="none"/>
                <w:lang w:eastAsia="zh-CN"/>
              </w:rPr>
              <w:t>其他</w:t>
            </w:r>
            <w:r>
              <w:rPr>
                <w:rFonts w:hint="eastAsia" w:ascii="宋体" w:hAnsi="宋体" w:eastAsia="宋体" w:cs="宋体"/>
                <w:strike w:val="0"/>
                <w:dstrike w:val="0"/>
                <w:color w:val="auto"/>
                <w:kern w:val="0"/>
                <w:sz w:val="15"/>
                <w:szCs w:val="15"/>
                <w:highlight w:val="none"/>
              </w:rPr>
              <w:t>严重后果的，系数4</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noWrap w:val="0"/>
            <w:vAlign w:val="center"/>
          </w:tcPr>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cs="宋体"/>
                <w:strike w:val="0"/>
                <w:dstrike w:val="0"/>
                <w:color w:val="auto"/>
                <w:kern w:val="0"/>
                <w:sz w:val="15"/>
                <w:szCs w:val="15"/>
                <w:highlight w:val="none"/>
              </w:rPr>
              <w:t>罚款数额＝20000×（1＋</w:t>
            </w:r>
            <w:r>
              <w:rPr>
                <w:rFonts w:hint="eastAsia" w:ascii="宋体" w:hAnsi="宋体" w:eastAsia="宋体" w:cs="宋体"/>
                <w:strike w:val="0"/>
                <w:dstrike w:val="0"/>
                <w:color w:val="auto"/>
                <w:kern w:val="0"/>
                <w:sz w:val="15"/>
                <w:szCs w:val="15"/>
                <w:highlight w:val="none"/>
                <w:lang w:eastAsia="zh-CN"/>
              </w:rPr>
              <w:t>情节</w:t>
            </w:r>
            <w:r>
              <w:rPr>
                <w:rFonts w:hint="eastAsia" w:ascii="宋体" w:hAnsi="宋体" w:eastAsia="宋体" w:cs="宋体"/>
                <w:strike w:val="0"/>
                <w:dstrike w:val="0"/>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32" w:lineRule="exact"/>
              <w:rPr>
                <w:rFonts w:ascii="宋体" w:hAnsi="宋体" w:eastAsia="宋体" w:cs="宋体"/>
                <w:strike w:val="0"/>
                <w:dstrike w:val="0"/>
                <w:color w:val="auto"/>
                <w:kern w:val="0"/>
                <w:sz w:val="15"/>
                <w:szCs w:val="15"/>
                <w:highlight w:val="none"/>
              </w:rPr>
            </w:pPr>
            <w:r>
              <w:rPr>
                <w:rFonts w:hint="eastAsia" w:ascii="宋体" w:hAnsi="宋体" w:eastAsia="宋体"/>
                <w:strike w:val="0"/>
                <w:dstrike w:val="0"/>
                <w:color w:val="auto"/>
                <w:sz w:val="15"/>
                <w:szCs w:val="15"/>
                <w:highlight w:val="none"/>
              </w:rPr>
              <w:t>需要作出</w:t>
            </w:r>
            <w:r>
              <w:rPr>
                <w:rFonts w:hint="eastAsia" w:ascii="宋体" w:hAnsi="宋体" w:eastAsia="宋体"/>
                <w:strike w:val="0"/>
                <w:dstrike w:val="0"/>
                <w:color w:val="auto"/>
                <w:sz w:val="15"/>
                <w:szCs w:val="15"/>
                <w:highlight w:val="none"/>
                <w:lang w:eastAsia="zh-CN"/>
              </w:rPr>
              <w:t>其他</w:t>
            </w:r>
            <w:r>
              <w:rPr>
                <w:rFonts w:hint="eastAsia" w:ascii="宋体" w:hAnsi="宋体" w:eastAsia="宋体"/>
                <w:strike w:val="0"/>
                <w:dstrike w:val="0"/>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市级</w:t>
            </w:r>
          </w:p>
          <w:p>
            <w:pPr>
              <w:spacing w:line="232" w:lineRule="exact"/>
              <w:jc w:val="center"/>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2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不符合安全使用条件的管道未及时更新、改造或者停止使用</w:t>
            </w:r>
          </w:p>
        </w:tc>
        <w:tc>
          <w:tcPr>
            <w:tcW w:w="2789"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1.未采取任何措施继续使用，存在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的，系数2-3；2.造成事故或者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3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未按规定设置、修复或者更新管道标志</w:t>
            </w:r>
          </w:p>
        </w:tc>
        <w:tc>
          <w:tcPr>
            <w:tcW w:w="2789"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spacing w:val="-3"/>
                <w:kern w:val="0"/>
                <w:sz w:val="15"/>
                <w:szCs w:val="15"/>
                <w:highlight w:val="none"/>
                <w:lang w:eastAsia="zh-CN"/>
              </w:rPr>
            </w:pPr>
            <w:r>
              <w:rPr>
                <w:rFonts w:hint="eastAsia" w:ascii="宋体" w:hAnsi="宋体" w:eastAsia="宋体" w:cs="宋体"/>
                <w:color w:val="auto"/>
                <w:spacing w:val="-3"/>
                <w:kern w:val="0"/>
                <w:sz w:val="15"/>
                <w:szCs w:val="15"/>
                <w:highlight w:val="none"/>
              </w:rPr>
              <w:t>1.未依法设置或者未修复更新，</w:t>
            </w:r>
            <w:r>
              <w:rPr>
                <w:rFonts w:hint="eastAsia" w:ascii="宋体" w:hAnsi="宋体" w:eastAsia="宋体" w:cs="宋体"/>
                <w:color w:val="auto"/>
                <w:kern w:val="0"/>
                <w:sz w:val="15"/>
                <w:szCs w:val="15"/>
                <w:highlight w:val="none"/>
              </w:rPr>
              <w:t>存在</w:t>
            </w:r>
            <w:r>
              <w:rPr>
                <w:rFonts w:hint="eastAsia" w:ascii="宋体" w:hAnsi="宋体" w:eastAsia="宋体" w:cs="宋体"/>
                <w:color w:val="auto"/>
                <w:kern w:val="0"/>
                <w:sz w:val="15"/>
                <w:szCs w:val="15"/>
                <w:highlight w:val="none"/>
                <w:lang w:eastAsia="zh-CN"/>
              </w:rPr>
              <w:t>安全隐患</w:t>
            </w:r>
            <w:r>
              <w:rPr>
                <w:rFonts w:hint="eastAsia" w:ascii="宋体" w:hAnsi="宋体" w:eastAsia="宋体" w:cs="宋体"/>
                <w:color w:val="auto"/>
                <w:kern w:val="0"/>
                <w:sz w:val="15"/>
                <w:szCs w:val="15"/>
                <w:highlight w:val="none"/>
              </w:rPr>
              <w:t>的</w:t>
            </w:r>
            <w:r>
              <w:rPr>
                <w:rFonts w:hint="eastAsia" w:ascii="宋体" w:hAnsi="宋体" w:eastAsia="宋体" w:cs="宋体"/>
                <w:color w:val="auto"/>
                <w:spacing w:val="-3"/>
                <w:kern w:val="0"/>
                <w:sz w:val="15"/>
                <w:szCs w:val="15"/>
                <w:highlight w:val="none"/>
              </w:rPr>
              <w:t>，系数1-3；2.造成事故或者</w:t>
            </w:r>
            <w:r>
              <w:rPr>
                <w:rFonts w:hint="eastAsia" w:ascii="宋体" w:hAnsi="宋体" w:eastAsia="宋体" w:cs="宋体"/>
                <w:color w:val="auto"/>
                <w:spacing w:val="-3"/>
                <w:kern w:val="0"/>
                <w:sz w:val="15"/>
                <w:szCs w:val="15"/>
                <w:highlight w:val="none"/>
                <w:lang w:eastAsia="zh-CN"/>
              </w:rPr>
              <w:t>其他</w:t>
            </w:r>
            <w:r>
              <w:rPr>
                <w:rFonts w:hint="eastAsia" w:ascii="宋体" w:hAnsi="宋体" w:eastAsia="宋体" w:cs="宋体"/>
                <w:color w:val="auto"/>
                <w:spacing w:val="-3"/>
                <w:kern w:val="0"/>
                <w:sz w:val="15"/>
                <w:szCs w:val="15"/>
                <w:highlight w:val="none"/>
              </w:rPr>
              <w:t>严重后果的，系数4</w:t>
            </w:r>
            <w:r>
              <w:rPr>
                <w:rFonts w:hint="eastAsia" w:ascii="宋体" w:hAnsi="宋体" w:eastAsia="宋体" w:cs="宋体"/>
                <w:color w:val="auto"/>
                <w:spacing w:val="-3"/>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355"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未按规定将管道竣工测量图报送备案</w:t>
            </w:r>
          </w:p>
        </w:tc>
        <w:tc>
          <w:tcPr>
            <w:tcW w:w="2789"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1.未报送备案，逾期6-10日，系数1，逾期11-15日，系数2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日，系数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逾期</w:t>
            </w:r>
            <w:r>
              <w:rPr>
                <w:rFonts w:hint="eastAsia" w:ascii="宋体" w:hAnsi="宋体" w:eastAsia="宋体" w:cs="宋体"/>
                <w:color w:val="auto"/>
                <w:kern w:val="0"/>
                <w:sz w:val="15"/>
                <w:szCs w:val="15"/>
                <w:highlight w:val="none"/>
                <w:lang w:val="en-US" w:eastAsia="zh-CN"/>
              </w:rPr>
              <w:t>21日及以上的</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0" w:hRule="atLeast"/>
        </w:trPr>
        <w:tc>
          <w:tcPr>
            <w:tcW w:w="610" w:type="dxa"/>
            <w:shd w:val="clear" w:color="auto" w:fill="FFFFFF"/>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30" w:type="dxa"/>
            <w:gridSpan w:val="3"/>
            <w:shd w:val="clear" w:color="auto" w:fill="FFFFFF"/>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未制定管道事故应急预案或者未将应急预案报送备案</w:t>
            </w:r>
          </w:p>
        </w:tc>
        <w:tc>
          <w:tcPr>
            <w:tcW w:w="2789" w:type="dxa"/>
            <w:shd w:val="clear" w:color="auto" w:fill="auto"/>
            <w:noWrap w:val="0"/>
            <w:vAlign w:val="center"/>
          </w:tcPr>
          <w:p>
            <w:pPr>
              <w:spacing w:line="240" w:lineRule="exact"/>
              <w:rPr>
                <w:rFonts w:ascii="宋体" w:hAnsi="宋体" w:eastAsia="宋体" w:cs="宋体"/>
                <w:color w:val="auto"/>
                <w:spacing w:val="-4"/>
                <w:kern w:val="0"/>
                <w:sz w:val="15"/>
                <w:szCs w:val="15"/>
                <w:highlight w:val="none"/>
              </w:rPr>
            </w:pPr>
            <w:r>
              <w:rPr>
                <w:rFonts w:hint="eastAsia" w:ascii="宋体" w:hAnsi="宋体" w:eastAsia="宋体" w:cs="宋体"/>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24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240"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1.未制定预案的，系数2；2.造成事故或者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24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24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4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4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5"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未采取有效措施消除或者减轻管道事故危害</w:t>
            </w:r>
          </w:p>
        </w:tc>
        <w:tc>
          <w:tcPr>
            <w:tcW w:w="2789"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1.启动应急预案迟缓的，系数2；2.措施明显失当的，</w:t>
            </w:r>
            <w:r>
              <w:rPr>
                <w:rFonts w:hint="eastAsia" w:ascii="宋体" w:hAnsi="宋体" w:eastAsia="宋体" w:cs="宋体"/>
                <w:color w:val="auto"/>
                <w:kern w:val="0"/>
                <w:sz w:val="15"/>
                <w:szCs w:val="15"/>
                <w:highlight w:val="none"/>
                <w:lang w:val="en-US" w:eastAsia="zh-CN"/>
              </w:rPr>
              <w:t>系数3</w:t>
            </w:r>
            <w:r>
              <w:rPr>
                <w:rFonts w:hint="eastAsia" w:ascii="宋体" w:hAnsi="宋体" w:eastAsia="宋体" w:cs="宋体"/>
                <w:color w:val="auto"/>
                <w:kern w:val="0"/>
                <w:sz w:val="15"/>
                <w:szCs w:val="15"/>
                <w:highlight w:val="none"/>
              </w:rPr>
              <w:t>；3.造成事故危害扩大的，系数4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70" w:hRule="atLeast"/>
        </w:trPr>
        <w:tc>
          <w:tcPr>
            <w:tcW w:w="610" w:type="dxa"/>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30" w:type="dxa"/>
            <w:gridSpan w:val="3"/>
            <w:shd w:val="clear" w:color="auto" w:fill="FFFFFF"/>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未对停止运行、封存、报废的管道采取必要的安全防护措施</w:t>
            </w:r>
          </w:p>
        </w:tc>
        <w:tc>
          <w:tcPr>
            <w:tcW w:w="2789"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p>
        </w:tc>
        <w:tc>
          <w:tcPr>
            <w:tcW w:w="840" w:type="dxa"/>
            <w:shd w:val="clear" w:color="auto" w:fill="auto"/>
            <w:noWrap w:val="0"/>
            <w:vAlign w:val="center"/>
          </w:tcPr>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1.未采取任何安全防护措施的，系数2；2.致使事故或者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逾期不改正的情形，不</w:t>
            </w:r>
            <w:r>
              <w:rPr>
                <w:rFonts w:hint="eastAsia" w:ascii="宋体" w:hAnsi="宋体" w:eastAsia="宋体"/>
                <w:strike w:val="0"/>
                <w:dstrike w:val="0"/>
                <w:color w:val="auto"/>
                <w:sz w:val="15"/>
                <w:szCs w:val="15"/>
                <w:highlight w:val="none"/>
                <w:lang w:eastAsia="zh-CN"/>
              </w:rPr>
              <w:t>计入情节系数</w:t>
            </w:r>
            <w:r>
              <w:rPr>
                <w:rFonts w:hint="eastAsia" w:ascii="宋体" w:hAnsi="宋体" w:eastAsia="宋体"/>
                <w:strike w:val="0"/>
                <w:dstrike w:val="0"/>
                <w:color w:val="auto"/>
                <w:sz w:val="15"/>
                <w:szCs w:val="15"/>
                <w:highlight w:val="none"/>
              </w:rPr>
              <w:t>。</w:t>
            </w:r>
          </w:p>
          <w:p>
            <w:pPr>
              <w:spacing w:line="190"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需要作出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额度处罚的，报案审会讨论决定。</w:t>
            </w:r>
          </w:p>
        </w:tc>
        <w:tc>
          <w:tcPr>
            <w:tcW w:w="897" w:type="dxa"/>
            <w:gridSpan w:val="2"/>
            <w:shd w:val="clear" w:color="auto" w:fill="auto"/>
            <w:noWrap w:val="0"/>
            <w:vAlign w:val="center"/>
          </w:tcPr>
          <w:p>
            <w:pPr>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77"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30" w:type="dxa"/>
            <w:gridSpan w:val="3"/>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190" w:lineRule="exact"/>
              <w:ind w:left="15"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p>
            <w:pPr>
              <w:autoSpaceDE w:val="0"/>
              <w:spacing w:line="190" w:lineRule="exact"/>
              <w:rPr>
                <w:rFonts w:ascii="宋体" w:hAnsi="宋体" w:eastAsia="宋体" w:cs="宋体"/>
                <w:color w:val="auto"/>
                <w:kern w:val="0"/>
                <w:sz w:val="15"/>
                <w:szCs w:val="15"/>
                <w:highlight w:val="none"/>
              </w:rPr>
            </w:pP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shd w:val="clear" w:color="auto" w:fill="auto"/>
            <w:noWrap w:val="0"/>
            <w:vAlign w:val="center"/>
          </w:tcPr>
          <w:p>
            <w:pPr>
              <w:pStyle w:val="20"/>
              <w:widowControl w:val="0"/>
              <w:shd w:val="clear" w:color="auto" w:fill="FFFFFF"/>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11"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30" w:type="dxa"/>
            <w:gridSpan w:val="3"/>
            <w:vMerge w:val="restart"/>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在管道线路中心线两侧各五米地域范围内种植可能损坏管道防腐层的深根植物</w:t>
            </w:r>
          </w:p>
        </w:tc>
        <w:tc>
          <w:tcPr>
            <w:tcW w:w="2789"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s="宋体"/>
                <w:color w:val="auto"/>
                <w:kern w:val="0"/>
                <w:sz w:val="15"/>
                <w:szCs w:val="15"/>
                <w:highlight w:val="none"/>
              </w:rPr>
            </w:pPr>
          </w:p>
        </w:tc>
        <w:tc>
          <w:tcPr>
            <w:tcW w:w="2789"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39" w:hRule="atLeast"/>
        </w:trPr>
        <w:tc>
          <w:tcPr>
            <w:tcW w:w="610" w:type="dxa"/>
            <w:vMerge w:val="restart"/>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在管道线路中心线两侧各五米地域范围内取土、采石、用火、堆放重物、排放腐蚀性物质、使用机械工具进行挖掘施工</w:t>
            </w:r>
          </w:p>
        </w:tc>
        <w:tc>
          <w:tcPr>
            <w:tcW w:w="2789" w:type="dxa"/>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vMerge w:val="restart"/>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0" w:hRule="atLeast"/>
        </w:trPr>
        <w:tc>
          <w:tcPr>
            <w:tcW w:w="610" w:type="dxa"/>
            <w:vMerge w:val="continue"/>
            <w:shd w:val="clear" w:color="auto" w:fill="FFFFFF"/>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2789" w:type="dxa"/>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spacing w:line="232" w:lineRule="exact"/>
              <w:rPr>
                <w:rFonts w:ascii="宋体" w:hAnsi="宋体" w:eastAsia="宋体"/>
                <w:color w:val="auto"/>
                <w:sz w:val="15"/>
                <w:szCs w:val="15"/>
                <w:highlight w:val="none"/>
              </w:rPr>
            </w:pPr>
          </w:p>
        </w:tc>
        <w:tc>
          <w:tcPr>
            <w:tcW w:w="897" w:type="dxa"/>
            <w:gridSpan w:val="2"/>
            <w:vMerge w:val="continue"/>
            <w:shd w:val="clear" w:color="auto" w:fill="auto"/>
            <w:noWrap w:val="0"/>
            <w:vAlign w:val="center"/>
          </w:tcPr>
          <w:p>
            <w:pPr>
              <w:spacing w:line="232" w:lineRule="exact"/>
              <w:jc w:val="center"/>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8"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30" w:type="dxa"/>
            <w:gridSpan w:val="3"/>
            <w:vMerge w:val="restart"/>
            <w:shd w:val="clear" w:color="auto" w:fill="auto"/>
            <w:noWrap w:val="0"/>
            <w:vAlign w:val="center"/>
          </w:tcPr>
          <w:p>
            <w:pPr>
              <w:spacing w:line="232" w:lineRule="exact"/>
              <w:rPr>
                <w:rFonts w:ascii="宋体" w:hAnsi="宋体" w:eastAsia="宋体"/>
                <w:color w:val="auto"/>
                <w:sz w:val="15"/>
                <w:szCs w:val="15"/>
                <w:highlight w:val="none"/>
              </w:rPr>
            </w:pPr>
            <w:r>
              <w:rPr>
                <w:rFonts w:hint="eastAsia" w:ascii="宋体" w:hAnsi="宋体" w:eastAsia="宋体"/>
                <w:color w:val="auto"/>
                <w:sz w:val="15"/>
                <w:szCs w:val="15"/>
                <w:highlight w:val="none"/>
              </w:rPr>
              <w:t>在管道线路中心线两侧各五米地域范围内挖塘、修渠、修晒场、修建水产养殖场、建温室、建家畜棚圈、建房以及修建</w:t>
            </w:r>
            <w:r>
              <w:rPr>
                <w:rFonts w:hint="eastAsia" w:ascii="宋体" w:hAnsi="宋体" w:eastAsia="宋体"/>
                <w:color w:val="auto"/>
                <w:sz w:val="15"/>
                <w:szCs w:val="15"/>
                <w:highlight w:val="none"/>
                <w:lang w:eastAsia="zh-CN"/>
              </w:rPr>
              <w:t>其他</w:t>
            </w:r>
            <w:r>
              <w:rPr>
                <w:rFonts w:hint="eastAsia" w:ascii="宋体" w:hAnsi="宋体" w:eastAsia="宋体"/>
                <w:color w:val="auto"/>
                <w:sz w:val="15"/>
                <w:szCs w:val="15"/>
                <w:highlight w:val="none"/>
              </w:rPr>
              <w:t>建筑物、构筑物</w:t>
            </w:r>
          </w:p>
        </w:tc>
        <w:tc>
          <w:tcPr>
            <w:tcW w:w="2789"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80"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967"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在穿越河流的管道线路中心线两侧各五百米地域范围内抛锚、拖锚、挖砂、挖泥、采石、水下爆破</w:t>
            </w:r>
          </w:p>
        </w:tc>
        <w:tc>
          <w:tcPr>
            <w:tcW w:w="2789"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52"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vMerge w:val="continue"/>
            <w:shd w:val="clear" w:color="auto" w:fill="auto"/>
            <w:noWrap w:val="0"/>
            <w:vAlign w:val="center"/>
          </w:tcPr>
          <w:p>
            <w:pPr>
              <w:pStyle w:val="20"/>
              <w:widowControl w:val="0"/>
              <w:shd w:val="clear" w:color="auto" w:fill="FFFFFF"/>
              <w:autoSpaceDE w:val="0"/>
              <w:spacing w:before="0" w:beforeAutospacing="0" w:after="0" w:afterAutospacing="0" w:line="232" w:lineRule="exact"/>
              <w:rPr>
                <w:rFonts w:ascii="宋体" w:hAnsi="宋体" w:eastAsia="宋体"/>
                <w:color w:val="auto"/>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ind w:leftChars="-7" w:hanging="15" w:hangingChars="10"/>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13" w:hRule="atLeast"/>
        </w:trPr>
        <w:tc>
          <w:tcPr>
            <w:tcW w:w="610" w:type="dxa"/>
            <w:vMerge w:val="restart"/>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30" w:type="dxa"/>
            <w:gridSpan w:val="3"/>
            <w:vMerge w:val="restart"/>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在管道专用隧道中心线两侧各一千米地域范围内采石、采矿、爆破</w:t>
            </w:r>
          </w:p>
        </w:tc>
        <w:tc>
          <w:tcPr>
            <w:tcW w:w="2789" w:type="dxa"/>
            <w:vMerge w:val="restart"/>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w:t>
            </w:r>
          </w:p>
          <w:p>
            <w:pPr>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单位</w:t>
            </w:r>
          </w:p>
        </w:tc>
        <w:tc>
          <w:tcPr>
            <w:tcW w:w="840" w:type="dxa"/>
            <w:vMerge w:val="restart"/>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vMerge w:val="restart"/>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1.存在安全隐患的，系数0-4。2.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restart"/>
            <w:shd w:val="clear" w:color="auto" w:fill="auto"/>
            <w:noWrap w:val="0"/>
            <w:vAlign w:val="center"/>
          </w:tcPr>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对单位需要作出其它额度处罚的，报案审会讨论决定；</w:t>
            </w:r>
          </w:p>
          <w:p>
            <w:pPr>
              <w:autoSpaceDE w:val="0"/>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对个人需要作出其它额度处罚的，由执法人员说明情况并记录在案。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96" w:hRule="atLeast"/>
        </w:trPr>
        <w:tc>
          <w:tcPr>
            <w:tcW w:w="610" w:type="dxa"/>
            <w:vMerge w:val="continue"/>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p>
        </w:tc>
        <w:tc>
          <w:tcPr>
            <w:tcW w:w="2789"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51" w:type="dxa"/>
            <w:shd w:val="clear" w:color="auto" w:fill="auto"/>
            <w:noWrap w:val="0"/>
            <w:vAlign w:val="center"/>
          </w:tcPr>
          <w:p>
            <w:pPr>
              <w:spacing w:line="190"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200</w:t>
            </w:r>
          </w:p>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个人</w:t>
            </w:r>
          </w:p>
        </w:tc>
        <w:tc>
          <w:tcPr>
            <w:tcW w:w="840" w:type="dxa"/>
            <w:vMerge w:val="continue"/>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p>
        </w:tc>
        <w:tc>
          <w:tcPr>
            <w:tcW w:w="3426" w:type="dxa"/>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1875" w:type="dxa"/>
            <w:gridSpan w:val="2"/>
            <w:shd w:val="clear" w:color="auto" w:fill="auto"/>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vMerge w:val="continue"/>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583"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ind w:leftChars="-7" w:hanging="15" w:hangingChars="10"/>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拒不停止或不改正的，视为“情节较重”。</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额度处罚的，报案审会讨论决定。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2035" w:hRule="atLeast"/>
        </w:trPr>
        <w:tc>
          <w:tcPr>
            <w:tcW w:w="610" w:type="dxa"/>
            <w:tcBorders>
              <w:bottom w:val="single" w:color="auto" w:sz="4" w:space="0"/>
            </w:tcBorders>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30" w:type="dxa"/>
            <w:gridSpan w:val="3"/>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bottom w:val="single" w:color="auto" w:sz="4" w:space="0"/>
            </w:tcBorders>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2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未经批准进行穿跨越管道的施工作业</w:t>
            </w:r>
          </w:p>
        </w:tc>
        <w:tc>
          <w:tcPr>
            <w:tcW w:w="2789"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48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30" w:type="dxa"/>
            <w:gridSpan w:val="3"/>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较</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0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擅自开启、关闭管道阀门</w:t>
            </w:r>
          </w:p>
        </w:tc>
        <w:tc>
          <w:tcPr>
            <w:tcW w:w="2789"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289"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30" w:type="dxa"/>
            <w:gridSpan w:val="3"/>
            <w:shd w:val="clear" w:color="auto" w:fill="FFFFFF"/>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移动、毁损、涂改管道标志</w:t>
            </w:r>
          </w:p>
        </w:tc>
        <w:tc>
          <w:tcPr>
            <w:tcW w:w="2789"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w:t>
            </w:r>
          </w:p>
          <w:p>
            <w:pPr>
              <w:autoSpaceDE w:val="0"/>
              <w:spacing w:line="232"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232"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157"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在埋地管道上方巡查便道上行驶重型车辆</w:t>
            </w:r>
          </w:p>
        </w:tc>
        <w:tc>
          <w:tcPr>
            <w:tcW w:w="2789"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56"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在地面管道线路、架空管道线路和管桥上行走或者放置重物</w:t>
            </w:r>
          </w:p>
        </w:tc>
        <w:tc>
          <w:tcPr>
            <w:tcW w:w="2789"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888" w:hRule="atLeast"/>
        </w:trPr>
        <w:tc>
          <w:tcPr>
            <w:tcW w:w="610" w:type="dxa"/>
            <w:shd w:val="clear" w:color="auto" w:fill="FFFFFF"/>
            <w:noWrap w:val="0"/>
            <w:vAlign w:val="center"/>
          </w:tcPr>
          <w:p>
            <w:pPr>
              <w:autoSpaceDE w:val="0"/>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30" w:type="dxa"/>
            <w:gridSpan w:val="3"/>
            <w:shd w:val="clear" w:color="auto" w:fill="FFFFFF"/>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阻碍依法进行的管道建设</w:t>
            </w:r>
          </w:p>
        </w:tc>
        <w:tc>
          <w:tcPr>
            <w:tcW w:w="2789" w:type="dxa"/>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w:t>
            </w:r>
          </w:p>
        </w:tc>
        <w:tc>
          <w:tcPr>
            <w:tcW w:w="840" w:type="dxa"/>
            <w:shd w:val="clear" w:color="auto" w:fill="auto"/>
            <w:noWrap w:val="0"/>
            <w:vAlign w:val="center"/>
          </w:tcPr>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shd w:val="clear" w:color="auto" w:fill="auto"/>
            <w:noWrap w:val="0"/>
            <w:vAlign w:val="center"/>
          </w:tcPr>
          <w:p>
            <w:pPr>
              <w:autoSpaceDE w:val="0"/>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1.存在安全隐患的，系数0-2；2.</w:t>
            </w:r>
            <w:r>
              <w:rPr>
                <w:rFonts w:hint="eastAsia" w:ascii="宋体" w:hAnsi="宋体" w:eastAsia="宋体" w:cs="宋体"/>
                <w:color w:val="auto"/>
                <w:kern w:val="0"/>
                <w:sz w:val="15"/>
                <w:szCs w:val="15"/>
                <w:highlight w:val="none"/>
              </w:rPr>
              <w:t>造成事故或者</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严重后果的，系数</w:t>
            </w:r>
            <w:r>
              <w:rPr>
                <w:rFonts w:hint="eastAsia" w:ascii="宋体" w:hAnsi="宋体" w:eastAsia="宋体" w:cs="宋体"/>
                <w:color w:val="auto"/>
                <w:kern w:val="0"/>
                <w:sz w:val="15"/>
                <w:szCs w:val="15"/>
                <w:highlight w:val="none"/>
                <w:lang w:val="en-US" w:eastAsia="zh-CN"/>
              </w:rPr>
              <w:t>3-4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罚款数额＝200×（1＋</w:t>
            </w:r>
            <w:r>
              <w:rPr>
                <w:rFonts w:hint="eastAsia" w:ascii="宋体" w:hAnsi="宋体" w:eastAsia="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shd w:val="clear" w:color="auto" w:fill="auto"/>
            <w:noWrap w:val="0"/>
            <w:vAlign w:val="center"/>
          </w:tcPr>
          <w:p>
            <w:pPr>
              <w:autoSpaceDE w:val="0"/>
              <w:spacing w:line="19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拒不停止</w:t>
            </w:r>
            <w:r>
              <w:rPr>
                <w:rFonts w:ascii="宋体" w:hAnsi="宋体" w:eastAsia="宋体" w:cs="宋体"/>
                <w:color w:val="auto"/>
                <w:kern w:val="0"/>
                <w:sz w:val="15"/>
                <w:szCs w:val="15"/>
                <w:highlight w:val="none"/>
              </w:rPr>
              <w:t>或</w:t>
            </w:r>
            <w:r>
              <w:rPr>
                <w:rFonts w:hint="eastAsia" w:ascii="宋体" w:hAnsi="宋体" w:eastAsia="宋体" w:cs="宋体"/>
                <w:color w:val="auto"/>
                <w:kern w:val="0"/>
                <w:sz w:val="15"/>
                <w:szCs w:val="15"/>
                <w:highlight w:val="none"/>
              </w:rPr>
              <w:t>不</w:t>
            </w:r>
            <w:r>
              <w:rPr>
                <w:rFonts w:ascii="宋体" w:hAnsi="宋体" w:eastAsia="宋体" w:cs="宋体"/>
                <w:color w:val="auto"/>
                <w:kern w:val="0"/>
                <w:sz w:val="15"/>
                <w:szCs w:val="15"/>
                <w:highlight w:val="none"/>
              </w:rPr>
              <w:t>改正的，视为</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情节</w:t>
            </w:r>
            <w:r>
              <w:rPr>
                <w:rFonts w:hint="eastAsia" w:ascii="宋体" w:hAnsi="宋体" w:eastAsia="宋体" w:cs="宋体"/>
                <w:color w:val="auto"/>
                <w:kern w:val="0"/>
                <w:sz w:val="15"/>
                <w:szCs w:val="15"/>
                <w:highlight w:val="none"/>
              </w:rPr>
              <w:t>严</w:t>
            </w:r>
            <w:r>
              <w:rPr>
                <w:rFonts w:ascii="宋体" w:hAnsi="宋体" w:eastAsia="宋体" w:cs="宋体"/>
                <w:color w:val="auto"/>
                <w:kern w:val="0"/>
                <w:sz w:val="15"/>
                <w:szCs w:val="15"/>
                <w:highlight w:val="none"/>
              </w:rPr>
              <w:t>重</w:t>
            </w:r>
            <w:r>
              <w:rPr>
                <w:rFonts w:hint="eastAsia" w:ascii="宋体" w:hAnsi="宋体" w:eastAsia="宋体" w:cs="宋体"/>
                <w:color w:val="auto"/>
                <w:kern w:val="0"/>
                <w:sz w:val="15"/>
                <w:szCs w:val="15"/>
                <w:highlight w:val="none"/>
              </w:rPr>
              <w:t>”</w:t>
            </w:r>
          </w:p>
          <w:p>
            <w:pPr>
              <w:autoSpaceDE w:val="0"/>
              <w:spacing w:line="190" w:lineRule="exact"/>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rPr>
              <w:t>作出</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额度处罚</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由</w:t>
            </w:r>
            <w:r>
              <w:rPr>
                <w:rFonts w:ascii="宋体" w:hAnsi="宋体" w:eastAsia="宋体" w:cs="宋体"/>
                <w:color w:val="auto"/>
                <w:kern w:val="0"/>
                <w:sz w:val="15"/>
                <w:szCs w:val="15"/>
                <w:highlight w:val="none"/>
              </w:rPr>
              <w:t>执法人员</w:t>
            </w:r>
            <w:r>
              <w:rPr>
                <w:rFonts w:hint="eastAsia" w:ascii="宋体" w:hAnsi="宋体" w:eastAsia="宋体" w:cs="宋体"/>
                <w:color w:val="auto"/>
                <w:kern w:val="0"/>
                <w:sz w:val="15"/>
                <w:szCs w:val="15"/>
                <w:highlight w:val="none"/>
              </w:rPr>
              <w:t>说明</w:t>
            </w:r>
            <w:r>
              <w:rPr>
                <w:rFonts w:ascii="宋体" w:hAnsi="宋体" w:eastAsia="宋体" w:cs="宋体"/>
                <w:color w:val="auto"/>
                <w:kern w:val="0"/>
                <w:sz w:val="15"/>
                <w:szCs w:val="15"/>
                <w:highlight w:val="none"/>
              </w:rPr>
              <w:t>情况</w:t>
            </w:r>
            <w:r>
              <w:rPr>
                <w:rFonts w:hint="eastAsia" w:ascii="宋体" w:hAnsi="宋体" w:eastAsia="宋体" w:cs="宋体"/>
                <w:color w:val="auto"/>
                <w:kern w:val="0"/>
                <w:sz w:val="15"/>
                <w:szCs w:val="15"/>
                <w:highlight w:val="none"/>
              </w:rPr>
              <w:t>并</w:t>
            </w:r>
            <w:r>
              <w:rPr>
                <w:rFonts w:ascii="宋体" w:hAnsi="宋体" w:eastAsia="宋体" w:cs="宋体"/>
                <w:color w:val="auto"/>
                <w:kern w:val="0"/>
                <w:sz w:val="15"/>
                <w:szCs w:val="15"/>
                <w:highlight w:val="none"/>
              </w:rPr>
              <w:t>记录在案。</w:t>
            </w:r>
          </w:p>
        </w:tc>
        <w:tc>
          <w:tcPr>
            <w:tcW w:w="897" w:type="dxa"/>
            <w:gridSpan w:val="2"/>
            <w:shd w:val="clear" w:color="auto" w:fill="auto"/>
            <w:noWrap w:val="0"/>
            <w:vAlign w:val="center"/>
          </w:tcPr>
          <w:p>
            <w:pPr>
              <w:autoSpaceDE w:val="0"/>
              <w:spacing w:line="190" w:lineRule="exact"/>
              <w:jc w:val="center"/>
              <w:rPr>
                <w:rFonts w:ascii="宋体" w:hAnsi="宋体" w:eastAsia="宋体"/>
                <w:color w:val="auto"/>
                <w:sz w:val="15"/>
                <w:szCs w:val="15"/>
                <w:highlight w:val="none"/>
              </w:rPr>
            </w:pPr>
            <w:r>
              <w:rPr>
                <w:rFonts w:hint="eastAsia" w:ascii="宋体" w:hAnsi="宋体" w:eastAsia="宋体"/>
                <w:color w:val="auto"/>
                <w:sz w:val="15"/>
                <w:szCs w:val="15"/>
                <w:highlight w:val="none"/>
              </w:rPr>
              <w:t>市级</w:t>
            </w:r>
          </w:p>
          <w:p>
            <w:pPr>
              <w:autoSpaceDE w:val="0"/>
              <w:spacing w:line="190" w:lineRule="exact"/>
              <w:jc w:val="center"/>
              <w:rPr>
                <w:rFonts w:ascii="宋体" w:hAnsi="宋体" w:eastAsia="宋体" w:cs="宋体"/>
                <w:color w:val="auto"/>
                <w:kern w:val="0"/>
                <w:sz w:val="15"/>
                <w:szCs w:val="15"/>
                <w:highlight w:val="none"/>
              </w:rPr>
            </w:pPr>
            <w:r>
              <w:rPr>
                <w:rFonts w:hint="eastAsia" w:ascii="宋体" w:hAnsi="宋体" w:eastAsia="宋体"/>
                <w:color w:val="auto"/>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631" w:hRule="atLeast"/>
        </w:trPr>
        <w:tc>
          <w:tcPr>
            <w:tcW w:w="15100" w:type="dxa"/>
            <w:gridSpan w:val="14"/>
            <w:shd w:val="clear" w:color="auto" w:fill="FFFFFF"/>
            <w:noWrap w:val="0"/>
            <w:vAlign w:val="center"/>
          </w:tcPr>
          <w:p>
            <w:pPr>
              <w:pStyle w:val="2"/>
              <w:keepNext w:val="0"/>
              <w:keepLines w:val="0"/>
              <w:rPr>
                <w:rFonts w:hint="eastAsia" w:ascii="宋体" w:hAnsi="宋体" w:eastAsia="宋体"/>
                <w:color w:val="auto"/>
                <w:szCs w:val="15"/>
                <w:highlight w:val="none"/>
              </w:rPr>
            </w:pPr>
            <w:bookmarkStart w:id="191" w:name="_Toc357578141"/>
            <w:r>
              <w:rPr>
                <w:rFonts w:hint="eastAsia" w:ascii="黑体" w:hAnsi="黑体" w:eastAsia="黑体"/>
                <w:b w:val="0"/>
                <w:color w:val="auto"/>
                <w:sz w:val="28"/>
                <w:szCs w:val="28"/>
                <w:highlight w:val="none"/>
              </w:rPr>
              <w:t>国际交往语言环境建设方面</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533" w:hRule="atLeast"/>
        </w:trPr>
        <w:tc>
          <w:tcPr>
            <w:tcW w:w="15100" w:type="dxa"/>
            <w:gridSpan w:val="14"/>
            <w:shd w:val="clear" w:color="auto" w:fill="auto"/>
            <w:noWrap w:val="0"/>
            <w:vAlign w:val="center"/>
          </w:tcPr>
          <w:p>
            <w:pPr>
              <w:pStyle w:val="3"/>
              <w:bidi w:val="0"/>
              <w:jc w:val="center"/>
              <w:rPr>
                <w:rFonts w:hint="eastAsia" w:ascii="宋体" w:hAnsi="宋体" w:eastAsia="宋体"/>
                <w:color w:val="auto"/>
                <w:szCs w:val="15"/>
                <w:highlight w:val="none"/>
              </w:rPr>
            </w:pPr>
            <w:bookmarkStart w:id="192" w:name="_Toc236707198"/>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公共场所标识单独使用外语拒不改正</w:t>
            </w:r>
          </w:p>
        </w:tc>
        <w:tc>
          <w:tcPr>
            <w:tcW w:w="278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w:t>
            </w:r>
            <w:r>
              <w:rPr>
                <w:rFonts w:hint="eastAsia" w:ascii="宋体" w:hAnsi="宋体" w:eastAsia="宋体" w:cs="仿宋_GB2312"/>
                <w:color w:val="auto"/>
                <w:kern w:val="0"/>
                <w:sz w:val="15"/>
                <w:szCs w:val="15"/>
                <w:highlight w:val="none"/>
                <w:lang w:bidi="ar"/>
              </w:rPr>
              <w:t>第十七条第一款应当设置、使用外语标识的公共场所的，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5</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应当设置、使用公共场所外语标识而未设置、使用拒不改正</w:t>
            </w:r>
          </w:p>
        </w:tc>
        <w:tc>
          <w:tcPr>
            <w:tcW w:w="278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罚款数额＝2000×（1＋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strike/>
                <w:dstrike w:val="0"/>
                <w:color w:val="auto"/>
                <w:kern w:val="2"/>
                <w:sz w:val="15"/>
                <w:szCs w:val="15"/>
                <w:highlight w:val="none"/>
                <w:lang w:val="en-US"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ascii="宋体" w:hAnsi="宋体" w:eastAsia="宋体"/>
                <w:color w:val="auto"/>
                <w:sz w:val="15"/>
                <w:szCs w:val="15"/>
                <w:highlight w:val="none"/>
                <w:lang w:val="en"/>
              </w:rPr>
            </w:pPr>
            <w:r>
              <w:rPr>
                <w:rFonts w:hint="eastAsia" w:ascii="宋体" w:hAnsi="宋体" w:eastAsia="宋体" w:cs="仿宋_GB2312"/>
                <w:color w:val="auto"/>
                <w:sz w:val="15"/>
                <w:szCs w:val="15"/>
                <w:highlight w:val="none"/>
                <w:lang w:val="en"/>
              </w:rPr>
              <w:t>区级</w:t>
            </w:r>
          </w:p>
          <w:p>
            <w:pPr>
              <w:spacing w:line="232" w:lineRule="exact"/>
              <w:ind w:firstLine="333" w:firstLineChars="0"/>
              <w:jc w:val="center"/>
              <w:rPr>
                <w:rFonts w:hint="eastAsia" w:ascii="宋体" w:hAnsi="宋体" w:eastAsia="宋体" w:cs="Times New Roman"/>
                <w:color w:val="auto"/>
                <w:kern w:val="2"/>
                <w:sz w:val="15"/>
                <w:szCs w:val="15"/>
                <w:highlight w:val="none"/>
                <w:lang w:val="en"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791" w:hRule="atLeast"/>
        </w:trPr>
        <w:tc>
          <w:tcPr>
            <w:tcW w:w="610"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3</w:t>
            </w:r>
          </w:p>
        </w:tc>
        <w:tc>
          <w:tcPr>
            <w:tcW w:w="1830" w:type="dxa"/>
            <w:gridSpan w:val="3"/>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公共场所外语标识含有禁止性内容</w:t>
            </w:r>
          </w:p>
        </w:tc>
        <w:tc>
          <w:tcPr>
            <w:tcW w:w="2789"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spacing w:val="-4"/>
                <w:kern w:val="2"/>
                <w:sz w:val="15"/>
                <w:szCs w:val="15"/>
                <w:highlight w:val="none"/>
                <w:lang w:val="en-US" w:eastAsia="zh-CN" w:bidi="ar-SA"/>
              </w:rPr>
            </w:pPr>
            <w:r>
              <w:rPr>
                <w:rFonts w:hint="eastAsia" w:ascii="宋体" w:hAnsi="宋体" w:eastAsia="宋体" w:cs="仿宋_GB2312"/>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5000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同时存在两项及以上禁止性内容的，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罚款数额＝5000×（1＋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Times New Roman"/>
                <w:color w:val="auto"/>
                <w:kern w:val="2"/>
                <w:sz w:val="15"/>
                <w:szCs w:val="15"/>
                <w:highlight w:val="none"/>
                <w:lang w:val="en-US" w:eastAsia="zh-CN" w:bidi="ar-SA"/>
              </w:rPr>
            </w:pPr>
          </w:p>
        </w:tc>
        <w:tc>
          <w:tcPr>
            <w:tcW w:w="897" w:type="dxa"/>
            <w:gridSpan w:val="2"/>
            <w:vMerge w:val="restart"/>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vMerge w:val="continue"/>
            <w:shd w:val="clear" w:color="auto" w:fill="FFFFFF"/>
            <w:noWrap w:val="0"/>
            <w:vAlign w:val="center"/>
          </w:tcPr>
          <w:p>
            <w:pPr>
              <w:autoSpaceDE w:val="0"/>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shd w:val="clear" w:color="auto" w:fill="FFFFFF"/>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2789" w:type="dxa"/>
            <w:vMerge w:val="continue"/>
            <w:shd w:val="clear" w:color="auto" w:fill="auto"/>
            <w:noWrap w:val="0"/>
            <w:vAlign w:val="center"/>
          </w:tcPr>
          <w:p>
            <w:pPr>
              <w:autoSpaceDE w:val="0"/>
              <w:spacing w:line="190" w:lineRule="exact"/>
              <w:rPr>
                <w:rFonts w:hint="eastAsia" w:ascii="宋体" w:hAnsi="宋体" w:eastAsia="宋体" w:cs="宋体"/>
                <w:color w:val="auto"/>
                <w:kern w:val="0"/>
                <w:sz w:val="15"/>
                <w:szCs w:val="15"/>
                <w:highlight w:val="none"/>
              </w:rPr>
            </w:pP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10000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同时存在两项禁止性内容的，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1；同时存在三项以上禁止性内容的，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2</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kern w:val="0"/>
                <w:sz w:val="15"/>
                <w:szCs w:val="15"/>
                <w:highlight w:val="none"/>
                <w:lang w:val="en-US" w:eastAsia="zh-CN" w:bidi="ar"/>
              </w:rPr>
              <w:t>.</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罚款数额＝10000×（1＋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拒不改正或两次及以上违法的，或者被市级以上媒体曝光，或者造成</w:t>
            </w:r>
            <w:r>
              <w:rPr>
                <w:rFonts w:hint="eastAsia" w:ascii="宋体" w:hAnsi="宋体" w:eastAsia="宋体" w:cs="仿宋_GB2312"/>
                <w:color w:val="auto"/>
                <w:sz w:val="15"/>
                <w:szCs w:val="15"/>
                <w:highlight w:val="none"/>
                <w:lang w:val="en" w:eastAsia="zh-CN"/>
              </w:rPr>
              <w:t>其他</w:t>
            </w:r>
            <w:r>
              <w:rPr>
                <w:rFonts w:hint="eastAsia" w:ascii="宋体" w:hAnsi="宋体" w:eastAsia="宋体" w:cs="仿宋_GB2312"/>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ascii="宋体" w:hAnsi="宋体" w:eastAsia="宋体" w:cs="Times New Roman"/>
                <w:color w:val="auto"/>
                <w:kern w:val="2"/>
                <w:sz w:val="15"/>
                <w:szCs w:val="15"/>
                <w:highlight w:val="none"/>
                <w:lang w:val="en-US" w:eastAsia="zh-CN" w:bidi="ar-SA"/>
              </w:rPr>
            </w:pPr>
            <w:r>
              <w:rPr>
                <w:rFonts w:hint="eastAsia" w:ascii="宋体" w:hAnsi="宋体" w:eastAsia="宋体" w:cs="仿宋_GB2312"/>
                <w:strike w:val="0"/>
                <w:dstrike w:val="0"/>
                <w:color w:val="auto"/>
                <w:kern w:val="2"/>
                <w:sz w:val="15"/>
                <w:szCs w:val="15"/>
                <w:highlight w:val="none"/>
                <w:lang w:val="en" w:eastAsia="zh-CN" w:bidi="ar-SA"/>
              </w:rPr>
              <w:t>拒不改正或两次及以上违法的，不重复计入本项情节系数。</w:t>
            </w:r>
          </w:p>
        </w:tc>
        <w:tc>
          <w:tcPr>
            <w:tcW w:w="897" w:type="dxa"/>
            <w:gridSpan w:val="2"/>
            <w:vMerge w:val="continue"/>
            <w:shd w:val="clear" w:color="auto" w:fill="auto"/>
            <w:noWrap w:val="0"/>
            <w:vAlign w:val="center"/>
          </w:tcPr>
          <w:p>
            <w:pPr>
              <w:autoSpaceDE w:val="0"/>
              <w:spacing w:line="190" w:lineRule="exact"/>
              <w:jc w:val="center"/>
              <w:rPr>
                <w:rFonts w:hint="eastAsia"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57" w:type="dxa"/>
            <w:bottom w:w="0" w:type="dxa"/>
            <w:right w:w="57" w:type="dxa"/>
          </w:tblCellMar>
        </w:tblPrEx>
        <w:trPr>
          <w:gridAfter w:val="1"/>
          <w:wAfter w:w="16" w:type="dxa"/>
          <w:trHeight w:val="1037" w:hRule="atLeast"/>
        </w:trPr>
        <w:tc>
          <w:tcPr>
            <w:tcW w:w="61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sz w:val="15"/>
                <w:szCs w:val="15"/>
                <w:highlight w:val="none"/>
              </w:rPr>
              <w:t>4</w:t>
            </w:r>
          </w:p>
        </w:tc>
        <w:tc>
          <w:tcPr>
            <w:tcW w:w="1830" w:type="dxa"/>
            <w:gridSpan w:val="3"/>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公共场所外语标识译写错误或者明显不当拒不改正</w:t>
            </w:r>
          </w:p>
        </w:tc>
        <w:tc>
          <w:tcPr>
            <w:tcW w:w="2789"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s="仿宋_GB2312"/>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2000</w:t>
            </w:r>
          </w:p>
        </w:tc>
        <w:tc>
          <w:tcPr>
            <w:tcW w:w="840"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1</w:t>
            </w:r>
          </w:p>
        </w:tc>
        <w:tc>
          <w:tcPr>
            <w:tcW w:w="3426" w:type="dxa"/>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属于第十七条第一款应当设置、使用外语标识的公共场所的，</w:t>
            </w:r>
            <w:r>
              <w:rPr>
                <w:rFonts w:hint="eastAsia" w:ascii="宋体" w:hAnsi="宋体" w:eastAsia="宋体" w:cs="仿宋_GB2312"/>
                <w:color w:val="auto"/>
                <w:sz w:val="15"/>
                <w:szCs w:val="15"/>
                <w:highlight w:val="none"/>
                <w:lang w:eastAsia="zh-CN"/>
              </w:rPr>
              <w:t>系数</w:t>
            </w:r>
            <w:r>
              <w:rPr>
                <w:rFonts w:hint="eastAsia" w:ascii="宋体" w:hAnsi="宋体" w:eastAsia="宋体" w:cs="仿宋_GB2312"/>
                <w:color w:val="auto"/>
                <w:sz w:val="15"/>
                <w:szCs w:val="15"/>
                <w:highlight w:val="none"/>
              </w:rPr>
              <w:t>1</w:t>
            </w:r>
            <w:r>
              <w:rPr>
                <w:rFonts w:hint="eastAsia" w:ascii="宋体" w:hAnsi="宋体" w:eastAsia="宋体" w:cs="仿宋_GB2312"/>
                <w:color w:val="auto"/>
                <w:sz w:val="15"/>
                <w:szCs w:val="15"/>
                <w:highlight w:val="none"/>
                <w:lang w:eastAsia="zh-CN"/>
              </w:rPr>
              <w:t>。</w:t>
            </w:r>
            <w:r>
              <w:rPr>
                <w:rFonts w:hint="eastAsia" w:ascii="宋体" w:hAnsi="宋体" w:eastAsia="宋体" w:cs="仿宋_GB2312"/>
                <w:color w:val="auto"/>
                <w:kern w:val="0"/>
                <w:sz w:val="15"/>
                <w:szCs w:val="15"/>
                <w:highlight w:val="none"/>
                <w:lang w:val="en-US" w:eastAsia="zh-CN" w:bidi="ar"/>
              </w:rPr>
              <w:t>2.</w:t>
            </w:r>
            <w:r>
              <w:rPr>
                <w:rFonts w:hint="eastAsia" w:ascii="宋体" w:hAnsi="宋体" w:eastAsia="宋体" w:cs="仿宋_GB2312"/>
                <w:color w:val="auto"/>
                <w:kern w:val="0"/>
                <w:sz w:val="15"/>
                <w:szCs w:val="15"/>
                <w:highlight w:val="none"/>
                <w:lang w:bidi="ar"/>
              </w:rPr>
              <w:t>被媒体曝光的，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1</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3.</w:t>
            </w:r>
            <w:r>
              <w:rPr>
                <w:rFonts w:hint="eastAsia" w:ascii="宋体" w:hAnsi="宋体" w:eastAsia="宋体" w:cs="仿宋_GB2312"/>
                <w:color w:val="auto"/>
                <w:kern w:val="0"/>
                <w:sz w:val="15"/>
                <w:szCs w:val="15"/>
                <w:highlight w:val="none"/>
                <w:lang w:bidi="ar"/>
              </w:rPr>
              <w:t>造成恶劣影响的，</w:t>
            </w:r>
            <w:r>
              <w:rPr>
                <w:rFonts w:hint="eastAsia" w:ascii="宋体" w:hAnsi="宋体" w:eastAsia="宋体" w:cs="仿宋_GB2312"/>
                <w:color w:val="auto"/>
                <w:kern w:val="0"/>
                <w:sz w:val="15"/>
                <w:szCs w:val="15"/>
                <w:highlight w:val="none"/>
                <w:lang w:eastAsia="zh-CN" w:bidi="ar"/>
              </w:rPr>
              <w:t>系数</w:t>
            </w:r>
            <w:r>
              <w:rPr>
                <w:rFonts w:hint="eastAsia" w:ascii="宋体" w:hAnsi="宋体" w:eastAsia="宋体" w:cs="仿宋_GB2312"/>
                <w:color w:val="auto"/>
                <w:kern w:val="0"/>
                <w:sz w:val="15"/>
                <w:szCs w:val="15"/>
                <w:highlight w:val="none"/>
                <w:lang w:bidi="ar"/>
              </w:rPr>
              <w:t>2</w:t>
            </w:r>
            <w:r>
              <w:rPr>
                <w:rFonts w:hint="eastAsia" w:ascii="宋体" w:hAnsi="宋体" w:eastAsia="宋体" w:cs="仿宋_GB2312"/>
                <w:color w:val="auto"/>
                <w:kern w:val="0"/>
                <w:sz w:val="15"/>
                <w:szCs w:val="15"/>
                <w:highlight w:val="none"/>
                <w:lang w:eastAsia="zh-CN" w:bidi="ar"/>
              </w:rPr>
              <w:t>。</w:t>
            </w:r>
            <w:r>
              <w:rPr>
                <w:rFonts w:hint="eastAsia" w:ascii="宋体" w:hAnsi="宋体" w:eastAsia="宋体" w:cs="仿宋_GB2312"/>
                <w:color w:val="auto"/>
                <w:kern w:val="0"/>
                <w:sz w:val="15"/>
                <w:szCs w:val="15"/>
                <w:highlight w:val="none"/>
                <w:lang w:val="en-US" w:eastAsia="zh-CN" w:bidi="ar"/>
              </w:rPr>
              <w:t>4.</w:t>
            </w:r>
            <w:r>
              <w:rPr>
                <w:rFonts w:hint="eastAsia" w:ascii="宋体" w:hAnsi="宋体" w:eastAsia="宋体" w:cs="仿宋_GB2312"/>
                <w:color w:val="auto"/>
                <w:kern w:val="0"/>
                <w:sz w:val="15"/>
                <w:szCs w:val="15"/>
                <w:highlight w:val="none"/>
                <w:lang w:bidi="ar"/>
              </w:rPr>
              <w:t>存在基准2.1.3规定情形的，系数按照相关规定确定。</w:t>
            </w:r>
          </w:p>
        </w:tc>
        <w:tc>
          <w:tcPr>
            <w:tcW w:w="1875"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US" w:eastAsia="zh-CN" w:bidi="ar-SA"/>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
              </w:rPr>
              <w:t>2</w:t>
            </w:r>
            <w:r>
              <w:rPr>
                <w:rFonts w:hint="eastAsia" w:ascii="宋体" w:hAnsi="宋体" w:eastAsia="宋体" w:cs="仿宋_GB2312"/>
                <w:color w:val="auto"/>
                <w:sz w:val="15"/>
                <w:szCs w:val="15"/>
                <w:highlight w:val="none"/>
              </w:rPr>
              <w:t>000×（1＋</w:t>
            </w:r>
            <w:r>
              <w:rPr>
                <w:rFonts w:hint="eastAsia" w:ascii="宋体" w:hAnsi="宋体" w:eastAsia="宋体" w:cs="仿宋_GB2312"/>
                <w:color w:val="auto"/>
                <w:sz w:val="15"/>
                <w:szCs w:val="15"/>
                <w:highlight w:val="none"/>
                <w:lang w:eastAsia="zh-CN"/>
              </w:rPr>
              <w:t>情节系数</w:t>
            </w:r>
            <w:r>
              <w:rPr>
                <w:rFonts w:hint="eastAsia" w:ascii="宋体" w:hAnsi="宋体" w:eastAsia="宋体" w:cs="仿宋_GB2312"/>
                <w:color w:val="auto"/>
                <w:sz w:val="15"/>
                <w:szCs w:val="15"/>
                <w:highlight w:val="none"/>
              </w:rPr>
              <w:t>）</w:t>
            </w:r>
          </w:p>
        </w:tc>
        <w:tc>
          <w:tcPr>
            <w:tcW w:w="1982" w:type="dxa"/>
            <w:gridSpan w:val="2"/>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strike w:val="0"/>
                <w:dstrike w:val="0"/>
                <w:color w:val="auto"/>
                <w:sz w:val="15"/>
                <w:szCs w:val="15"/>
                <w:highlight w:val="none"/>
                <w:lang w:val="en"/>
              </w:rPr>
              <w:t>拒不改正的情形，不</w:t>
            </w:r>
            <w:r>
              <w:rPr>
                <w:rFonts w:hint="eastAsia" w:ascii="宋体" w:hAnsi="宋体" w:eastAsia="宋体" w:cs="仿宋_GB2312"/>
                <w:strike w:val="0"/>
                <w:dstrike w:val="0"/>
                <w:color w:val="auto"/>
                <w:sz w:val="15"/>
                <w:szCs w:val="15"/>
                <w:highlight w:val="none"/>
                <w:lang w:val="en" w:eastAsia="zh-CN"/>
              </w:rPr>
              <w:t>计入</w:t>
            </w:r>
            <w:r>
              <w:rPr>
                <w:rFonts w:hint="eastAsia" w:ascii="宋体" w:hAnsi="宋体" w:eastAsia="宋体" w:cs="仿宋_GB2312"/>
                <w:strike w:val="0"/>
                <w:dstrike w:val="0"/>
                <w:color w:val="auto"/>
                <w:sz w:val="15"/>
                <w:szCs w:val="15"/>
                <w:highlight w:val="none"/>
                <w:lang w:val="en"/>
              </w:rPr>
              <w:t>本项</w:t>
            </w:r>
            <w:r>
              <w:rPr>
                <w:rFonts w:hint="eastAsia" w:ascii="宋体" w:hAnsi="宋体" w:eastAsia="宋体" w:cs="仿宋_GB2312"/>
                <w:strike w:val="0"/>
                <w:dstrike w:val="0"/>
                <w:color w:val="auto"/>
                <w:sz w:val="15"/>
                <w:szCs w:val="15"/>
                <w:highlight w:val="none"/>
                <w:lang w:val="en" w:eastAsia="zh-CN"/>
              </w:rPr>
              <w:t>情节系数</w:t>
            </w:r>
            <w:r>
              <w:rPr>
                <w:rFonts w:hint="eastAsia" w:ascii="宋体" w:hAnsi="宋体" w:eastAsia="宋体" w:cs="仿宋_GB2312"/>
                <w:strike w:val="0"/>
                <w:dstrike w:val="0"/>
                <w:color w:val="auto"/>
                <w:sz w:val="15"/>
                <w:szCs w:val="15"/>
                <w:highlight w:val="none"/>
                <w:lang w:val="en"/>
              </w:rPr>
              <w:t>。</w:t>
            </w:r>
          </w:p>
        </w:tc>
        <w:tc>
          <w:tcPr>
            <w:tcW w:w="897" w:type="dxa"/>
            <w:gridSpan w:val="2"/>
            <w:shd w:val="clear" w:color="auto" w:fill="auto"/>
            <w:noWrap w:val="0"/>
            <w:vAlign w:val="center"/>
          </w:tcPr>
          <w:p>
            <w:pPr>
              <w:spacing w:line="232" w:lineRule="exact"/>
              <w:jc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val="en"/>
              </w:rPr>
              <w:t>市级</w:t>
            </w:r>
          </w:p>
          <w:p>
            <w:pPr>
              <w:spacing w:line="232" w:lineRule="exact"/>
              <w:jc w:val="center"/>
              <w:rPr>
                <w:rFonts w:hint="eastAsia" w:ascii="宋体" w:hAnsi="宋体" w:eastAsia="宋体" w:cs="仿宋_GB2312"/>
                <w:color w:val="auto"/>
                <w:kern w:val="2"/>
                <w:sz w:val="15"/>
                <w:szCs w:val="15"/>
                <w:highlight w:val="none"/>
                <w:lang w:val="en" w:eastAsia="zh-CN" w:bidi="ar-SA"/>
              </w:rPr>
            </w:pPr>
            <w:r>
              <w:rPr>
                <w:rFonts w:hint="eastAsia" w:ascii="宋体" w:hAnsi="宋体" w:eastAsia="宋体" w:cs="仿宋_GB2312"/>
                <w:color w:val="auto"/>
                <w:sz w:val="15"/>
                <w:szCs w:val="15"/>
                <w:highlight w:val="none"/>
                <w:lang w:val="en"/>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604" w:hRule="atLeast"/>
        </w:trPr>
        <w:tc>
          <w:tcPr>
            <w:tcW w:w="15100" w:type="dxa"/>
            <w:gridSpan w:val="14"/>
            <w:noWrap w:val="0"/>
            <w:vAlign w:val="center"/>
          </w:tcPr>
          <w:p>
            <w:pPr>
              <w:pStyle w:val="2"/>
              <w:keepNext w:val="0"/>
              <w:keepLines w:val="0"/>
              <w:rPr>
                <w:rFonts w:hint="eastAsia" w:ascii="宋体" w:hAnsi="宋体" w:eastAsia="宋体"/>
                <w:color w:val="auto"/>
                <w:sz w:val="21"/>
                <w:szCs w:val="21"/>
                <w:highlight w:val="none"/>
                <w:lang w:val="en-US" w:eastAsia="zh-CN"/>
              </w:rPr>
            </w:pPr>
            <w:bookmarkStart w:id="193" w:name="_Toc474814892"/>
            <w:r>
              <w:rPr>
                <w:rFonts w:hint="eastAsia" w:ascii="黑体" w:hAnsi="黑体" w:eastAsia="黑体"/>
                <w:b w:val="0"/>
                <w:color w:val="auto"/>
                <w:sz w:val="28"/>
                <w:szCs w:val="28"/>
                <w:highlight w:val="none"/>
                <w:lang w:val="en-US" w:eastAsia="zh-CN"/>
              </w:rPr>
              <w:t>安全生产管理方面</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1" w:hRule="atLeast"/>
        </w:trPr>
        <w:tc>
          <w:tcPr>
            <w:tcW w:w="15100" w:type="dxa"/>
            <w:gridSpan w:val="14"/>
            <w:noWrap w:val="0"/>
            <w:vAlign w:val="center"/>
          </w:tcPr>
          <w:p>
            <w:pPr>
              <w:pStyle w:val="3"/>
              <w:bidi w:val="0"/>
              <w:jc w:val="center"/>
              <w:rPr>
                <w:rFonts w:hint="eastAsia" w:ascii="宋体" w:hAnsi="宋体" w:eastAsia="宋体" w:cs="宋体"/>
                <w:color w:val="auto"/>
                <w:highlight w:val="none"/>
                <w:lang w:eastAsia="zh-Hans"/>
              </w:rPr>
            </w:pPr>
            <w:bookmarkStart w:id="194" w:name="_Toc643225722"/>
            <w:r>
              <w:rPr>
                <w:rFonts w:hint="eastAsia" w:ascii="宋体" w:hAnsi="宋体" w:eastAsia="宋体" w:cs="宋体"/>
                <w:color w:val="auto"/>
                <w:sz w:val="21"/>
                <w:szCs w:val="21"/>
                <w:highlight w:val="none"/>
                <w:lang w:eastAsia="zh-Hans"/>
              </w:rPr>
              <w:t>《中华人民共和国安全生产法》</w:t>
            </w:r>
            <w:r>
              <w:rPr>
                <w:rFonts w:hint="eastAsia" w:ascii="宋体" w:hAnsi="宋体" w:eastAsia="宋体" w:cs="宋体"/>
                <w:color w:val="auto"/>
                <w:sz w:val="21"/>
                <w:szCs w:val="21"/>
                <w:highlight w:val="none"/>
              </w:rPr>
              <w:t>《北京市安全生产条例》</w:t>
            </w:r>
            <w:r>
              <w:rPr>
                <w:rFonts w:hint="eastAsia" w:ascii="宋体" w:hAnsi="宋体" w:eastAsia="宋体" w:cs="宋体"/>
                <w:color w:val="auto"/>
                <w:sz w:val="21"/>
                <w:szCs w:val="21"/>
                <w:highlight w:val="none"/>
                <w:lang w:eastAsia="zh-Hans"/>
              </w:rPr>
              <w:t>案由</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3</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810"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p>
          <w:p>
            <w:pPr>
              <w:spacing w:line="232" w:lineRule="exact"/>
              <w:ind w:left="6" w:hanging="21"/>
              <w:jc w:val="center"/>
              <w:rPr>
                <w:rFonts w:ascii="宋体" w:hAnsi="宋体" w:eastAsia="宋体" w:cs="宋体"/>
                <w:color w:val="auto"/>
                <w:kern w:val="0"/>
                <w:sz w:val="15"/>
                <w:szCs w:val="15"/>
                <w:highlight w:val="none"/>
              </w:rPr>
            </w:pPr>
            <w:r>
              <w:rPr>
                <w:rFonts w:ascii="宋体" w:hAnsi="宋体" w:eastAsia="宋体" w:cs="宋体"/>
                <w:color w:val="auto"/>
                <w:kern w:val="0"/>
                <w:sz w:val="15"/>
                <w:szCs w:val="15"/>
                <w:highlight w:val="none"/>
              </w:rPr>
              <w:t>1</w:t>
            </w:r>
          </w:p>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主要负责人未履行安全生产管理职责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《中华人民共和国安全生产法》第二十一条第（一）项至第（七）项（根据实际选择）</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w:t>
            </w:r>
            <w:r>
              <w:rPr>
                <w:rFonts w:hint="eastAsia" w:ascii="宋体" w:hAnsi="宋体" w:eastAsia="宋体"/>
                <w:color w:val="auto"/>
                <w:spacing w:val="-4"/>
                <w:sz w:val="15"/>
                <w:szCs w:val="15"/>
                <w:highlight w:val="none"/>
              </w:rPr>
              <w:t>罚条款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第九十四条第一款</w:t>
            </w:r>
            <w:r>
              <w:rPr>
                <w:rFonts w:hint="eastAsia" w:ascii="宋体" w:hAnsi="宋体" w:eastAsia="宋体"/>
                <w:color w:val="auto"/>
                <w:spacing w:val="-4"/>
                <w:sz w:val="15"/>
                <w:szCs w:val="15"/>
                <w:highlight w:val="none"/>
                <w:lang w:eastAsia="zh-CN"/>
              </w:rPr>
              <w:t>，</w:t>
            </w:r>
            <w:r>
              <w:rPr>
                <w:rFonts w:hint="eastAsia" w:ascii="宋体" w:hAnsi="宋体" w:eastAsia="宋体"/>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中华人民共和国安全生产法》规定的安全生产管理职责有1项的，责令限期改正，处2万元以上3万元以下的罚款；逾期未改正的，处5万元以上7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中华人民共和国安全生产法》规定的安全生产管理职责有2项的，责令限期改正，处3万元以上4万元以下的罚款；逾期未改正的，处7万元以上9万元以下的罚款，责令生产经营单位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中华人民共和国安全生产法》规定的安全生产管理职责有3项以上的，责令限期改正，处4万元以上5万元以下的罚款；逾期未改正的，处9万元以上10万元以下的罚款，责令生产经营单位停产停业整顿。</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85"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处罚条款：第三十四条第一款，责令改正；拒不改正的，责令停产停业整顿，并处2万元以上5万元以下罚款。</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color w:val="auto"/>
                <w:spacing w:val="-4"/>
                <w:sz w:val="15"/>
                <w:szCs w:val="15"/>
                <w:highlight w:val="none"/>
                <w:lang w:val="en-US"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ind w:left="6" w:leftChars="0" w:hanging="21" w:firstLineChars="0"/>
              <w:jc w:val="center"/>
              <w:rPr>
                <w:rFonts w:hint="default" w:ascii="宋体" w:hAnsi="宋体" w:eastAsia="宋体"/>
                <w:color w:val="auto"/>
                <w:sz w:val="15"/>
                <w:szCs w:val="15"/>
                <w:highlight w:val="none"/>
                <w:lang w:val="en-US"/>
              </w:rPr>
            </w:pPr>
            <w:r>
              <w:rPr>
                <w:rFonts w:hint="default" w:ascii="宋体" w:hAnsi="宋体" w:eastAsia="宋体"/>
                <w:color w:val="auto"/>
                <w:sz w:val="15"/>
                <w:szCs w:val="15"/>
                <w:highlight w:val="none"/>
                <w:lang w:val="en-US"/>
              </w:rPr>
              <w:t>2</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1.发生一般事故的，处2万元以上5万元以下的罚款；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2.发生较大事故的，处5万元以上10万元以下的罚款；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3.发生重大事故的，处10万元以上15万元以下的罚款；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4.发生特别重大事故的，处15万元以上20万元以下的罚款。</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continue"/>
            <w:noWrap w:val="0"/>
            <w:vAlign w:val="center"/>
          </w:tcPr>
          <w:p>
            <w:pPr>
              <w:spacing w:line="232" w:lineRule="exact"/>
              <w:ind w:left="6" w:leftChars="0" w:hanging="21" w:firstLineChars="0"/>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ascii="宋体" w:hAnsi="宋体" w:eastAsia="宋体" w:cs="宋体"/>
                <w:strike/>
                <w:dstrike w:val="0"/>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36" w:hRule="atLeast"/>
        </w:trPr>
        <w:tc>
          <w:tcPr>
            <w:tcW w:w="610" w:type="dxa"/>
            <w:vMerge w:val="restart"/>
            <w:noWrap w:val="0"/>
            <w:vAlign w:val="center"/>
          </w:tcPr>
          <w:p>
            <w:pPr>
              <w:spacing w:line="232" w:lineRule="exact"/>
              <w:jc w:val="center"/>
              <w:rPr>
                <w:rFonts w:ascii="宋体" w:hAnsi="宋体" w:eastAsia="宋体"/>
                <w:color w:val="auto"/>
                <w:sz w:val="15"/>
                <w:szCs w:val="15"/>
                <w:highlight w:val="none"/>
              </w:rPr>
            </w:pPr>
            <w:r>
              <w:rPr>
                <w:rFonts w:hint="default" w:ascii="宋体" w:hAnsi="宋体" w:eastAsia="宋体"/>
                <w:color w:val="auto"/>
                <w:sz w:val="15"/>
                <w:szCs w:val="15"/>
                <w:highlight w:val="none"/>
                <w:lang w:val="en-US"/>
              </w:rPr>
              <w:t>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生产经营单位未按照规定设置安全生产管理机构或者配备安全生产管理人员</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宋体" w:hAnsi="宋体" w:eastAsia="宋体"/>
                <w:color w:val="auto"/>
                <w:sz w:val="15"/>
                <w:szCs w:val="15"/>
                <w:highlight w:val="none"/>
              </w:rPr>
              <w:t>违反条款：《中华人民共和国安全生产法》第二十四条；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和危险物品的生产、经营、储存、装卸单位，未按照规定设置安全生产管理机构或者配备专职安全生产管理人员；从业人员在100人以下的其他生产经营单位，未按照规定配备专职或者兼职的安全生产管理人员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30人以上100人以下的矿山、金属冶炼和危险物品的生产、经营、储存、装卸单位，或从业人员在100人以上300人以下的其他生产经营单位，未按照规定设置安全生产管理机构或者配备专职安全生产管理人员的，或者虽设置有安全生产管理机构但配备的专职安全生产管理人员数量、比例不符合市人民政府规定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和危险物品的生产、经营、储存、装卸单位，或从业人员在300人以上的其他生产经营单位，未按照规定设置安全生产管理机构或者配备专职安全生产管理人员的，或者虽设置有安全生产管理机构但配备的专职安全生产管理人员数量、比例不符合市人民政府规定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58" w:hRule="atLeast"/>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处罚条款：第五十八条第（一）</w:t>
            </w:r>
            <w:r>
              <w:rPr>
                <w:rFonts w:hint="eastAsia" w:ascii="宋体" w:hAnsi="宋体"/>
                <w:color w:val="auto"/>
                <w:sz w:val="15"/>
                <w:szCs w:val="15"/>
                <w:highlight w:val="none"/>
                <w:lang w:val="en-US"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40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生产经营单位其他负责人和安全生产管理人员未履行本法规定的安全生产管理职责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违反条款：《中华人民共和国安全生产法》第二十五条第一款第（一）项至第（七）项（根据实际选择）；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处罚条款：第九十六条，责令限期改正，处一万元以上三万元以下的罚款；…构成犯罪的，依照刑法有关规定追究刑事责任。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履行第一项至第七项中任一项职责的，责令限期改正，处1万元以上1.5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履行第一项至第七项中任两项职责的，责令限期改正，处1.5万元以上2万元以下的罚款；导致发生生产安全事故的，暂停或者吊销其与安全生产有关的资格，并按照《生产安全事故罚款处罚规定》第二十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履行第一项至第七项中任三项以上职责的，责令限期改正，处2万元以上3万元以下的罚款；导致发生生产安全事故的，暂停或者吊销其与安全生产有关的资格，并按照《生产安全事故罚款处罚规定》第二十条处以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71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生产经营单位危险物品的生产、经营、储存单位以及建筑施工单位的主要负责人和安全生产管理人员未按照规定经考核合格</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安全生产管理人员未按照规定经考核合格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主要负责人未按照规定经考核合格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主要负责人和安全生产管理人员均未按照规定经考核合格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972" w:hRule="atLeast"/>
        </w:trPr>
        <w:tc>
          <w:tcPr>
            <w:tcW w:w="610" w:type="dxa"/>
            <w:vMerge w:val="restart"/>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6</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未按照规定对从业人员、被派遣劳动者、实习学生进行安全生产教育和培训</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违反条款：《中华人民共和国安全生产法》第二十八条第一款、第二款、第三款、第二十九条（根据实际选择）；</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规定对从业人员、被派遣劳动者、实习学生进行安全生产教育和培训，或者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规定对从业人员、被派遣劳动者、实习学生进行安全生产教育和培训，或者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规定对从业人员、被派遣劳动者、实习学生进行安全生产教育和培训，或者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41"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b/>
                <w:bCs/>
                <w:color w:val="auto"/>
                <w:sz w:val="15"/>
                <w:szCs w:val="15"/>
                <w:highlight w:val="none"/>
              </w:rPr>
            </w:pPr>
            <w:r>
              <w:rPr>
                <w:rFonts w:hint="eastAsia" w:ascii="宋体" w:hAnsi="宋体" w:eastAsia="宋体"/>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b w:val="0"/>
                <w:bCs w:val="0"/>
                <w:color w:val="auto"/>
                <w:sz w:val="15"/>
                <w:szCs w:val="15"/>
                <w:highlight w:val="none"/>
              </w:rPr>
              <w:t>违反条款：《北京市安全生产条例》</w:t>
            </w:r>
            <w:r>
              <w:rPr>
                <w:rFonts w:hint="eastAsia" w:ascii="宋体" w:hAnsi="宋体" w:eastAsia="宋体"/>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 处罚条款：第五十八条第（二）</w:t>
            </w:r>
            <w:r>
              <w:rPr>
                <w:rFonts w:hint="eastAsia" w:ascii="宋体" w:hAnsi="宋体" w:eastAsia="宋体"/>
                <w:color w:val="auto"/>
                <w:sz w:val="15"/>
                <w:szCs w:val="15"/>
                <w:highlight w:val="none"/>
                <w:lang w:eastAsia="zh-CN"/>
              </w:rPr>
              <w:t>项</w:t>
            </w:r>
            <w:r>
              <w:rPr>
                <w:rFonts w:hint="eastAsia" w:ascii="宋体" w:hAnsi="宋体" w:eastAsia="宋体"/>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color w:val="auto"/>
                <w:kern w:val="0"/>
                <w:sz w:val="15"/>
                <w:szCs w:val="15"/>
                <w:highlight w:val="none"/>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67" w:hRule="atLeast"/>
        </w:trPr>
        <w:tc>
          <w:tcPr>
            <w:tcW w:w="610" w:type="dxa"/>
            <w:noWrap w:val="0"/>
            <w:vAlign w:val="center"/>
          </w:tcPr>
          <w:p>
            <w:pPr>
              <w:spacing w:line="232" w:lineRule="exact"/>
              <w:ind w:left="6" w:hanging="21"/>
              <w:jc w:val="center"/>
              <w:rPr>
                <w:rFonts w:ascii="宋体" w:hAnsi="宋体" w:eastAsia="宋体" w:cs="宋体"/>
                <w:color w:val="auto"/>
                <w:kern w:val="0"/>
                <w:sz w:val="15"/>
                <w:szCs w:val="15"/>
                <w:highlight w:val="none"/>
              </w:rPr>
            </w:pPr>
            <w:r>
              <w:rPr>
                <w:rFonts w:hint="default" w:ascii="宋体" w:hAnsi="宋体" w:eastAsia="宋体" w:cs="宋体"/>
                <w:color w:val="auto"/>
                <w:kern w:val="0"/>
                <w:sz w:val="15"/>
                <w:szCs w:val="15"/>
                <w:highlight w:val="none"/>
                <w:lang w:val="en-US"/>
              </w:rPr>
              <w:t>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未如实记录安全生产教育和培训情况</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违反条款：《中华人民共和国安全生产法》第二十八条第四款；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如实记录安全生产教育和培训情况，涉及3人次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如实记录安全生产教育和培训情况，涉及3人次以上10人次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如实记录安全生产教育和培训情况，涉及10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生产经营单位特种作业人员未按照规定经专门的安全作业培训并取得相应资格，上岗作业</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特种作业人员未按照规定经专门的安全作业培训并取得相应资格上岗作业，有1人次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特种作业人员未按照规定经专门的安全作业培训并取得相应资格上岗作业，有2人次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特种作业人员未按照规定经专门的安全作业培训并取得相应资格上岗作业，有3人次以上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用于生产、储存、装卸危险物品的建设项目安全设施设计未按照规定报经有关部门审查同意</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用于生产、储存、装卸危险物品的建设项目竣工投入生产或者使用前，安全设施未经验收合格</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建设项目投资额1000万元以下的，责令停止建设或者停产停业整顿，限期改正，并处10万元以上30万元以下的罚款，对其直接负责的主管人员和其他直接责任人员处2万元以上3万元以下的罚款；逾期未改正的，处50万元以上70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建设项目投资额1000万元以上3000万元以下的，责令停止建设或者停产停业整顿，限期改正，并处30万元以上40万元以下的罚款，对其直接负责的主管人员和其他直接责任人员处3万元以上4万元以下的罚款；逾期未改正的，处70万元以上90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建设项目投资额3000万元以上的，责令停止建设或者停产停业整顿，限期改正，并处40万元以上50万元以下的罚款，对其直接负责的主管人员和其他直接责任人员处4万元以上5万元以下的罚款；逾期未改正的，处90万元以上100万元以下的罚款，对其直接负责的主管人员和其他直接责任人员处9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55"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生产经营单位未在有较大危险因素的生产经营场所和有关设施、设备上设置明显的安全警示标志</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违反条款：《中华人民共和国安全生产法》第三十五条；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在构成四级重大危险源的场所设置明显的安全警示标志的，责令限期改正，可以处1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在构成三级重大危险源的场所设置明显的安全警示标志的，责令限期改正，可以处1万元以上2万元以下的罚款；逾期未改正的，处10万元以上13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在构成二级重大危险源的场所设置明显的安全警示标志的，责令限期改正，可以处2万元以上3万元以下的罚款；逾期未改正的，处13万元以上17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117"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生产经营单位安全设备的安装、使用、检测、改造和报废不符合国家标准或者行业标准</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 1台（套）安全设备安装、使用、检测、改造和报废不符合国家标准或者行业标准的，处2万元以下的罚款；逾期未改正的，处5万元以上10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 2台（套）安全设备安装、使用、检测、改造和报废不符合国家标准或者行业标准的，处2万元以上4万元以下的罚款；逾期未改正的，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 3台（套）以上安全设备安装、使用、检测、改造和报废不符合国家标准或者行业标准的，处4万元以上5万元以下的罚款；逾期未改正的，处15万元以上20万元以下的罚款，对其直接负责的主管人员和其他直接责任人员处1万元以上2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生产经营单位未对安全设备进行经常性维护、保养和定期检测</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台（套）安全设备未进行经常性维护、保养和定期检测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台（套）安全设备未进行经常性维护、保养和定期检测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台（套）以上安全设备未进行经常性维护、保养和定期检测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生产经营单位关闭、破坏直接关系生产安全的监控、报警、防护、救生设备、设施，或者篡改、隐瞒、销毁其相关数据、信息</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关闭、破坏直接关系生产安全的监控、报警、防护、救生设备、设施1台（套），或篡改、隐瞒、销毁直接关系生产安全相关数据、信息涉及1处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关闭、破坏直接关系生产安全的监控、报警、防护、救生设备、设施2台（套），或篡改、隐瞒、销毁直接关系生产安全相关数据、信息涉及2处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关闭、破坏直接关系生产安全的监控、报警、防护、救生设备、设施3台（套）以上，或篡改、隐瞒、销毁直接关系生产安全相关数据、信息涉及3处以上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生产经营单位使用的危险物品的容器未经具有专业资质的机构检测、检验合格，取得安全使用证或者安全标志，投入使用</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有1台（套）容器、运输工具、特种设备未经具有专业资质的机构检测、检验合格，取得安全使用证或者安全标志，投入使用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有2台（套）容器、运输工具、特种设备未经具有专业资质的机构检测、检验合格，取得安全使用证或者安全标志，投入使用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有3台（套）以上容器、运输工具、特种设备未经具有专业资质的机构检测、检验合格，取得安全使用证或者安全标志，投入使用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生产经营单位使用应当淘汰的危及生产安全的工艺、设备</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使用1台（套、种）应当淘汰的危及生产安全的工艺、设备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使用2台（套、种）应当淘汰的危及生产安全的工艺、设备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使用3台（套、种）以上应当淘汰的危及生产安全的工艺、设备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17</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未经依法批准，擅自生产、经营、储存危险物品</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1.没有违法所得或违法所得10万元以下的，责令停止经营活动，没收违法经营的危险化学品以及违法所得，并处10万元以上13万元以下的罚款；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2.违法所得10万元以上30万元以下的，责令停止经营活动，没收违法经营的危险化学品以及违法所得，并处13万元以上17万元以下的罚款；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3.违法所得30万元以上的，责令停止经营活动，没收违法经营的危险化学品以及违法所得，并处17万元以上20万元以下的罚款。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生产经营单位生产、经营、运输、储存、使用危险物品或者处置废弃危险物品，未建立专门安全管理制度、未采取可靠的安全措施</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生产、经营、运输、储存、使用危险物品或者处置废弃危险物品时，未建立专门的安全管理制度，但采取了可靠的安全措施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生产、经营、运输、储存、使用危险物品或者处置废弃危险物品时，建立了专门的安全管理制度，但未采取可靠的安全措施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生产、经营、运输、储存、使用危险物品或者处置废弃危险物品时，未建立专门的安全管理制度，且未采取可靠的安全措施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生产经营单位对重大危险源未登记建档，或者未进行评估、监控，或者未制定应急预案</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对四级重大危险源未登记建档，未进行定期检测、评估、监控，未制定应急预案，或者未告知应急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对三级重大危险源未登记建档，未进行定期检测、评估、监控，未制定应急预案，或者未告知应急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对二级重大危险源未登记建档，未进行定期检测、评估、监控，未制定应急预案，或者未告知应急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生产经营单位对一级重大危险源未登记建档，未进行定期检测、评估、监控，未制定应急预案，或者未告知应急措施的，责令限期改正，处8万元以上10万元以下的罚款；逾期未改正的，责令停产停业整顿，并处18万元以上20万元以下的罚款，对其直接负责的主管人员和其他直接责任人员处5万元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生产经营单位未建立安全风险分级管控制度或者未按照安全风险分级采取相应管控措施</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安全风险分级管控制度或者未按照安全风险分级采取相应管控措施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安全风险分级管控制度，且未按照安全风险分级采取相应管控措施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安全风险分级管控制度或者未按照安全风险分级采取相应管控措施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安全风险分级管控制度，且未按照安全风险分级采取相应管控措施的，责令限期改正，处8万元以上10万元以下的罚款；逾期未改正的，责令停产停业整顿，并处18万元以上20万元以下的罚款，对其直接负责的主管人员和其他直接责任人员处5万元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生产经营单位未建立事故隐患排查治理制度，或者重大事故隐患排查治理情况未按照规定报告</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违反条款：《中华人民共和国安全生产法》第四十一条第二款；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矿山、金属冶炼、建筑施工、道路运输单位和危险物品的生产、经营、储存、装卸单位以外的其他生产经营单位，未建立事故隐患排查治理制度，或者重大事故隐患排查治理情况未按照规定报告的，责令限期改正，处2万元以下的罚款；逾期未改正的，责令停产停业整顿，并处10万元以上12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矿山、金属冶炼、建筑施工、道路运输单位和危险物品的生产、经营、储存、装卸单位以外的其他生产经营单位，未建立事故隐患排查治理制度，且重大事故隐患排查治理情况未按照规定报告的，责令限期改正，处2万元以上5万元以下的罚款；逾期未改正的，责令停产停业整顿，并处12万元以上15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矿山、金属冶炼、建筑施工、道路运输单位和危险物品的生产、经营、储存、装卸单位，未建立事故隐患排查治理制度，或者重大事故隐患排查治理情况未按照规定报告的，责令限期改正，处5万元以上8万元以下的罚款；逾期未改正的，责令停产停业整顿，并处15万元以上18万元以下的罚款，对其直接负责的主管人员和其他直接责任人员处4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矿山、金属冶炼、建筑施工、道路运输单位和危险物品的生产、经营、储存、装卸单位，未建立事故隐患排查治理制度，且重大事故隐患排查治理情况未按照规定报告的，责令限期改正，处8万元以上10万元以下的罚款；逾期未改正的，责令停产停业整顿，并处18万元以上20万元以下的罚款，对其直接负责的主管人员和其他直接责任人员处5万元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dstrike w:val="0"/>
                <w:color w:val="auto"/>
                <w:sz w:val="15"/>
                <w:szCs w:val="15"/>
                <w:highlight w:val="none"/>
                <w:lang w:val="en-US" w:eastAsia="zh-CN"/>
              </w:rPr>
              <w:t>生产经营单位未将事故隐患排查治理情况如实记录或者未向从业人员通报</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 xml:space="preserve">违反条款：《中华人民共和国安全生产法》第四十一条第二款 </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3处以下一般事故隐患或1处重大事故隐患排查治理情况未如实记录或者未向从业人员通报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3处以上7处以下一般事故隐患或2处重大事故隐患排查治理情况未如实记录或者未向从业人员通报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7处以上一般事故隐患或3处以上重大事故隐患排查治理情况未如实记录或者未向从业人员通报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529"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dstrike w:val="0"/>
                <w:color w:val="auto"/>
                <w:sz w:val="15"/>
                <w:szCs w:val="15"/>
                <w:highlight w:val="none"/>
              </w:rPr>
            </w:pPr>
            <w:r>
              <w:rPr>
                <w:rFonts w:hint="eastAsia" w:ascii="宋体" w:hAnsi="宋体" w:eastAsia="宋体"/>
                <w:strike w:val="0"/>
                <w:dstrike w:val="0"/>
                <w:color w:val="auto"/>
                <w:sz w:val="15"/>
                <w:szCs w:val="15"/>
                <w:highlight w:val="none"/>
              </w:rPr>
              <w:t>生产经营单位未采取措施消除事故隐患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eastAsia="zh-CN"/>
              </w:rPr>
            </w:pPr>
            <w:r>
              <w:rPr>
                <w:rFonts w:hint="eastAsia" w:ascii="宋体" w:hAnsi="宋体" w:eastAsia="宋体"/>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1.未对3处以下一般事故隐患或1处重大事故隐患采取措施消除的，责令立即消除或者限期消除，处2万元以下的罚款；生产经营单位拒不执行的，责令停产停业整顿，对其直接负责的主管人员和其他直接责任人员处5万元以上7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2.未对3处以上7处以下一般事故隐患或2处重大事故隐患采取措施消除的，责令立即消除或者限期消除，处2万元以上4万元以下的罚款；生产经营单位拒不执行的，责令停产停业整顿，对其直接负责的主管人员和其他直接责任人员处7万元以上9万元以下的罚款；</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3.未对7处以上一般事故隐患或3处以上重大事故隐患采取措施消除的，责令立即消除或者限期消除，处4万元以上5万元以下的罚款；生产经营单位拒不执行的，责令停产停业整顿，对其直接负责的主管人员和其他直接责任人员处9万元以上10万元以下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strike w:val="0"/>
                <w:color w:val="auto"/>
                <w:sz w:val="15"/>
                <w:szCs w:val="15"/>
                <w:highlight w:val="none"/>
                <w:lang w:val="en-US" w:eastAsia="zh-CN"/>
              </w:rPr>
            </w:pPr>
            <w:r>
              <w:rPr>
                <w:rFonts w:hint="eastAsia" w:ascii="宋体" w:hAnsi="宋体" w:eastAsia="宋体"/>
                <w:strike w:val="0"/>
                <w:color w:val="auto"/>
                <w:sz w:val="15"/>
                <w:szCs w:val="15"/>
                <w:highlight w:val="none"/>
                <w:lang w:val="en-US" w:eastAsia="zh-CN"/>
              </w:rPr>
              <w:t>《应急管理行政裁量权基准暂行规定》（应急管理部令第12号）</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《应急管理行政处罚裁量权基准》</w:t>
            </w:r>
            <w:r>
              <w:rPr>
                <w:rFonts w:hint="eastAsia" w:ascii="宋体" w:hAnsi="宋体" w:eastAsia="宋体"/>
                <w:strike w:val="0"/>
                <w:color w:val="auto"/>
                <w:sz w:val="15"/>
                <w:szCs w:val="15"/>
                <w:highlight w:val="none"/>
                <w:lang w:val="en-US" w:eastAsia="zh-CN"/>
              </w:rPr>
              <w:br w:type="textWrapping"/>
            </w:r>
            <w:r>
              <w:rPr>
                <w:rFonts w:hint="eastAsia" w:ascii="宋体" w:hAnsi="宋体" w:eastAsia="宋体"/>
                <w:strike w:val="0"/>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生产、经营、储存、使用危险物品的车间、商店、仓库与员工宿舍在同一座建筑内，或者与员工宿舍的距离不符合安全要求</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储存、使用危险物品的车间、商店、仓库与员工宿舍在同一座建筑内，或者与员工宿舍的距离不符合安全要求，其员工宿舍中住宿人员有3人以下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储存、使用危险物品的车间、商店、仓库与员工宿舍在同一座建筑内，或者与员工宿舍的距离不符合安全要求，其员工宿舍中住宿人员有3人以上10人以下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储存、使用危险物品的车间、商店、仓库与员工宿舍在同一座建筑内，或者与员工宿舍的距离不符合安全要求，其员工宿舍中住宿人员有10人以上的，责令限期改正，处4万元以上5万元以下的罚款，对其直接负责的主管人员和其他直接责任人员处1万元以下的罚款；逾期未改正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strike/>
                <w:dstrike w:val="0"/>
                <w:color w:val="auto"/>
                <w:sz w:val="15"/>
                <w:szCs w:val="15"/>
                <w:highlight w:val="none"/>
              </w:rPr>
            </w:pPr>
            <w:r>
              <w:rPr>
                <w:rFonts w:hint="eastAsia" w:ascii="宋体" w:hAnsi="宋体" w:eastAsia="宋体"/>
                <w:color w:val="auto"/>
                <w:sz w:val="15"/>
                <w:szCs w:val="15"/>
                <w:highlight w:val="none"/>
              </w:rPr>
              <w:t>生产经营场所和员工宿舍未设有符合紧急疏散需要、标志明显、保持畅通的出口，或者封闭、堵塞生产经营场所或者员工宿舍出口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场所和员工宿舍设置的出口、疏散通道不符合紧急疏散需要、没有明显标志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场所或者员工宿舍出口、疏散通道被占用、锁闭或封堵，未保持通畅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场所和员工宿舍未按照规定设置紧急疏散出口、疏散通道的，责令限期改正，处4万元以上5万元以下的罚款，对其直接负责的主管人员和其他直接责任人员处1万元以下的罚款；逾期未改正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09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生产经营单位进行危险作业未安排专门管理人员进行现场安全管理</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有1处（次）危险作业未安排专门人员进行现场安全管理的，责令限期改正，处3万元以下的罚款；逾期未改正的，责令停产停业整顿，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有2处（次）危险作业未安排专门人员进行现场安全管理的，责令限期改正，处3万元以上7万元以下的罚款；逾期未改正的，责令停产停业整顿，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有3处（次）以上危险作业未安排专门人员进行现场安全管理的，责令限期改正，处7万元以上10万元以下的罚款；逾期未改正的，责令停产停业整顿，处17万元以上20万元以下的罚款，对其直接负责的主管人员和其他直接责任人员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0"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生产经营单位未按照规定向从业人员如实告知有关的安全生产事项</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违反条款：《中华人民共和国安全生产法》第四十四条第一款；</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按照规定如实告知有关的安全生产事项，涉及人数3人以下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按照规定如实告知有关的安全生产事项，涉及人数3人以上10人以下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按照规定如实告知有关的安全生产事项，涉及人数10人以上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697" w:hRule="atLeast"/>
        </w:trPr>
        <w:tc>
          <w:tcPr>
            <w:tcW w:w="610" w:type="dxa"/>
            <w:vMerge w:val="continue"/>
            <w:noWrap w:val="0"/>
            <w:vAlign w:val="center"/>
          </w:tcPr>
          <w:p>
            <w:pPr>
              <w:spacing w:line="232" w:lineRule="exact"/>
              <w:ind w:left="6" w:hanging="21"/>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违反条款：《北京市安全生产条例》第三十七条第一款</w:t>
            </w:r>
            <w:r>
              <w:rPr>
                <w:rFonts w:hint="eastAsia" w:ascii="宋体" w:hAnsi="宋体" w:eastAsia="宋体"/>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ascii="宋体" w:hAnsi="宋体" w:eastAsia="宋体" w:cs="宋体"/>
                <w:strike/>
                <w:dstrike w:val="0"/>
                <w:color w:val="auto"/>
                <w:kern w:val="0"/>
                <w:sz w:val="15"/>
                <w:szCs w:val="15"/>
                <w:highlight w:val="none"/>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18"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生产经营单位未为从业人员提供符合国家标准或者行业标准的劳动防护用品</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处罚条款：第九十九条第</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五</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未为3名以下从业人员提供符合国家标准或者行业标准的劳动防护用品，或者提供的劳动防护用品有3种以下不符合国家标准或者行业标准的，责令限期改正，处2万元以下的罚款；逾期未改正的，处5万元以上10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未为3名以上10名以下从业人员提供符合国家标准或者行业标准的劳动防护用品，或者提供的劳动防护用品有3种以上7种以下不符合国家标准或者行业标准的，责令限期改正，处2万元以上4万元以下的罚款；逾期未改正的，处10万元以上15万元以下的罚款，对其直接负责的主管人员和其他直接责任人员处1万元以上2万元以下的罚款；情节严重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未为10名以上从业人员提供符合国家标准或者行业标准的劳动防护用品，或者提供的劳动防护用品有7种以上不符合国家标准或者行业标准的，责令限期改正，处4万元以上5万元以下的罚款；逾期未改正的，处15万元以上20万元以下的罚款，对其直接负责的主管人员和其他直接责任人员处1万元以上2万元以下的罚款；情节严重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两个以上生产经营单位在同一作业区域内进行可能危及对方安全生产的生产经营活动，未签订安全生产管理协议，但指定了专职安全生产管理人员进行安全检查与协调的，责令限期改正，处2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两个以上生产经营单位在同一作业区域内进行可能危及对方安全生产的生产经营活动，签订了安全生产管理协议，但未指定专职安全生产管理人员进行安全检查与协调的，责令限期改正，处2万元以上4万元以下的罚款，对其直接负责的主管人员和其他直接责任人员处1万元以下的罚款；逾期未改正的，责令停产停业；</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两个以上生产经营单位在同一作业区域内进行可能危及对方安全生产的生产经营活动，未签订安全生产管理协议，且未指定专职安全生产管理人员进行安全检查与协调的，责令限期改正，处4万元以上5万元以下的罚款，对其直接负责的主管人员和其他直接责任人员处1万元以下的罚款；逾期未改正的，责令停产停业。</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77"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30</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生产经营单位将生产经营项目、场所、设备发包或者出租给不具备安全生产条件或者相应资质的单位或者个人</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rPr>
            </w:pPr>
            <w:r>
              <w:rPr>
                <w:rFonts w:hint="eastAsia" w:ascii="宋体" w:hAnsi="宋体" w:eastAsia="宋体"/>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1.没有违法所得的，责令限期改正，处10万元以上15万元以下的罚款；对其直接负责的主管人员和其他直接责任人员处1万元以上2万元以下的罚款；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2.违法所得10万元以下的，责令限期改正，没收违法所得，并处15万元以上20万元以下的罚款；对其直接负责的主管人员和其他直接责任人员处1万元以上2万元以下的罚款；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3.违法所得10万元以上的，责令限期改正，没收违法所得，并处违法所得2倍以上5倍以下的罚款；对其直接负责的主管人员和其他直接责任人员处1万元以上2万元以下的罚款；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4.违法所得 30万元以上 40万元以下的，并处违法所得 3倍的罚款，对其直接负责的主管人员和其他直接责任人员处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5.违法所得 40万元以上 50万元以下的，并处违法所得 4倍的罚款，对其直接负责的主管人员和其他直接责任人员处 1万元以上 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6.违法所得 50万元以上的，并处违法所得 5倍的罚款，对其直接负责的主管人员和其他直接责任人员处 1万元以上 2万元以下的罚款。</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37"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与承包单位、承租单位签订专门的安全生产管理协议或者未在承包合同、租赁合同中明确各自的安全生产管理职责的，责令限期改正，处2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对承包单位、承租单位的安全生产统一协调、管理的，责令限期改正，处2万元以上4万元以下的罚款，对其直接负责的主管人员和其他直接责任人员处1万元以下的罚款；逾期未改正的，责令停产停业整顿；</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与承包单位、承租单位签订专门的安全生产管理协议或者未在承包合同、租赁合同中明确各自的安全生产管理职责，且未对承包单位、承租单位的安全生产统一协调、管理的，责令限期改正，处4万元以上5万元以下的罚款，对其直接负责的主管人员和其他直接责任人员处1万元以下的罚款；逾期未改正的，责令停产停业整顿。</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33</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高危行业、领域的生产经营单位未按照国家规定投保安全生产责任保险</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高危行业、领域的生产经营单位未按照国家规定投保安全生产责任保险，未投保人数3人以下或占应投保总人数比例在20%以下的，责令限期改正，处5万元以上7万元以下的罚款；逾期未改正的，处10万元以上13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高危行业、领域的生产经营单位未按照国家规定投保安全生产责任保险，未投保人数3人以上10人以下或占应投保总人数比例在20%以上50%以下的，责令限期改正，处7万元以上9万元以下的罚款；逾期未改正的，处13万元以上17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高危行业、领域的生产经营单位未按照国家规定投保安全生产责任保险，未投保人数10人以上或占应投保总人数比例在50%以上的，责令限期改正，处9万元以上10万元以下的罚款；逾期未改正的，处17万元以上20万元以下的罚款。</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8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生产经营单位与从业人员订立协议，免除或者减轻其对从业人员因生产安全事故伤亡依法应承担的责任</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1.生产经营单位与3名以下从业人员订立协议，免除或者减轻其对从业人员因生产安全事故伤亡依法应承担的责任的，处2万元以上5万元以下的罚款；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2.生产经营单位与3名以上10名以下从业人员订立协议，免除或者减轻其对从业人员因生产安全事故伤亡依法应承担的责任的，处5万元以上8万元以下的罚款；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3.生产经营单位与10名以上从业人员订立协议，免除或者减轻其对从业人员因生产安全事故伤亡依法应承担的责任的，处8万元以上10万元以下的罚款。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35</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生产经营单位拒绝、阻碍负有安全生产监督管理职责的部门依法实施监督检查的，责令改正；拒不改正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rPr>
              <w:t>违反条款：《中华人民共和国安全生产法》第六十六条；</w:t>
            </w:r>
            <w:r>
              <w:rPr>
                <w:rFonts w:hint="eastAsia" w:ascii="宋体" w:hAnsi="宋体" w:eastAsia="宋体"/>
                <w:color w:val="auto"/>
                <w:sz w:val="15"/>
                <w:szCs w:val="15"/>
                <w:highlight w:val="none"/>
              </w:rPr>
              <w:br w:type="textWrapping"/>
            </w:r>
            <w:r>
              <w:rPr>
                <w:rFonts w:hint="eastAsia" w:ascii="宋体" w:hAnsi="宋体" w:eastAsia="宋体"/>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1.以不知道、不配合等消极方式拒绝安全生产监督检查人员监督检查的，责令改正；拒不改正的，处2万元以上8万元以下的罚款，对其直接负责的主管人员和其他直接责任人员处1万元以上2万元以下的罚款；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2.以吵闹、谩骂等主动方式阻碍安全生产监督检查人员监督检查的，责令改正；拒不改正的，处8万元以上14万元以下的罚款，对其直接负责的主管人员和其他直接责任人员处1万元以上2万元以下的罚款；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3.以暴力、威胁的方式阻碍安全生产监督检查人员监督检查的，责令改正；拒不改正的，处14万元以上20万元以下的罚款，对其直接负责的主管人员和其他直接责任人员处1万元以上2万元以下的罚款；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36</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承担安全评价、认证、检测、检验职责的机构租借资质、挂靠、出具虚假报告</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违反条款：</w:t>
            </w:r>
            <w:r>
              <w:rPr>
                <w:rFonts w:hint="eastAsia" w:ascii="宋体" w:hAnsi="宋体" w:eastAsia="宋体"/>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1.没有违法所得的，处10万元以上15万元以下的罚款；对其直接负责的主管人员和其他直接责任人员处5万元以上7万元以下的罚款。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2.违法所得10万元以下的没收违法所得，并处15万元以上20万元以下的罚款；对其直接负责的主管人员和其他直接责任人员处7万元以上9万元以下的罚款。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3.违法所得10万元以上的没收违法所得，并处违法所得2倍以上5倍以下的罚款；对其直接负责的主管人员和其他直接责任人员处9万元以上10万元以下的罚款。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vMerge w:val="restart"/>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37</w:t>
            </w:r>
          </w:p>
        </w:tc>
        <w:tc>
          <w:tcPr>
            <w:tcW w:w="1830" w:type="dxa"/>
            <w:gridSpan w:val="3"/>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生产经营单位未按照规定制定生产安全事故应急救援预案或者未定期组织演练</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处罚条款：第九十</w:t>
            </w:r>
            <w:r>
              <w:rPr>
                <w:rFonts w:hint="eastAsia" w:ascii="宋体" w:hAnsi="宋体"/>
                <w:color w:val="auto"/>
                <w:sz w:val="15"/>
                <w:szCs w:val="15"/>
                <w:highlight w:val="none"/>
                <w:lang w:val="en-US" w:eastAsia="zh-CN"/>
              </w:rPr>
              <w:t>七</w:t>
            </w:r>
            <w:r>
              <w:rPr>
                <w:rFonts w:hint="eastAsia" w:ascii="宋体" w:hAnsi="宋体" w:eastAsia="宋体"/>
                <w:color w:val="auto"/>
                <w:sz w:val="15"/>
                <w:szCs w:val="15"/>
                <w:highlight w:val="none"/>
                <w:lang w:val="en-US" w:eastAsia="zh-CN"/>
              </w:rPr>
              <w:t>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缺少1个应急救援预案，或者有1个应急救援预案不符合编制基本要求的，责令限期改正，处3万元以下的罚款；逾期未改正的，责令停产停业整顿，并处10万元以上13万元以下的罚款，对其直接负责的主管人员和其他直接责任人员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缺少2个应急救援预案，或者有2个应急救援预案不符合编制基本要求的，责令限期改正，处3万元以上7万元以下的罚款；逾期未改正的，责令停产停业整顿，并处13万元以上17万元以下的罚款，对其直接负责的主管人员和其他直接责任人员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缺少3个以上应急救援预案，或者有3个以上应急救援预案不符合编制基本要求的，责令限期改正，处7万元以上10万元以下的罚款；逾期未改正的，责令停产停业整顿，并处17万元以上20万元以下的罚款，对其直接负责的主管人员和其他直接责任人员处4万元以上5万元以下的罚款。</w:t>
            </w:r>
          </w:p>
        </w:tc>
        <w:tc>
          <w:tcPr>
            <w:tcW w:w="1982" w:type="dxa"/>
            <w:gridSpan w:val="2"/>
            <w:vMerge w:val="restart"/>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90" w:hRule="atLeast"/>
        </w:trPr>
        <w:tc>
          <w:tcPr>
            <w:tcW w:w="610" w:type="dxa"/>
            <w:vMerge w:val="continue"/>
            <w:noWrap w:val="0"/>
            <w:vAlign w:val="center"/>
          </w:tcPr>
          <w:p>
            <w:pPr>
              <w:spacing w:line="232" w:lineRule="exact"/>
              <w:ind w:left="6" w:hanging="21"/>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1982" w:type="dxa"/>
            <w:gridSpan w:val="2"/>
            <w:vMerge w:val="continue"/>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32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38</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承担安全评价、认证、检测、检验职责的机构出具失实报告</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1.报告失实1处的，责令停业整顿，并处3万元以上5万元以下的罚款;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2.报告失实2处的，责令停业整顿，并处5万元以上8万元以下的罚款；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3.报告失实3处以上的，责令停业整顿，并处8万元以上10万元以下的罚款；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《应急管理行政裁量权基准暂行规定》（应急管理部令第12号）</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《应急管理行政处罚裁量权基准》</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39</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生产经营单位存在重大事故隐患，一百八十日内三次或者一年内四次受到《中华人民共和国安全生产法》规定的行政处罚</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40</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生产经营单位经停产停业整顿，仍不具备法律、行政法规和国家标准或者行业标准规定的安全生产条件</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二</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782"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生产经营单位拒不执行负有安全生产监督管理职责的部门作出的停产停业整顿决定</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r>
              <w:rPr>
                <w:rFonts w:hint="eastAsia" w:ascii="宋体" w:hAnsi="宋体" w:eastAsia="宋体" w:cs="宋体"/>
                <w:color w:val="auto"/>
                <w:spacing w:val="-4"/>
                <w:sz w:val="15"/>
                <w:szCs w:val="15"/>
                <w:highlight w:val="none"/>
                <w:lang w:val="en-US" w:eastAsia="zh-CN"/>
              </w:rPr>
              <w:t>依据应急管理部门的裁量权基准执行。</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90"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生产经营单位未执行专项安全生产管理措施逾期未改正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违反条款：《北京市安全生产条例》第四十四条第一款</w:t>
            </w:r>
            <w:r>
              <w:rPr>
                <w:rFonts w:hint="eastAsia" w:ascii="宋体" w:hAnsi="宋体" w:eastAsia="宋体"/>
                <w:color w:val="auto"/>
                <w:sz w:val="15"/>
                <w:szCs w:val="15"/>
                <w:highlight w:val="none"/>
                <w:lang w:eastAsia="zh-CN"/>
              </w:rPr>
              <w:t>；</w:t>
            </w:r>
            <w:r>
              <w:rPr>
                <w:rFonts w:hint="eastAsia" w:ascii="宋体" w:hAnsi="宋体" w:eastAsia="宋体"/>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处罚条款：第六十一条，责令限期改正；逾期未改正的，责令停止生产经营活动。</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r>
              <w:rPr>
                <w:rFonts w:hint="eastAsia" w:ascii="宋体" w:hAnsi="宋体" w:eastAsia="宋体" w:cs="宋体"/>
                <w:color w:val="auto"/>
                <w:spacing w:val="-4"/>
                <w:sz w:val="15"/>
                <w:szCs w:val="15"/>
                <w:highlight w:val="none"/>
                <w:lang w:val="en-US" w:eastAsia="zh-CN"/>
              </w:rPr>
              <w:t>责令停止生产经营活动.</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color w:val="auto"/>
                <w:spacing w:val="-4"/>
                <w:sz w:val="15"/>
                <w:szCs w:val="15"/>
                <w:highlight w:val="none"/>
                <w:lang w:val="en-US" w:eastAsia="zh-CN"/>
              </w:rPr>
            </w:pP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宋体" w:hAnsi="宋体" w:eastAsia="宋体" w:cs="宋体"/>
                <w:strike w:val="0"/>
                <w:dstrike w:val="0"/>
                <w:color w:val="auto"/>
                <w:kern w:val="0"/>
                <w:sz w:val="15"/>
                <w:szCs w:val="15"/>
                <w:highlight w:val="none"/>
                <w:lang w:eastAsia="zh-CN"/>
              </w:rPr>
            </w:pP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2"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43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生产经营单位开展危险化学品生产经营活动，未执行本市危险化学品禁止、限制、控制措施</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处罚条款：第六十二条，责令改正；拒不改正的，处二万元以上十万元以下的罚款。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1.从业人员在50人以下的生产经营单位开展危险化学品生产经营活动未执行本市危险化学品禁止、限制、控制措施，拒不改正的，处二万元以上五万元以下的罚款；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2.从业人员在50人以上100人以下的生产经营单位开展危险化学品生产经营活动未执行本市危险化学品禁止、限制、控制措施，拒不改正的，处五万元以上八万元以下的罚款；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3.从业人员在100人以上的生产经营单位开展危险化学品生产经营活动未执行本市危险化学品禁止、限制、控制措施，拒不改正的，处八万元以上十万元以下的罚款。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387" w:hRule="atLeast"/>
        </w:trPr>
        <w:tc>
          <w:tcPr>
            <w:tcW w:w="15100" w:type="dxa"/>
            <w:gridSpan w:val="14"/>
            <w:noWrap w:val="0"/>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eastAsia="宋体"/>
                <w:color w:val="auto"/>
                <w:sz w:val="15"/>
                <w:szCs w:val="15"/>
                <w:highlight w:val="none"/>
              </w:rPr>
            </w:pPr>
            <w:bookmarkStart w:id="195" w:name="_Toc1191107405"/>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05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生产经营单位主要负责人未履行规定的事故隐患排查治理职责且逾期不改正</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w:t>
            </w:r>
            <w:r>
              <w:rPr>
                <w:rFonts w:hint="eastAsia" w:ascii="宋体" w:hAnsi="宋体" w:eastAsia="宋体"/>
                <w:color w:val="auto"/>
                <w:sz w:val="15"/>
                <w:szCs w:val="15"/>
                <w:highlight w:val="none"/>
                <w:lang w:eastAsia="zh-Hans"/>
              </w:rPr>
              <w:t>第</w:t>
            </w:r>
            <w:r>
              <w:rPr>
                <w:rFonts w:hint="eastAsia" w:ascii="宋体" w:hAnsi="宋体" w:eastAsia="宋体"/>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处罚条款：第二十六条，责令限期改正；逾期未改正的，处2万元以上5万元以下罚款。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1.生产经营单位的主要负责人未履行北京市生产安全事故隐患排查治理办法第七条规定的事故隐患排查治理职责中任一项职责的，经责令限期改正，逾期未改的，对主要负责人处2万元以上3万元以下的罚款；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2.生产经营单位的主要负责人未履行北京市生产安全事故隐患排查治理办法第七条规定的事故隐患排查治理职责中任两项职责的，对主要负责人处3万元以上4万元以下的罚款；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3.生产经营单位的主要负责人未履行北京市生产安全事故隐患排查治理办法第七条规定的事故隐患排查治理职责中全部职责的，对主要负责人处4万元以上5万元以下的罚款。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676" w:hRule="atLeast"/>
        </w:trPr>
        <w:tc>
          <w:tcPr>
            <w:tcW w:w="610" w:type="dxa"/>
            <w:noWrap w:val="0"/>
            <w:vAlign w:val="center"/>
          </w:tcPr>
          <w:p>
            <w:pPr>
              <w:spacing w:line="232" w:lineRule="exact"/>
              <w:ind w:left="6" w:hanging="21"/>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生产经营单位未定期通报事故隐患排查治理情况，或者未公示重大事故隐患的危害程度、影响范围和应急措施</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生产经营单位未定期通报事故隐患排查治理情况累计3个月以下的，或者未公示重大事故隐患的危害程度、影响范围和应急措施中的任一项的，责令限期改正，可以处2万元以下罚款；逾期未改正的，责令停产停业整顿，并处5万元以上7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生产经营单位未定期通报事故隐患排查治理情况累计3个月以上6个月以下的，或者未公示重大事故隐患的危害程度、影响范围和应急措施中的任两项的，责令限期改正，可以处2万元以上4万元以下罚款；逾期未改正的，责令停产停业整顿，并处7万元以上9万元以下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生产经营单位未定期通报事故隐患排查治理情况累计6个月以上的，或者重大事故隐患的危害程度、影响范围和应急措施均未公示的，责令限期改正，可以处4万元以上5万元以下罚款；逾期未改正的，责令停产停业整顿，并处9万元以上10万元以下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《北京市安全生产行政处罚自由裁量基准（2025年修订版）》</w:t>
            </w:r>
          </w:p>
          <w:p>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cyan"/>
                <w:lang w:val="en-US" w:eastAsia="zh-CN"/>
              </w:rPr>
              <w:br w:type="textWrapping"/>
            </w:r>
            <w:r>
              <w:rPr>
                <w:rFonts w:hint="eastAsia" w:ascii="宋体" w:hAnsi="宋体" w:eastAsia="宋体"/>
                <w:color w:val="auto"/>
                <w:sz w:val="15"/>
                <w:szCs w:val="15"/>
                <w:highlight w:val="none"/>
                <w:lang w:val="en-US" w:eastAsia="zh-CN"/>
              </w:rPr>
              <w:br w:type="textWrapping"/>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33" w:hRule="atLeast"/>
        </w:trPr>
        <w:tc>
          <w:tcPr>
            <w:tcW w:w="610" w:type="dxa"/>
            <w:noWrap w:val="0"/>
            <w:vAlign w:val="center"/>
          </w:tcPr>
          <w:p>
            <w:pPr>
              <w:spacing w:line="232" w:lineRule="exact"/>
              <w:ind w:left="6" w:leftChars="0" w:hanging="21" w:firstLineChars="0"/>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生产经营单位未将无法及时消除并可能危及公共安全的事故隐患，向所在地负有安全生产监督管理职责的部门报告</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处罚条款：第二十九条，处5万元以下罚款。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【裁量阶次】违反前款规定的违法行为，属于基础裁量B档，按照以下裁量阶次处以罚款：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1.从业人员在50人以下的生产经营单位未将无法及时消除并可能危及公共安全的事故隐患，向所在地负有安全生产监督管理职责的部门报告的，处2万元以下的罚款；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2.从业人员在50人以上100人以下的生产经营单位未将无法及时消除并可能危及公共安全的事故隐患，向所在地负有安全生产监督管理职责的部门报告的，处2万元以上4万元以下的罚款；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3.从业人员在100人以上的生产经营单位未将无法及时消除并可能危及公共安全的事故隐患，向所在地负有安全生产监督管理职责的部门报告的，处4万元以上5万元以下的罚款。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1188" w:hRule="atLeast"/>
        </w:trPr>
        <w:tc>
          <w:tcPr>
            <w:tcW w:w="610" w:type="dxa"/>
            <w:noWrap w:val="0"/>
            <w:vAlign w:val="center"/>
          </w:tcPr>
          <w:p>
            <w:pPr>
              <w:spacing w:line="232" w:lineRule="exact"/>
              <w:ind w:left="6" w:hanging="21"/>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4</w:t>
            </w:r>
          </w:p>
        </w:tc>
        <w:tc>
          <w:tcPr>
            <w:tcW w:w="1830" w:type="dxa"/>
            <w:gridSpan w:val="3"/>
            <w:noWrap w:val="0"/>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生产经营单位未按照要求使用生产安全事故隐患排查治理信息系统，如实记录隐患排查治理情况</w:t>
            </w:r>
          </w:p>
        </w:tc>
        <w:tc>
          <w:tcPr>
            <w:tcW w:w="2789" w:type="dxa"/>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1.从业人员在50人以下的生产经营单位未按照要求使用生产安全事故隐患排查治理信息系统，如实记录隐患排查治理情况的，处2万元以下的罚款；逾期未改正的，处5万元以上7万元以下的罚款；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2.从业人员在50人以上100人以下的生产经营单位未按照要求使用生产安全事故隐患排查治理信息系统，如实记录隐患排查治理情况的，处2万元以上4万元以下的罚款；逾期未改正的，处7万元以上9万元以下的罚款；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3.从业人员在100人以上的生产经营单位未按照要求使用生产安全事故隐患排查治理信息系统，如实记录隐患排查治理情况的，处4万元以上5万元以下的罚款；逾期未改正的，处9万元以上10万元以下的罚款。</w:t>
            </w:r>
          </w:p>
        </w:tc>
        <w:tc>
          <w:tcPr>
            <w:tcW w:w="1982"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565" w:hRule="atLeast"/>
        </w:trPr>
        <w:tc>
          <w:tcPr>
            <w:tcW w:w="15100" w:type="dxa"/>
            <w:gridSpan w:val="14"/>
            <w:noWrap w:val="0"/>
            <w:vAlign w:val="center"/>
          </w:tcPr>
          <w:p>
            <w:pPr>
              <w:pStyle w:val="3"/>
              <w:bidi w:val="0"/>
              <w:jc w:val="center"/>
              <w:rPr>
                <w:rFonts w:hint="default" w:ascii="宋体" w:hAnsi="宋体" w:eastAsia="宋体" w:cs="宋体"/>
                <w:color w:val="auto"/>
                <w:kern w:val="0"/>
                <w:sz w:val="15"/>
                <w:szCs w:val="15"/>
                <w:highlight w:val="none"/>
                <w:lang w:val="en-US"/>
              </w:rPr>
            </w:pPr>
            <w:bookmarkStart w:id="196" w:name="_Toc118719427"/>
            <w:r>
              <w:rPr>
                <w:rFonts w:hint="eastAsia" w:ascii="宋体" w:hAnsi="宋体" w:eastAsia="宋体" w:cs="宋体"/>
                <w:color w:val="auto"/>
                <w:sz w:val="21"/>
                <w:szCs w:val="21"/>
                <w:highlight w:val="none"/>
                <w:lang w:val="en-US" w:eastAsia="zh-CN"/>
              </w:rPr>
              <w:t>《北京市生产经营单位安全生产主体责任规定》案由2项</w:t>
            </w:r>
            <w:bookmarkEnd w:id="19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845"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1</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危险物品的生产经营单位未按照规定配备注册安全工程师</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处罚条款：第三十七条， 责令改正，可以处5000元以上2万元以下罚款。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【裁量阶次】违反前款规定的违法行为，属于基础裁量C档，按照以下裁量阶次处以罚款：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1.从业人员在30人以下的矿山、金属冶炼、危险物品的生产经营单位违反本北京市生产经营单位安全生产主体责任规定第十四条第一款规定的，可以处5000元以上1万元以下的罚款；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 xml:space="preserve"> 2.从业人员在30人以上100人以下的矿山、金属冶炼、危险物品的生产经营单位违反本北京市生产经营单位安全生产主体责任规定第十四条第一款规定的，可以处1万元以上1.5万元以下的罚款；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3.从业人员在100人以上的矿山、金属冶炼、危险物品的生产经营单位违反本北京市生产经营单位安全生产主体责任规定第十四条第一款规定的，可以处1.5元以上2万元以下的罚款。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gridAfter w:val="1"/>
          <w:wAfter w:w="16" w:type="dxa"/>
          <w:trHeight w:val="2459" w:hRule="atLeast"/>
        </w:trPr>
        <w:tc>
          <w:tcPr>
            <w:tcW w:w="610" w:type="dxa"/>
            <w:noWrap w:val="0"/>
            <w:vAlign w:val="center"/>
          </w:tcPr>
          <w:p>
            <w:pPr>
              <w:spacing w:line="232" w:lineRule="exact"/>
              <w:ind w:left="6" w:leftChars="0" w:hanging="21" w:firstLineChars="0"/>
              <w:jc w:val="center"/>
              <w:rPr>
                <w:rFonts w:hint="default" w:ascii="宋体" w:hAnsi="宋体" w:eastAsia="宋体" w:cs="宋体"/>
                <w:color w:val="auto"/>
                <w:kern w:val="0"/>
                <w:sz w:val="15"/>
                <w:szCs w:val="15"/>
                <w:highlight w:val="none"/>
                <w:lang w:val="en-US"/>
              </w:rPr>
            </w:pPr>
            <w:r>
              <w:rPr>
                <w:rFonts w:hint="default" w:ascii="宋体" w:hAnsi="宋体" w:eastAsia="宋体" w:cs="宋体"/>
                <w:color w:val="auto"/>
                <w:kern w:val="0"/>
                <w:sz w:val="15"/>
                <w:szCs w:val="15"/>
                <w:highlight w:val="none"/>
                <w:lang w:val="en-US"/>
              </w:rPr>
              <w:t>2</w:t>
            </w:r>
          </w:p>
        </w:tc>
        <w:tc>
          <w:tcPr>
            <w:tcW w:w="1830"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处罚条款：第四十六条， 责令改正；拒不改正的，责令停产停业整顿，可以处2万元以上10万元以下罚款。</w:t>
            </w:r>
          </w:p>
        </w:tc>
        <w:tc>
          <w:tcPr>
            <w:tcW w:w="699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依据应急管理部门的裁量权基准执行。【“以上”包含本数、“以下”除法律规定的包含本数和最高档的“以下”包含本数外，其余均不包含本数。】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【裁量阶次】违反前款规定的违法行为，属于基础裁量A档，按照以下裁量阶次处以罚款：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1.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制定了作业方案，但未按照本单位内部批准权限审批，拒不改正的，可以处2万元以上4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2.危险物品的生产、经营、储存、装卸单位以及矿山、金属冶炼、建筑施工、运输单位以外的生产经营单位进行爆破、吊装、挖掘、悬吊、建设工程拆除、油罐清洗等危险作业，以及在有限空间内作业、动火作业、高处作业、带电作业、临近高压输电线路作业时，既未制定作业方案，也未按照本单位内部批准权限审批，拒不改正的，可以处4万元以上6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3.危险物品的生产、经营、储存、装卸单位以及矿山、金属冶炼、建筑施工、运输单位进行爆破、吊装、挖掘、悬吊、建设工程拆除、油罐清洗等危险作业，以及在有限空间内作业、动火作业、高处作业、带电作业、临近高压输电线路作业时，制定了作业方案，但未按照本单位内部批准权限审批，拒不改正的，可以处6万元以上8万元以下的罚款；</w:t>
            </w:r>
            <w:r>
              <w:rPr>
                <w:rFonts w:hint="eastAsia" w:ascii="宋体" w:hAnsi="宋体" w:eastAsia="宋体"/>
                <w:color w:val="auto"/>
                <w:sz w:val="15"/>
                <w:szCs w:val="15"/>
                <w:highlight w:val="none"/>
                <w:lang w:val="en-US" w:eastAsia="zh-CN"/>
              </w:rPr>
              <w:br w:type="textWrapping"/>
            </w:r>
            <w:r>
              <w:rPr>
                <w:rFonts w:hint="eastAsia" w:ascii="宋体" w:hAnsi="宋体" w:eastAsia="宋体"/>
                <w:color w:val="auto"/>
                <w:sz w:val="15"/>
                <w:szCs w:val="15"/>
                <w:highlight w:val="none"/>
                <w:lang w:val="en-US" w:eastAsia="zh-CN"/>
              </w:rPr>
              <w:t>4.危险物品的生产、经营、储存、装卸单位以及矿山、金属冶炼、建筑施工、运输单位进行爆破、吊装、挖掘、悬吊、建设工程拆除、油罐清洗等危险作业，以及在有限空间内作业、动火作业、高处作业、带电作业、临近高压输电线路作业时，既未制定作业方案，也未按照本单位内部批准权限审批，拒不改正的，可以处8万元以上10万元以下的罚款。</w:t>
            </w:r>
          </w:p>
        </w:tc>
        <w:tc>
          <w:tcPr>
            <w:tcW w:w="19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olor w:val="auto"/>
                <w:sz w:val="15"/>
                <w:szCs w:val="15"/>
                <w:highlight w:val="none"/>
                <w:lang w:val="en-US" w:eastAsia="zh-CN"/>
              </w:rPr>
            </w:pPr>
            <w:r>
              <w:rPr>
                <w:rFonts w:hint="eastAsia" w:ascii="宋体" w:hAnsi="宋体" w:eastAsia="宋体"/>
                <w:color w:val="auto"/>
                <w:sz w:val="15"/>
                <w:szCs w:val="15"/>
                <w:highlight w:val="none"/>
                <w:lang w:val="en-US" w:eastAsia="zh-CN"/>
              </w:rPr>
              <w:t>《北京市安全生产行政处罚自由裁量基准》（2025 年修订版）</w:t>
            </w:r>
          </w:p>
        </w:tc>
        <w:tc>
          <w:tcPr>
            <w:tcW w:w="897"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center"/>
              <w:textAlignment w:val="auto"/>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center"/>
              <w:textAlignment w:val="auto"/>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13" w:hRule="atLeast"/>
        </w:trPr>
        <w:tc>
          <w:tcPr>
            <w:tcW w:w="15116"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黑体" w:cs="Times New Roman"/>
                <w:color w:val="auto"/>
                <w:kern w:val="0"/>
                <w:sz w:val="28"/>
                <w:szCs w:val="28"/>
                <w:highlight w:val="none"/>
              </w:rPr>
            </w:pPr>
            <w:bookmarkStart w:id="197" w:name="_Toc218468823"/>
            <w:bookmarkStart w:id="198" w:name="_Toc1283790493"/>
            <w:r>
              <w:rPr>
                <w:rFonts w:hint="eastAsia" w:ascii="黑体" w:hAnsi="黑体" w:eastAsia="黑体" w:cs="黑体"/>
                <w:color w:val="auto"/>
                <w:kern w:val="0"/>
                <w:sz w:val="28"/>
                <w:szCs w:val="28"/>
                <w:highlight w:val="none"/>
              </w:rPr>
              <w:t>节约用水管理方面</w:t>
            </w:r>
            <w:bookmarkEnd w:id="197"/>
            <w:bookmarkEnd w:id="1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24" w:hRule="atLeast"/>
        </w:trPr>
        <w:tc>
          <w:tcPr>
            <w:tcW w:w="15116" w:type="dxa"/>
            <w:gridSpan w:val="15"/>
            <w:tcBorders>
              <w:top w:val="single" w:color="auto" w:sz="4" w:space="0"/>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199" w:name="_Toc63272418"/>
            <w:bookmarkStart w:id="200" w:name="_Toc218468824"/>
            <w:r>
              <w:rPr>
                <w:rFonts w:hint="eastAsia" w:ascii="宋体" w:hAnsi="宋体" w:eastAsia="宋体" w:cs="宋体"/>
                <w:b/>
                <w:bCs/>
                <w:color w:val="auto"/>
                <w:kern w:val="0"/>
                <w:szCs w:val="21"/>
                <w:highlight w:val="none"/>
              </w:rPr>
              <w:t>《中华人民共和国水法》《节约用水条例》案由4项</w:t>
            </w:r>
            <w:bookmarkEnd w:id="199"/>
            <w:bookmarkEnd w:id="2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建设项目的节水设施没有建成或者没有达到国家规定的要求，擅自投入使用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违反条款：《水法》第五十三条；《条例》第十九条；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处罚条款：《水法》第七十一条，责令停止使用，限期改正，处五万元以上十万元以下的罚款；《条例》第四十七条，依照《水法》有关规定给予处罚。</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侵占、损毁、擅自移动用水计量设施，或者干扰用水计量</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处罚条款：《条例》第四十六条，责令停止违法行为，限期采取补救措施，处1万元以上10万元以下的罚款；造成损失的，依法承担赔偿责任。</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40" w:hRule="atLeast"/>
        </w:trPr>
        <w:tc>
          <w:tcPr>
            <w:tcW w:w="612" w:type="dxa"/>
            <w:gridSpan w:val="2"/>
            <w:vMerge w:val="restart"/>
            <w:tcBorders>
              <w:top w:val="nil"/>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 </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工业企业的生产设备冷却水、空调冷却水、锅炉冷凝水未回收利用</w:t>
            </w:r>
          </w:p>
        </w:tc>
        <w:tc>
          <w:tcPr>
            <w:tcW w:w="2806"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处罚条款：《条例》第四十九条，责令改正，可以处5万元以下的罚款；拒不改正的，处5万元以上10万元以下的罚款。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w:t>
            </w:r>
            <w:r>
              <w:rPr>
                <w:rFonts w:hint="eastAsia" w:ascii="宋体" w:hAnsi="宋体" w:eastAsia="宋体" w:cs="宋体"/>
                <w:color w:val="auto"/>
                <w:kern w:val="0"/>
                <w:sz w:val="15"/>
                <w:szCs w:val="15"/>
                <w:highlight w:val="none"/>
                <w:lang w:val="en-US" w:eastAsia="zh-CN"/>
              </w:rPr>
              <w:t>5000</w:t>
            </w:r>
            <w:r>
              <w:rPr>
                <w:rFonts w:hint="eastAsia" w:ascii="宋体" w:hAnsi="宋体" w:eastAsia="宋体" w:cs="宋体"/>
                <w:color w:val="auto"/>
                <w:kern w:val="0"/>
                <w:sz w:val="15"/>
                <w:szCs w:val="15"/>
                <w:highlight w:val="none"/>
              </w:rPr>
              <w:t>元以下罚款决定的，</w:t>
            </w:r>
            <w:r>
              <w:rPr>
                <w:rFonts w:hint="eastAsia" w:ascii="宋体" w:hAnsi="宋体" w:eastAsia="宋体" w:cs="宋体"/>
                <w:color w:val="auto"/>
                <w:kern w:val="0"/>
                <w:sz w:val="15"/>
                <w:szCs w:val="15"/>
                <w:highlight w:val="none"/>
                <w:lang w:eastAsia="zh-CN"/>
              </w:rPr>
              <w:t>由执法人员在案卷中说明理由，并报案审会决定。</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36"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对高耗水工业企业用水水平超过用水定额，未在规定的期限内进行节水改造</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15"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14"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1" w:name="_Toc122322676"/>
            <w:bookmarkStart w:id="202" w:name="_Toc218468825"/>
            <w:r>
              <w:rPr>
                <w:rFonts w:hint="eastAsia" w:ascii="宋体" w:hAnsi="宋体" w:eastAsia="宋体" w:cs="宋体"/>
                <w:b/>
                <w:bCs/>
                <w:color w:val="auto"/>
                <w:kern w:val="0"/>
                <w:szCs w:val="21"/>
                <w:highlight w:val="none"/>
              </w:rPr>
              <w:t>《城市房屋便器水箱应用监督管理办法》案由4项</w:t>
            </w:r>
            <w:bookmarkEnd w:id="201"/>
            <w:bookmarkEnd w:id="2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将安装有淘汰便器水箱和配件的新建房屋验收交付使用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处罚条款：第九条第一款第（一）项，责令限期改正，并可按每套便器水箱配件处以30-100元的罚款，最高不超过30000元。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未按更新改造计划更换淘汰便器水箱和配件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处罚条款：第九条第一款第（二）项，责令限期改正，并可按每套便器水箱配件处以30-100元的罚款，最高不超过30000元。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在限定的期限内未更换淘汰便器水箱和配件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处罚条款：第九条第一款第（三）项，责令限期改正，并可按每套便器水箱配件处以30-100元的罚款，最高不超过30000元。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漏水严重的房屋便器水箱和配件未按期进行维修或者更新</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处罚条款：第九条第一款第（四）项，责令限期改正，并可按每套便器水箱配件处以30-100元的罚款，最高不超过30000元。</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3" w:name="_Toc249234913"/>
            <w:bookmarkStart w:id="204" w:name="_Toc218468826"/>
            <w:r>
              <w:rPr>
                <w:rFonts w:hint="eastAsia" w:ascii="宋体" w:hAnsi="宋体" w:eastAsia="宋体" w:cs="宋体"/>
                <w:b/>
                <w:bCs/>
                <w:color w:val="auto"/>
                <w:kern w:val="0"/>
                <w:szCs w:val="21"/>
                <w:highlight w:val="none"/>
              </w:rPr>
              <w:t>《北京市节水条例》《北京市水污染防治条例》案由14项</w:t>
            </w:r>
            <w:bookmarkEnd w:id="203"/>
            <w:bookmarkEnd w:id="2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园林绿化用水未采用节水灌溉方式或者未采取其他节水措施，造成浪费用水的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处罚条款：《节水条例》第六十四条第一款，责令限期改正；逾期不改正的，处一万元以上五万元以下罚款。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纯净水生产企业产水率不符合国家和本市有关规定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工业用水的重复利用率未达到强制性标准且未及时进行技术改造</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处罚条款：《节水条例》第六十五条第一款，责令限期改正，处一万元以上十万元以下罚款。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作出立案决定前，应与水务部门会商相关标准意见</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农村生活用水免费供水或者实行包费制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处罚条款：《节水条例》第六十条第二款，责令限期改正，给予警告；逾期不改正的，可以按照每户二百元以上五百元以下的标准处以罚款。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罚款金额=200×（1+情节系数）×供水户数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2"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从园林绿化、环境卫生、消防等公共用水设施非法用水</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处罚条款：《节水条例》第六十八条，责令停止违法行为，对单位处一万元以上十万元以下罚款，对个人处一千元以上一万元以下罚款。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使用两个以上取水口的，以公共用水设施管径对应的系数进行累加计算。</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用水单位未依法取得临时用水指标擅自用水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违反条款：《节水条例》第二十九条第三款；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处罚条款：《节水条例》第六十一条，责令限期改正，处二万元以上十万元以下罚款。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园林绿化、环境卫生临时用水的，优先选择“单次用水量”；建筑施工临时用水的，优先选择“持续用水天数”。</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服务业用水单位未按照规定安装、使用循环用水设施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处罚条款：《节水条例》第六十六条，责令限期改正；逾期不改正的，处一千元以上一万元以下罚款。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以水为主要原料生成高纯度制剂的单位未回收利用生产后的尾水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处罚条款：《节水条例》第六十五条第二款，责令限期改正，处一万元以上十万元以下罚款。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提供洗车服务的用水户未建设、使用循环用水设施或者未按照规定使用再生水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提供洗车服务的用水户，未按照规定向水务部门报送已建成循环用水设施的登记表或者提供再生水供水合同</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处罚条款：《节水条例》第六十七条，责令限期改正，给予警告；逾期不改正的，处一千元以下罚款。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200</w:t>
            </w:r>
            <w:r>
              <w:rPr>
                <w:rFonts w:hint="eastAsia" w:ascii="宋体" w:hAnsi="宋体" w:eastAsia="宋体" w:cs="宋体"/>
                <w:color w:val="auto"/>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需要作出</w:t>
            </w:r>
            <w:r>
              <w:rPr>
                <w:rFonts w:hint="eastAsia" w:ascii="宋体" w:hAnsi="宋体" w:eastAsia="宋体" w:cs="宋体"/>
                <w:color w:val="auto"/>
                <w:kern w:val="0"/>
                <w:sz w:val="15"/>
                <w:szCs w:val="15"/>
                <w:highlight w:val="none"/>
                <w:lang w:val="en-US" w:eastAsia="zh-CN"/>
              </w:rPr>
              <w:t>200元以下罚款决定的，由执法人员在案卷中说明理由。</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现场制售饮用水的单位或者个人未安装尾水回收设施对尾水进行利用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违反条款：《节水条例》第三十六条第四款；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处罚条款：《节水条例》第六十五条第三款，责令限期改正；逾期不改正的，责令拆除，处五千元以上二万元以下罚款。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非居民用水户未保障节水设施正常运行，造成浪费用水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处罚条款：《节水条例》第六十二条，责令限期改正；逾期不改正的，处五万元以下罚款。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再生水、供暖等非饮用水管网与供水管网连接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违反条款：《节水条例》第三十二条第一款；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住宅小区、单位内部的景观用水使用地下水、自来水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违反条款：《水污染防治条例》第六十九条第二款；《节水条例》第三十五条第三款；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05" w:name="_Toc218468827"/>
            <w:bookmarkStart w:id="206" w:name="_Toc523868433"/>
            <w:r>
              <w:rPr>
                <w:rFonts w:hint="eastAsia" w:ascii="黑体" w:hAnsi="黑体" w:eastAsia="黑体" w:cs="黑体"/>
                <w:color w:val="auto"/>
                <w:kern w:val="0"/>
                <w:sz w:val="28"/>
                <w:szCs w:val="28"/>
                <w:highlight w:val="none"/>
              </w:rPr>
              <w:t>水资源管理方面</w:t>
            </w:r>
            <w:bookmarkEnd w:id="205"/>
            <w:bookmarkEnd w:id="2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4"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07" w:name="_Toc218468828"/>
            <w:bookmarkStart w:id="208" w:name="_Toc866751849"/>
            <w:r>
              <w:rPr>
                <w:rFonts w:hint="eastAsia" w:ascii="宋体" w:hAnsi="宋体" w:eastAsia="宋体" w:cs="宋体"/>
                <w:b/>
                <w:bCs/>
                <w:color w:val="auto"/>
                <w:kern w:val="0"/>
                <w:szCs w:val="21"/>
                <w:highlight w:val="none"/>
              </w:rPr>
              <w:t>《中华人民共和国水法》案由2项</w:t>
            </w:r>
            <w:bookmarkEnd w:id="207"/>
            <w:bookmarkEnd w:id="2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未经批准擅自取水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违反条款：第四十八条第一款；《铁路安全管理条例》第三十五条第一款、第二款；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在地下水禁止开采区或者限制开采区抽取地下水。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未依照批准的取水许可规定条件取水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09" w:name="_Toc218468829"/>
            <w:bookmarkStart w:id="210" w:name="_Toc1129998119"/>
            <w:r>
              <w:rPr>
                <w:rFonts w:hint="eastAsia" w:ascii="宋体" w:hAnsi="宋体" w:eastAsia="宋体" w:cs="宋体"/>
                <w:b/>
                <w:bCs/>
                <w:color w:val="auto"/>
                <w:kern w:val="0"/>
                <w:szCs w:val="21"/>
                <w:highlight w:val="none"/>
              </w:rPr>
              <w:t>《取水许可和水资源费征收管理条例》《地下水管理条例》案由9项</w:t>
            </w:r>
            <w:bookmarkEnd w:id="209"/>
            <w:bookmarkEnd w:id="2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取水申请人隐瞒有关情况或者提供虚假材料骗取取水申请批准文件或者取水许可证</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处罚条款：《取水许可和水资源费征收管理条例》第五十条，给予警告，责令其限期补缴应当缴纳的水资源费，处2万元以上10万元以下罚款。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取水单位或者个人拒不执行审批机关作出的取水量限制决定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违反条款：《取水许可和水资源费征收管理条例》第二十七条和第四十一条；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取水单位或者个人未经批准擅自转让取水权</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取水单位或者个人不按照规定报送年度取水情况</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逾期报送时间＞25个工作日视为情节严重。拟作出吊销取水许可证的，在作出处罚决定前，要邀请行业主管部门共同会商。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取水单位拒绝接受监督检查或者弄虚作假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取水单位或个人退水水质达不到规定要求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处罚条款：《取水许可和水资源费征收管理条例》责令停止违法行为，限期改正，处5000元以上2万元以下罚款；情节严重的，吊销取水许可证。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取水单位或个人未安装计量设施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处罚条款：《地下水管理条例》第五十六条第一款，责令限期安装，处10万元以上50万元以下罚款；情节严重的，吊销取水许可证。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1.日最大取水能力总和＜1000立方米，系数为0；2.1000立方米≤日最大取水能力总和＜3000立方米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系数为1；3.3000立方米≤日最大取水能力总和＜5000立方米</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取水单位或个人计量设施不合格或者运行不正常</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违反条款：《地下水管理条例》第二十二条第二款；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auto"/>
                <w:kern w:val="0"/>
                <w:sz w:val="15"/>
                <w:szCs w:val="15"/>
                <w:highlight w:val="none"/>
              </w:rPr>
            </w:pPr>
            <w:r>
              <w:rPr>
                <w:rFonts w:hint="eastAsia" w:ascii="宋体" w:hAnsi="宋体" w:eastAsia="宋体" w:cs="宋体"/>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违反条款：《取水许可和水资源费征收管理条例》第四十三条；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sz w:val="15"/>
                <w:szCs w:val="15"/>
                <w:highlight w:val="none"/>
              </w:rPr>
              <w:t>1.日最大取水能力总和＜1000立方米，系数为0；2.1000立方米≤日最大取水能力总和＜3000立方米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系数为3；3.3000立方米≤日最大取水能力总和＜5000立方米</w:t>
            </w: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伪造、涂改、冒用取水申请批准文件、取水许可证</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处罚条款：第五十六条，责令改正，没收违法所得和非法财物，并处2万元以上10万元以下罚款。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1" w:name="_Toc796741224"/>
            <w:bookmarkStart w:id="212" w:name="_Toc218468830"/>
            <w:r>
              <w:rPr>
                <w:rFonts w:hint="eastAsia" w:ascii="宋体" w:hAnsi="宋体" w:eastAsia="宋体" w:cs="宋体"/>
                <w:b/>
                <w:bCs/>
                <w:color w:val="auto"/>
                <w:kern w:val="0"/>
                <w:szCs w:val="21"/>
                <w:highlight w:val="none"/>
              </w:rPr>
              <w:t>《地下水管理条例》案由6项</w:t>
            </w:r>
            <w:bookmarkEnd w:id="211"/>
            <w:bookmarkEnd w:id="2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利用岩层孔隙、裂隙、溶洞、废弃矿坑等贮存城镇污水处理设施产生的污泥和处理后的污泥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造成严重后果，处以下罚款：1.410吨≤污泥量＜430吨，系数为0；430吨≤污泥量＜450吨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造成严重后果，处以下罚款：1.410吨≤污泥量＜510吨，系数为0；510吨≤污泥量＜610吨</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矿产资源开采、地下工程建设疏干排水应当定期报送疏干排水量和地下水水位状况而未报送</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地下工程建设应当于开工前将工程建设方案和防止对地下水产生不利影响的措施方案备案而未备案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处罚条款：第五十七条第二款，责令限期补报；逾期不补报的，处2万元以上10万元以下罚款。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侵占、毁坏或者擅自移动地下水监测设施设备及其标志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处罚条款：第六十条，责令停止违法行为，限期采取补救措施，处2万元以上10万元以下罚款。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地下水监测设施设备及其标志恢复正常运行视为达到效果。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以监测、勘探为目的的地下水取水工程在施工前应当备案而未备案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处罚条款：第六十一条，责令限期补办备案手续；逾期不补办备案手续的，责令限期封井或者回填，处2万元以上10万元以下罚款。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地下工程建设对地下水补给、径流、排泄等造成重大不利影响</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处罚条款：第五十七条，责令限期采取措施消除不利影响，处10万元以上50万元以下罚款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3" w:name="_Toc1870106766"/>
            <w:bookmarkStart w:id="214" w:name="_Toc218468831"/>
            <w:r>
              <w:rPr>
                <w:rFonts w:hint="eastAsia" w:ascii="宋体" w:hAnsi="宋体" w:eastAsia="宋体" w:cs="宋体"/>
                <w:b/>
                <w:bCs/>
                <w:color w:val="auto"/>
                <w:kern w:val="0"/>
                <w:szCs w:val="21"/>
                <w:highlight w:val="none"/>
              </w:rPr>
              <w:t>《取水许可管理办法》案由3项</w:t>
            </w:r>
            <w:bookmarkEnd w:id="213"/>
            <w:bookmarkEnd w:id="2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取水单位擅自停止使用节水设施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处罚条款：第四十九条第一款第（一）项，责令其限期改正，并可处1000元以下罚款。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1.擅自停止使用节水设施＜30天，系数为0；2.30天≤擅自停止使用节水设施＜90天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系数为2；3.90天≤擅自停止使用节水设施＜150天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系数为4；4.150天≤擅自停止使用节水设施＜270天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系数为6；5.270天≤擅自停止使用节水设施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擅自停止使用取退水计量设施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处罚条款：第四十九条第一款第（二）项，责令其限期改正，并可处1000元以下罚款。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1.擅自停止使用取退水计量设施＜30天，系数为0；2.30天≤擅自停止使用取退水计量设施＜90天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系数为2；3.90天≤擅自停止使用取退水计量设施＜150天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系数为4；4.150天≤擅自停止使用取退水计量设施＜270天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系数为6；5.270天≤擅自停止使用取退水计量设施</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不按规定提供取水、退水计量资料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违反条款：第四十九条第一款第（三）项；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处罚条款：第四十九条第一款第（三）项，责令其限期改正，并可处1000元以下罚款。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1.不按规定提供取水、退水计量资料＜30天，系数为0；2.30天≤不按规定提供取水、退水计量资料＜90天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系数为2；3.90天≤不按规定提供取水、退水计量资料＜150天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系数为4；4.150天≤不按规定提供取水、退水计量资料＜270天</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系数为6；5.270天≤不按规定提供取水、退水计量资料</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15" w:name="_Toc447425803"/>
            <w:bookmarkStart w:id="216" w:name="_Toc218468832"/>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办法》案由1项</w:t>
            </w:r>
            <w:bookmarkEnd w:id="215"/>
            <w:bookmarkEnd w:id="2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未经批准开凿机井</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处罚条款：第四十四条，责令停止违法行为，限期补办手续，并处二万元以上六万元以下的罚款。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本案由适用于在非地下水严重超采区或集中供水管网覆盖范围地区未经批准开凿机井。</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处罚条款：第四十五条，责令停止违法行为，限期封井，并处七万元以上十万元以下的罚款。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罚款金额=70000×（1+情节系数）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本案由适用于在地下水严重超采区或集中供水管网覆盖范围地区非法开凿机井。</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67"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17" w:name="_Toc218468833"/>
            <w:bookmarkStart w:id="218" w:name="_Toc793211724"/>
            <w:r>
              <w:rPr>
                <w:rFonts w:hint="eastAsia" w:ascii="黑体" w:hAnsi="黑体" w:eastAsia="黑体" w:cs="黑体"/>
                <w:color w:val="auto"/>
                <w:kern w:val="0"/>
                <w:sz w:val="28"/>
                <w:szCs w:val="28"/>
                <w:highlight w:val="none"/>
              </w:rPr>
              <w:t>排水管理方面</w:t>
            </w:r>
            <w:bookmarkEnd w:id="217"/>
            <w:bookmarkEnd w:id="2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19" w:name="_Toc218468834"/>
            <w:bookmarkStart w:id="220" w:name="_Toc1329517689"/>
            <w:r>
              <w:rPr>
                <w:rFonts w:hint="eastAsia" w:ascii="宋体" w:hAnsi="宋体" w:eastAsia="宋体" w:cs="宋体"/>
                <w:b/>
                <w:bCs/>
                <w:color w:val="auto"/>
                <w:kern w:val="0"/>
                <w:szCs w:val="21"/>
                <w:highlight w:val="none"/>
              </w:rPr>
              <w:t>《中华人民共和国固体废物污染环境防治法》《城镇排水与污水处理条例》《中华人民共和国水污染防治法》案由2项</w:t>
            </w:r>
            <w:bookmarkEnd w:id="219"/>
            <w:bookmarkEnd w:id="2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8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产生的污泥以及处理处置后的污泥的去向、用途、用量等未进行跟踪、记录的，或者处理处置后的污泥不符合国家有关标准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违反条款：《固体废物污染环境防治法》第七十一条第一款；《条例》第三十条；《水污染防治法》第五十一条；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擅自倾倒、堆放、丢弃、遗撒污泥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违反条款：《固体废物污染环境防治法》第七十二条第一款；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21" w:name="_Toc1963767815"/>
            <w:bookmarkStart w:id="222" w:name="_Toc218468835"/>
            <w:r>
              <w:rPr>
                <w:rFonts w:hint="eastAsia" w:ascii="宋体" w:hAnsi="宋体" w:eastAsia="宋体" w:cs="宋体"/>
                <w:b/>
                <w:bCs/>
                <w:color w:val="auto"/>
                <w:kern w:val="0"/>
                <w:szCs w:val="21"/>
                <w:highlight w:val="none"/>
              </w:rPr>
              <w:t>《城镇排水与污水处理条例》《北京市排水和再生水管理办法》案由12项</w:t>
            </w:r>
            <w:bookmarkEnd w:id="221"/>
            <w:bookmarkEnd w:id="2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18"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城镇排水与污水处理设施、再生水设施维护运营单位未按照有关规定履行日常巡查、维修和养护责任，保障设施安全运行</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处罚条款：《办法》第三十七条第一款第（一）项，给予警告，责令限期改正，并可处1万元以上3万元以下罚款。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本案由主要适用于对再生水设施未履行巡查、养护和维护职责行为的处罚。</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因工程建设需要擅自拆除、改动城镇排水与污水处理设施</w:t>
            </w:r>
          </w:p>
        </w:tc>
        <w:tc>
          <w:tcPr>
            <w:tcW w:w="2806"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nil"/>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造成严重后果的，处以下罚款：1.违法行为改正时间=1天，系数为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；违法行为改正时间每增加1天，系数加0.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11</w:t>
            </w:r>
            <w:r>
              <w:rPr>
                <w:rFonts w:hint="eastAsia" w:ascii="宋体" w:hAnsi="宋体" w:eastAsia="宋体" w:cs="宋体"/>
                <w:color w:val="auto"/>
                <w:kern w:val="0"/>
                <w:sz w:val="15"/>
                <w:szCs w:val="15"/>
                <w:highlight w:val="none"/>
              </w:rPr>
              <w:t>天≤违法行为改正时间，系数为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0000×（1+情节系数）</w:t>
            </w:r>
          </w:p>
        </w:tc>
        <w:tc>
          <w:tcPr>
            <w:tcW w:w="1973" w:type="dxa"/>
            <w:gridSpan w:val="2"/>
            <w:vMerge w:val="continue"/>
            <w:tcBorders>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在雨水、污水分流地区，建设单位、施工单位将雨水管网、污水管网相互混接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处罚条款：《条例》第四十八条，责令改正，处5万元以上10万元以下的罚款。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在雨水、污水分流地区将污水排入雨水管网</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存在以下情形之一的，可视为严重后果：1.出现生态赔偿的；2.造成污染物外溢且影响户数＞1000户；3.经执法部门处罚后，一年度内再次发生同类型违法行为。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城镇排水设施维护运营单位未按照防汛要求对城镇排水设施进行全面检查、维护、清疏，影响汛期排水畅通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处罚条款：《条例》第五十一条，责令改正，给予警告；逾期不改正或者造成严重后果的，处10万元以上20万元以下罚款。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，处以下罚款：1.影响汛期排水通畅时间＜6小时，系数为0</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发生一般及以上安全事故的，视为严重后果。</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城镇排水设施维护运营单位未按照有关规定检测、报送有关信息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处罚条款：《条例》第五十二条第一款，责令改正，可以处5万元以下罚款。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擅自停运城镇污水处理设施，未按照规定事先报告或者采取应急处理措施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处罚条款：《条例》第五十二条第二款，责令改正，给予警告；逾期不改正或者造成严重后果的，处10万元以上50万元以下罚</w:t>
            </w:r>
            <w:r>
              <w:rPr>
                <w:rFonts w:hint="eastAsia" w:ascii="宋体" w:hAnsi="宋体" w:eastAsia="宋体" w:cs="宋体"/>
                <w:color w:val="auto"/>
                <w:kern w:val="0"/>
                <w:sz w:val="15"/>
                <w:szCs w:val="15"/>
                <w:highlight w:val="none"/>
                <w:lang w:eastAsia="zh-CN"/>
              </w:rPr>
              <w:t>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，处以下罚款：1.晚于法定报告时间＜10个工作日，系数为0；</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10个工作日≤晚于法定报告时间＜30个工作日，系数为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30个工作日≤晚于法定报告时间＜60个工作日，系数为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60个工作日≤晚于法定报告时间＜90个工作日，系数为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90个工作日≤晚于法定报告时间，系数为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.未按照规定采取应急措施，系数为2。</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排水单位（用水单位）或者个人不缴纳污水处理费</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处罚条款：《条例》第五十四条，责令限期缴纳，逾期拒不缴纳的，处应缴纳污水处理费数额1倍以上3倍以下罚款。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罚款金额=应缴纳污水处理费×（1+情节系数）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78"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因巡查、维护不到位，导致窨井盖丢失、损毁，造成人员伤亡和财产损失</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处罚条款：《条例》第五十五条第一款第（三）项，责令改正，给予警告；逾期不改正或者造成严重后果的，处10万元以上50万元以下罚款。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限期改正，且无人员伤亡，给予警告。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（二）逾期不改正，但无人员伤亡，处以下罚款：1.财产损失＜5万，系数为0；2.5万≤财产损失＜10万，系数为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；3.10万≤财产损失＜15万，系数为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；4.15万≤财产损失＜20万，系数为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；5.20万≤财产损失，系数为</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。6.存在基准2.1.3规定情形的，系数按照相关规定确定（基准2.1.3.5不适用）。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城镇排水与污水处理安全事故或者突发事件发生后，未及时采取防护措施、组织事故抢修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处罚条款：《条例》第五十五条第一款第（二）项，责令改正，给予警告；逾期不改正或者造成严重后果的，处10万元以上50万元以下罚款。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，处以下罚款：1.逾期后改正时间＜2天，系数为0；2.2天≤逾期后改正时间＜</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1.5</w:t>
            </w: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2；6</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2.5；7</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7</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3；8</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8</w:t>
            </w:r>
            <w:r>
              <w:rPr>
                <w:rFonts w:hint="eastAsia" w:ascii="宋体" w:hAnsi="宋体" w:eastAsia="宋体" w:cs="宋体"/>
                <w:color w:val="auto"/>
                <w:kern w:val="0"/>
                <w:sz w:val="15"/>
                <w:szCs w:val="15"/>
                <w:highlight w:val="none"/>
              </w:rPr>
              <w:t>天≤逾期后改正时间＜</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天，系数为</w:t>
            </w:r>
            <w:r>
              <w:rPr>
                <w:rFonts w:hint="eastAsia" w:ascii="宋体" w:hAnsi="宋体" w:eastAsia="宋体" w:cs="宋体"/>
                <w:color w:val="auto"/>
                <w:kern w:val="0"/>
                <w:sz w:val="15"/>
                <w:szCs w:val="15"/>
                <w:highlight w:val="none"/>
                <w:lang w:val="en-US" w:eastAsia="zh-CN"/>
              </w:rPr>
              <w:t>3.5；9</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天≤逾期后改正时间，系数为</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处罚条款：《条例》第五十七条第一款，责令改正，处2万元以上5万元以下罚款；造成严重后果的，处5万元以上10万元以下罚款。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c>
          <w:tcPr>
            <w:tcW w:w="912" w:type="dxa"/>
            <w:gridSpan w:val="2"/>
            <w:vMerge w:val="restart"/>
            <w:tcBorders>
              <w:top w:val="single" w:color="auto" w:sz="4" w:space="0"/>
              <w:left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bookmarkStart w:id="223" w:name="_Toc218468836"/>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造成严重后果，处以下罚款：1.未制定保护方案但有相应安全防护措施，系数为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；2.制定保护方案但未采取相应安全防护措施，系数为</w:t>
            </w:r>
            <w:r>
              <w:rPr>
                <w:rFonts w:hint="eastAsia" w:ascii="宋体" w:hAnsi="宋体" w:eastAsia="宋体" w:cs="宋体"/>
                <w:color w:val="auto"/>
                <w:kern w:val="0"/>
                <w:sz w:val="15"/>
                <w:szCs w:val="15"/>
                <w:highlight w:val="none"/>
                <w:lang w:val="en-US" w:eastAsia="zh-CN"/>
              </w:rPr>
              <w:t>0.5</w:t>
            </w:r>
            <w:r>
              <w:rPr>
                <w:rFonts w:hint="eastAsia" w:ascii="宋体" w:hAnsi="宋体" w:eastAsia="宋体" w:cs="宋体"/>
                <w:color w:val="auto"/>
                <w:kern w:val="0"/>
                <w:sz w:val="15"/>
                <w:szCs w:val="15"/>
                <w:highlight w:val="none"/>
              </w:rPr>
              <w:t>；3.未制定保护方案且未采取相应安全防护措施，系数为</w:t>
            </w: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0000×（1+情节系数）</w:t>
            </w:r>
          </w:p>
        </w:tc>
        <w:tc>
          <w:tcPr>
            <w:tcW w:w="1973"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4"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4" w:name="_Toc705604123"/>
            <w:r>
              <w:rPr>
                <w:rFonts w:hint="eastAsia" w:ascii="宋体" w:hAnsi="宋体" w:eastAsia="宋体" w:cs="宋体"/>
                <w:b/>
                <w:bCs/>
                <w:color w:val="auto"/>
                <w:kern w:val="0"/>
                <w:szCs w:val="21"/>
                <w:highlight w:val="none"/>
              </w:rPr>
              <w:t>《城镇污水排入排水管网许可管理办法》《城镇排水与污水处理条例》案由10项</w:t>
            </w:r>
            <w:bookmarkEnd w:id="223"/>
            <w:bookmarkEnd w:id="2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排水户擅自拆卸、移动、穿凿和接入城镇排水设施</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未按照有关规定将污水排入城镇排水设施</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8"/>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宋体" w:hAnsi="宋体" w:eastAsia="宋体" w:cs="宋体"/>
                <w:strike/>
                <w:dstrike w:val="0"/>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；2.4项＜排入点污水水质超标项数且6倍＜单项水质超标倍数≤7倍，系数为0.</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0.4</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；4.4项＜排入点污水水质超标项数且8倍＜单项水质超标倍数≤9倍，系数为0.</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5</w:t>
            </w:r>
            <w:r>
              <w:rPr>
                <w:rFonts w:hint="eastAsia" w:ascii="宋体" w:hAnsi="宋体" w:eastAsia="宋体" w:cs="宋体"/>
                <w:strike w:val="0"/>
                <w:dstrike w:val="0"/>
                <w:color w:val="auto"/>
                <w:kern w:val="0"/>
                <w:sz w:val="15"/>
                <w:szCs w:val="15"/>
                <w:highlight w:val="none"/>
                <w:lang w:eastAsia="zh-CN"/>
              </w:rPr>
              <w:t>.4项＜排入点污水水质超标项数且</w:t>
            </w:r>
            <w:r>
              <w:rPr>
                <w:rFonts w:hint="eastAsia" w:ascii="宋体" w:hAnsi="宋体" w:eastAsia="宋体" w:cs="宋体"/>
                <w:strike w:val="0"/>
                <w:dstrike w:val="0"/>
                <w:color w:val="auto"/>
                <w:kern w:val="0"/>
                <w:sz w:val="15"/>
                <w:szCs w:val="15"/>
                <w:highlight w:val="none"/>
                <w:lang w:val="en-US" w:eastAsia="zh-CN"/>
              </w:rPr>
              <w:t>9</w:t>
            </w:r>
            <w:r>
              <w:rPr>
                <w:rFonts w:hint="eastAsia" w:ascii="宋体" w:hAnsi="宋体" w:eastAsia="宋体" w:cs="宋体"/>
                <w:strike w:val="0"/>
                <w:dstrike w:val="0"/>
                <w:color w:val="auto"/>
                <w:kern w:val="0"/>
                <w:sz w:val="15"/>
                <w:szCs w:val="15"/>
                <w:highlight w:val="none"/>
                <w:lang w:eastAsia="zh-CN"/>
              </w:rPr>
              <w:t>倍＜单项水质超标倍数≤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倍，系数为0.</w:t>
            </w:r>
            <w:r>
              <w:rPr>
                <w:rFonts w:hint="eastAsia" w:ascii="宋体" w:hAnsi="宋体" w:eastAsia="宋体" w:cs="宋体"/>
                <w:strike w:val="0"/>
                <w:dstrike w:val="0"/>
                <w:color w:val="auto"/>
                <w:kern w:val="0"/>
                <w:sz w:val="15"/>
                <w:szCs w:val="15"/>
                <w:highlight w:val="none"/>
                <w:lang w:val="en-US" w:eastAsia="zh-CN"/>
              </w:rPr>
              <w:t>8</w:t>
            </w:r>
            <w:r>
              <w:rPr>
                <w:rFonts w:hint="eastAsia" w:ascii="宋体" w:hAnsi="宋体" w:eastAsia="宋体" w:cs="宋体"/>
                <w:strike w:val="0"/>
                <w:dstrike w:val="0"/>
                <w:color w:val="auto"/>
                <w:kern w:val="0"/>
                <w:sz w:val="15"/>
                <w:szCs w:val="15"/>
                <w:highlight w:val="none"/>
                <w:lang w:eastAsia="zh-CN"/>
              </w:rPr>
              <w:t>；</w:t>
            </w:r>
            <w:r>
              <w:rPr>
                <w:rFonts w:hint="eastAsia" w:ascii="宋体" w:hAnsi="宋体" w:eastAsia="宋体" w:cs="宋体"/>
                <w:strike w:val="0"/>
                <w:dstrike w:val="0"/>
                <w:color w:val="auto"/>
                <w:kern w:val="0"/>
                <w:sz w:val="15"/>
                <w:szCs w:val="15"/>
                <w:highlight w:val="none"/>
                <w:lang w:val="en-US" w:eastAsia="zh-CN"/>
              </w:rPr>
              <w:t>6</w:t>
            </w:r>
            <w:r>
              <w:rPr>
                <w:rFonts w:hint="eastAsia" w:ascii="宋体" w:hAnsi="宋体" w:eastAsia="宋体" w:cs="宋体"/>
                <w:strike w:val="0"/>
                <w:dstrike w:val="0"/>
                <w:color w:val="auto"/>
                <w:kern w:val="0"/>
                <w:sz w:val="15"/>
                <w:szCs w:val="15"/>
                <w:highlight w:val="none"/>
                <w:lang w:eastAsia="zh-CN"/>
              </w:rPr>
              <w:t>.4项＜排入点污水水质超标项数且单项水质超标倍数＞</w:t>
            </w:r>
            <w:r>
              <w:rPr>
                <w:rFonts w:hint="eastAsia" w:ascii="宋体" w:hAnsi="宋体" w:eastAsia="宋体" w:cs="宋体"/>
                <w:strike w:val="0"/>
                <w:dstrike w:val="0"/>
                <w:color w:val="auto"/>
                <w:kern w:val="0"/>
                <w:sz w:val="15"/>
                <w:szCs w:val="15"/>
                <w:highlight w:val="none"/>
                <w:lang w:val="en-US" w:eastAsia="zh-CN"/>
              </w:rPr>
              <w:t>10</w:t>
            </w:r>
            <w:r>
              <w:rPr>
                <w:rFonts w:hint="eastAsia" w:ascii="宋体" w:hAnsi="宋体" w:eastAsia="宋体" w:cs="宋体"/>
                <w:strike w:val="0"/>
                <w:dstrike w:val="0"/>
                <w:color w:val="auto"/>
                <w:kern w:val="0"/>
                <w:sz w:val="15"/>
                <w:szCs w:val="15"/>
                <w:highlight w:val="none"/>
                <w:lang w:eastAsia="zh-CN"/>
              </w:rPr>
              <w:t>倍，系数为1。</w:t>
            </w:r>
            <w:r>
              <w:rPr>
                <w:rFonts w:hint="eastAsia" w:ascii="宋体" w:hAnsi="宋体" w:eastAsia="宋体" w:cs="宋体"/>
                <w:strike w:val="0"/>
                <w:dstrike w:val="0"/>
                <w:color w:val="auto"/>
                <w:kern w:val="0"/>
                <w:sz w:val="15"/>
                <w:szCs w:val="15"/>
                <w:highlight w:val="none"/>
                <w:lang w:val="en-US" w:eastAsia="zh-CN"/>
              </w:rPr>
              <w:t>7.</w:t>
            </w:r>
            <w:r>
              <w:rPr>
                <w:rFonts w:hint="eastAsia" w:ascii="宋体" w:hAnsi="宋体" w:eastAsia="宋体" w:cs="宋体"/>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存在以下情形之一的，可视为严重后果：1.排入点污水水质超标项数＞4项且有单项水质超标倍数＞5倍的</w:t>
            </w:r>
            <w:r>
              <w:rPr>
                <w:rFonts w:hint="eastAsia" w:ascii="宋体" w:hAnsi="宋体" w:eastAsia="宋体" w:cs="宋体"/>
                <w:color w:val="auto"/>
                <w:kern w:val="0"/>
                <w:sz w:val="15"/>
                <w:szCs w:val="15"/>
                <w:highlight w:val="none"/>
                <w:lang w:eastAsia="zh-CN"/>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52"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宋体" w:hAnsi="宋体" w:eastAsia="宋体" w:cs="宋体"/>
                <w:strike w:val="0"/>
                <w:dstrike w:val="0"/>
                <w:color w:val="auto"/>
                <w:kern w:val="0"/>
                <w:sz w:val="15"/>
                <w:szCs w:val="15"/>
                <w:highlight w:val="none"/>
                <w:lang w:val="en-US" w:eastAsia="zh-CN"/>
              </w:rPr>
              <w:t>0</w:t>
            </w:r>
            <w:r>
              <w:rPr>
                <w:rFonts w:hint="eastAsia" w:ascii="宋体" w:hAnsi="宋体" w:eastAsia="宋体" w:cs="宋体"/>
                <w:strike w:val="0"/>
                <w:dstrike w:val="0"/>
                <w:color w:val="auto"/>
                <w:kern w:val="0"/>
                <w:sz w:val="15"/>
                <w:szCs w:val="15"/>
                <w:highlight w:val="none"/>
                <w:lang w:eastAsia="zh-CN"/>
              </w:rPr>
              <w:t>；2.4项＜排入点污水水质超标项数且6倍＜单项水质超标倍数≤7倍，系数为</w:t>
            </w:r>
            <w:r>
              <w:rPr>
                <w:rFonts w:hint="eastAsia" w:ascii="宋体" w:hAnsi="宋体" w:eastAsia="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；3.4项＜排入点污水水质超标项数且7倍＜单项水质超标倍数≤8倍，系数为</w:t>
            </w:r>
            <w:r>
              <w:rPr>
                <w:rFonts w:hint="eastAsia" w:ascii="宋体" w:hAnsi="宋体" w:eastAsia="宋体" w:cs="宋体"/>
                <w:strike w:val="0"/>
                <w:dstrike w:val="0"/>
                <w:color w:val="auto"/>
                <w:kern w:val="0"/>
                <w:sz w:val="15"/>
                <w:szCs w:val="15"/>
                <w:highlight w:val="none"/>
                <w:lang w:val="en-US" w:eastAsia="zh-CN"/>
              </w:rPr>
              <w:t>2</w:t>
            </w:r>
            <w:r>
              <w:rPr>
                <w:rFonts w:hint="eastAsia" w:ascii="宋体" w:hAnsi="宋体" w:eastAsia="宋体" w:cs="宋体"/>
                <w:strike w:val="0"/>
                <w:dstrike w:val="0"/>
                <w:color w:val="auto"/>
                <w:kern w:val="0"/>
                <w:sz w:val="15"/>
                <w:szCs w:val="15"/>
                <w:highlight w:val="none"/>
                <w:lang w:eastAsia="zh-CN"/>
              </w:rPr>
              <w:t>；4.4项＜排入点污水水质超标项数且8倍＜单项水质超标倍数≤9倍，系数为</w:t>
            </w:r>
            <w:r>
              <w:rPr>
                <w:rFonts w:hint="eastAsia" w:ascii="宋体" w:hAnsi="宋体" w:eastAsia="宋体" w:cs="宋体"/>
                <w:strike w:val="0"/>
                <w:dstrike w:val="0"/>
                <w:color w:val="auto"/>
                <w:kern w:val="0"/>
                <w:sz w:val="15"/>
                <w:szCs w:val="15"/>
                <w:highlight w:val="none"/>
                <w:lang w:val="en-US" w:eastAsia="zh-CN"/>
              </w:rPr>
              <w:t>3</w:t>
            </w:r>
            <w:r>
              <w:rPr>
                <w:rFonts w:hint="eastAsia" w:ascii="宋体" w:hAnsi="宋体" w:eastAsia="宋体" w:cs="宋体"/>
                <w:strike w:val="0"/>
                <w:dstrike w:val="0"/>
                <w:color w:val="auto"/>
                <w:kern w:val="0"/>
                <w:sz w:val="15"/>
                <w:szCs w:val="15"/>
                <w:highlight w:val="none"/>
                <w:lang w:eastAsia="zh-CN"/>
              </w:rPr>
              <w:t>；5.4项＜排入点污水水质超标项数且单项水质超标倍数＞9倍，系数为</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eastAsia="宋体" w:cs="宋体"/>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排水户未取得排水许可证向城镇排水设施排放污水</w:t>
            </w:r>
          </w:p>
        </w:tc>
        <w:tc>
          <w:tcPr>
            <w:tcW w:w="2806"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违反条款：《办法》第四条第一款；《条例》第二十一条第一款；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在重点排污名录，处以下罚款：1.无证排水持续时间＜30天，系数为</w:t>
            </w:r>
            <w:r>
              <w:rPr>
                <w:rFonts w:hint="eastAsia" w:ascii="宋体" w:hAnsi="宋体" w:eastAsia="宋体" w:cs="宋体"/>
                <w:color w:val="auto"/>
                <w:kern w:val="0"/>
                <w:sz w:val="15"/>
                <w:szCs w:val="15"/>
                <w:highlight w:val="none"/>
                <w:lang w:val="en-US" w:eastAsia="zh-CN"/>
              </w:rPr>
              <w:t>0</w:t>
            </w:r>
            <w:r>
              <w:rPr>
                <w:rFonts w:hint="eastAsia" w:ascii="宋体" w:hAnsi="宋体" w:eastAsia="宋体" w:cs="宋体"/>
                <w:color w:val="auto"/>
                <w:kern w:val="0"/>
                <w:sz w:val="15"/>
                <w:szCs w:val="15"/>
                <w:highlight w:val="none"/>
              </w:rPr>
              <w:t>；30天≤无证排水持续时间＜45天，系数为</w:t>
            </w:r>
            <w:r>
              <w:rPr>
                <w:rFonts w:hint="eastAsia" w:ascii="宋体" w:hAnsi="宋体" w:eastAsia="宋体" w:cs="宋体"/>
                <w:color w:val="auto"/>
                <w:kern w:val="0"/>
                <w:sz w:val="15"/>
                <w:szCs w:val="15"/>
                <w:highlight w:val="none"/>
                <w:lang w:val="en-US" w:eastAsia="zh-CN"/>
              </w:rPr>
              <w:t>0.1</w:t>
            </w:r>
            <w:r>
              <w:rPr>
                <w:rFonts w:hint="eastAsia" w:ascii="宋体" w:hAnsi="宋体" w:eastAsia="宋体" w:cs="宋体"/>
                <w:color w:val="auto"/>
                <w:kern w:val="0"/>
                <w:sz w:val="15"/>
                <w:szCs w:val="15"/>
                <w:highlight w:val="none"/>
              </w:rPr>
              <w:t>；无证排水持续时间每增加15天（不足15天，按15天计），系数加0.</w:t>
            </w:r>
            <w:r>
              <w:rPr>
                <w:rFonts w:hint="eastAsia" w:ascii="宋体" w:hAnsi="宋体" w:eastAsia="宋体" w:cs="宋体"/>
                <w:color w:val="auto"/>
                <w:kern w:val="0"/>
                <w:sz w:val="15"/>
                <w:szCs w:val="15"/>
                <w:highlight w:val="none"/>
                <w:lang w:val="en-US" w:eastAsia="zh-CN"/>
              </w:rPr>
              <w:t>1，罚款金额不超过50万元</w:t>
            </w:r>
            <w:r>
              <w:rPr>
                <w:rFonts w:hint="eastAsia" w:ascii="宋体" w:hAnsi="宋体" w:eastAsia="宋体" w:cs="宋体"/>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30</w:t>
            </w:r>
            <w:r>
              <w:rPr>
                <w:rFonts w:hint="eastAsia" w:ascii="宋体" w:hAnsi="宋体" w:eastAsia="宋体" w:cs="宋体"/>
                <w:color w:val="auto"/>
                <w:kern w:val="0"/>
                <w:sz w:val="15"/>
                <w:szCs w:val="15"/>
                <w:highlight w:val="none"/>
              </w:rPr>
              <w:t>0000×（1+情节系数）</w:t>
            </w:r>
          </w:p>
        </w:tc>
        <w:tc>
          <w:tcPr>
            <w:tcW w:w="1973"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重点排污名录以相关主管部门官方公布为准。</w:t>
            </w:r>
            <w:r>
              <w:rPr>
                <w:rFonts w:hint="eastAsia" w:ascii="宋体" w:hAnsi="宋体" w:eastAsia="宋体" w:cs="宋体"/>
                <w:color w:val="auto"/>
                <w:kern w:val="0"/>
                <w:sz w:val="15"/>
                <w:szCs w:val="15"/>
                <w:highlight w:val="none"/>
              </w:rPr>
              <w:br w:type="textWrapping"/>
            </w:r>
          </w:p>
        </w:tc>
        <w:tc>
          <w:tcPr>
            <w:tcW w:w="912"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排水户不按照排水许可证的要求排放污水</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（一）存在以下情形之一的，可视为造成严重后果：1.粪大肠菌群超标倍数＞100、石油类超标倍数＞2、PH值＜5或PH值＞11、</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从事危及城镇排水与污水处理设施安全的活动</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违反条款：《办法》第十四条；《条例》第四十二条；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（二）当事人为排水户时，优先适用《城镇污水排入排水管网许可管理办法》；当事人为非排水户时，适用《城镇排水与污水处理条例》。</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（一）限期改正，且未造成严重后果，给予警告。（二）逾期不改正</w:t>
            </w:r>
            <w:r>
              <w:rPr>
                <w:rFonts w:hint="eastAsia" w:ascii="宋体" w:hAnsi="宋体" w:eastAsia="宋体" w:cs="宋体"/>
                <w:color w:val="auto"/>
                <w:kern w:val="0"/>
                <w:sz w:val="15"/>
                <w:szCs w:val="15"/>
                <w:highlight w:val="none"/>
                <w:lang w:eastAsia="zh-CN"/>
              </w:rPr>
              <w:t>或造成严重后果</w:t>
            </w:r>
            <w:r>
              <w:rPr>
                <w:rFonts w:hint="eastAsia" w:ascii="宋体" w:hAnsi="宋体" w:eastAsia="宋体" w:cs="宋体"/>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排水户名称、法定代表人等其他事项变更未按规定办理变更手续</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处罚条款：《办法》第二十九条，责令改正，可以处1万元以下罚款。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处罚条款：《办法》第三十一条，可以处3万元以下罚款。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重点排水户未按照本办法规定建立档案管理制度，或者档案记录保存期限少于5年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处罚条款：《办法》第三十三条，责令改正，可以处3万元以下罚款。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排水户拒不接受水质、水量监测或者妨碍、阻挠城镇排水主管部门依法监督检查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处罚条款：《办法》第三十四条，给予警告；情节严重的，处3万元以下罚款。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（一）逾期不改正的，视为情节严重。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排水户以欺骗、贿赂等不正当手段取得排水许可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处罚条款：《办法》第三十条，可以处3万元以下罚款。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25" w:name="_Toc1091947490"/>
            <w:bookmarkStart w:id="226" w:name="_Toc218468837"/>
            <w:r>
              <w:rPr>
                <w:rFonts w:hint="eastAsia" w:ascii="宋体" w:hAnsi="宋体" w:eastAsia="宋体" w:cs="宋体"/>
                <w:b/>
                <w:bCs/>
                <w:color w:val="auto"/>
                <w:kern w:val="0"/>
                <w:szCs w:val="21"/>
                <w:highlight w:val="none"/>
              </w:rPr>
              <w:t>《北京市水污染防治条例》案由1项</w:t>
            </w:r>
            <w:bookmarkEnd w:id="225"/>
            <w:bookmarkEnd w:id="2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向雨水收集口、雨水管道排放或者倾倒污水、污物和垃圾等废弃物</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处罚条款：第八十六条，责令停止违法行为，对个人处一千元以上一万元以下的罚款；对单位处一万元以上十万元以下的罚款。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 w:val="15"/>
                <w:szCs w:val="15"/>
                <w:highlight w:val="none"/>
              </w:rPr>
            </w:pPr>
            <w:bookmarkStart w:id="227" w:name="_Toc218468838"/>
            <w:bookmarkStart w:id="228" w:name="_Toc1931537284"/>
            <w:r>
              <w:rPr>
                <w:rFonts w:hint="eastAsia" w:ascii="宋体" w:hAnsi="宋体" w:eastAsia="宋体" w:cs="宋体"/>
                <w:b/>
                <w:bCs/>
                <w:color w:val="auto"/>
                <w:kern w:val="0"/>
                <w:szCs w:val="21"/>
                <w:highlight w:val="none"/>
              </w:rPr>
              <w:t>《北京市排水和再生水管理办法》案由9项</w:t>
            </w:r>
            <w:bookmarkEnd w:id="227"/>
            <w:bookmarkEnd w:id="2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餐饮服务排水户未设置隔油设施或者隔油设施不能正常使用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处罚条款：第三十六条，责令限期改正；逾期不改正，处1000元以上5000元以下罚款。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再生水水质、水压不符合标准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处罚条款：第三十七条第一款第（二）项，给予警告，责令限期改正，并可处1万元以上3万元以下罚款。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排水和再生水设施运营单位伪造、篡改、瞒报进出水水质、水量等数据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处罚条款：第三十七条第一款第（三）项，给予警告，责令限期改正，并可处1万元以上3万元以下罚款。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数据中1种情形的，系数为0；2.有伪造、篡改、瞒报进水水质、出水水质、进水水量、出水水量或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数据中2种情形的，系数为1；3.有伪造、篡改、瞒报进水水质、出水水质、进水水量、出水水量或</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擅自占压排水设施和占压、拆卸、移动再生水设施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损害再生水设施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向排水管网排放超标污水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住宅区再生水设施处理粪便水和重污染水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处罚条款：第三十八条第一款第（一）项，责令限期改正，处1万元以上3万元以下罚款。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在排水和再生水设施用地范围内取土、爆破、埋杆、堆物</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擅自接入公共排水和再生水管网</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处罚条款：第三十八条第一款第（二）项，责令限期改正，处3000元以上1万元以下罚款。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9" w:name="_Toc865650080"/>
            <w:bookmarkStart w:id="230" w:name="_Toc218468839"/>
            <w:r>
              <w:rPr>
                <w:rFonts w:hint="eastAsia" w:ascii="黑体" w:hAnsi="黑体" w:eastAsia="黑体" w:cs="黑体"/>
                <w:color w:val="auto"/>
                <w:kern w:val="0"/>
                <w:sz w:val="28"/>
                <w:szCs w:val="28"/>
                <w:highlight w:val="none"/>
              </w:rPr>
              <w:t>供水管理方面</w:t>
            </w:r>
            <w:bookmarkEnd w:id="229"/>
            <w:bookmarkEnd w:id="2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1" w:name="_Toc218468840"/>
            <w:bookmarkStart w:id="232" w:name="_Toc1600074913"/>
            <w:r>
              <w:rPr>
                <w:rFonts w:hint="eastAsia" w:ascii="宋体" w:hAnsi="宋体" w:eastAsia="宋体" w:cs="宋体"/>
                <w:b/>
                <w:bCs/>
                <w:color w:val="auto"/>
                <w:kern w:val="0"/>
                <w:szCs w:val="21"/>
                <w:highlight w:val="none"/>
              </w:rPr>
              <w:t>《中华人民共和国水污染防治法》《城市供水条例》《北京市自建设施供水管理办法》《北京市城市公共供水管理办法》案由1项</w:t>
            </w:r>
            <w:bookmarkEnd w:id="231"/>
            <w:bookmarkEnd w:id="2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自来水供水单位和自建设施对外供水的单位供水水质、水压不符合国家规定的标准或间断供水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违反条款：《水污染防治法》第七十一条第二款；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5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1.水质超标项数=1项，系数为0；水质超标项数每增加1项，系数加1；水质超标项数≥10项</w:t>
            </w:r>
            <w:r>
              <w:rPr>
                <w:rFonts w:hint="eastAsia" w:ascii="宋体" w:hAnsi="宋体" w:eastAsia="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存在以下情形之一的，可视为情节严重：1.水质超标≥10项；2.单项水质超标倍数＞10倍；</w:t>
            </w:r>
            <w:r>
              <w:rPr>
                <w:rFonts w:hint="eastAsia" w:ascii="宋体" w:hAnsi="宋体" w:eastAsia="宋体" w:cs="宋体"/>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违反条款：《条例》第二十条；第二十一条第一款；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处罚条款：《条例》第三十三条第一款第（一）项，责令改正，可以处以罚款；情节严重的，报经县级以上人民政府批准，可以责令停业整顿。</w:t>
            </w:r>
          </w:p>
        </w:tc>
        <w:tc>
          <w:tcPr>
            <w:tcW w:w="85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违反条款：《自建设施办法》第十一条第一款第（一）项；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处罚条款：《自建设施办法》第二十条第一款第（一）项，责令限期改正，并可处1000元以上5000元以下的罚款。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违反条款：《城市公共办法》第四条第一款第（二）项；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处罚条款：《城市公共办法》第十八条第一款第（一）项，处2000元以下罚款。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3" w:name="_Toc218468841"/>
            <w:bookmarkStart w:id="234" w:name="_Toc1210301218"/>
            <w:r>
              <w:rPr>
                <w:rFonts w:hint="eastAsia" w:ascii="宋体" w:hAnsi="宋体" w:eastAsia="宋体" w:cs="宋体"/>
                <w:b/>
                <w:bCs/>
                <w:color w:val="auto"/>
                <w:kern w:val="0"/>
                <w:szCs w:val="21"/>
                <w:highlight w:val="none"/>
              </w:rPr>
              <w:t>《城市供水条例》《建设工程质量管理条例》《北京市城市公共供水管理办法》案由4项</w:t>
            </w:r>
            <w:bookmarkEnd w:id="233"/>
            <w:bookmarkEnd w:id="2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无证或者超越资质证书规定的经营范围进行城市供水工程的设计或者施工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违反条款：《城市供水条例》第十六条；《建设工程质量管理条例》第十八条、第二十五条、第三十四条；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罚款金额=设计费酬金×（1+情节系数）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罚款金额=合同价款的2%×（1+情节系数）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未按国家规定的技术标准和规范进行城市供水工程的设计或者施工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违反条款：《城市供水条例》第十六条；《建设工程质量管理条例》第十九条、第二十八条；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（对设计单位）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违法兴建城市供水工程、未按规定缴纳水费、盗用或者转供城市公共供水、危害供水设施安全活动等</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违反条款：《城市供水条例》第十五条、第二十一条第二款、第二十四条、第二十五条、第二十九条、第三十二条第二款；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擅自拆卸、挪动公共供水设施或擅自动用消火栓</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违反条款：《城市供水条例》第三十条；《办法》第十五条第一款、第十七条第（三）项；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（二）擅自动用消火栓的，优先适用《北京市节水条例》。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5" w:name="_Toc1382966029"/>
            <w:bookmarkStart w:id="236" w:name="_Toc218468842"/>
            <w:r>
              <w:rPr>
                <w:rFonts w:hint="eastAsia" w:ascii="宋体" w:hAnsi="宋体" w:eastAsia="宋体" w:cs="宋体"/>
                <w:b/>
                <w:bCs/>
                <w:color w:val="auto"/>
                <w:kern w:val="0"/>
                <w:szCs w:val="21"/>
                <w:highlight w:val="none"/>
              </w:rPr>
              <w:t>《城市供水水质管理规定》案由9项</w:t>
            </w:r>
            <w:bookmarkEnd w:id="235"/>
            <w:bookmarkEnd w:id="2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城市供水单位、二次供水管理单位未按规定进行水质检测或者委托检测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违反条款：第十一条第（四）项；第十四条；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城市供水单位未选用获证企业净水剂及与制水有关的材料等产品</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城市供水单位使用未经检验或者检验不合格的净水剂及有关制水材料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处罚条款：第二十九条第（四）项，给予警告，并处以3万元的罚款。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城市供水单位使用未经检验或者检验不合格的城市供水设备、管网</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处罚条款：第二十九条第（五）项，给予警告，并处以3万元的罚款。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二次供水管理单位未按规定对各类储水设施进行清洗消毒</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处罚条款：第二十九条第（六）项，给予警告，并处以3万元的罚款。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城市供水单位、二次供水管理单位隐瞒、缓报、谎报水质突发事件或者水质信息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处罚条款：第二十九条第（七）项，给予警告，并处以3万元的罚款。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城市供水单位、二次供水管理单位有危害城市供水水质安全其他行为</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处罚条款：第二十九条第（八）项，给予警告，并处以3万元的罚款。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城市供水单位未制定城市供水水质突发事件应急预案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三十</w:t>
            </w:r>
            <w:r>
              <w:rPr>
                <w:rFonts w:hint="eastAsia" w:ascii="宋体" w:hAnsi="宋体" w:eastAsia="宋体" w:cs="宋体"/>
                <w:color w:val="auto"/>
                <w:kern w:val="0"/>
                <w:sz w:val="15"/>
                <w:szCs w:val="15"/>
                <w:highlight w:val="none"/>
              </w:rPr>
              <w:t>条第（一）项，给予警告，并处以5000元以上2万元以下的罚款。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城市供水单位未按规定上报水质报表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处罚条款：第三十条第（二）项，给予警告，并处以5000元以上2万元以下的罚款。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37" w:name="_Toc218468843"/>
            <w:bookmarkStart w:id="238" w:name="_Toc2019562284"/>
            <w:r>
              <w:rPr>
                <w:rFonts w:hint="eastAsia" w:ascii="宋体" w:hAnsi="宋体" w:eastAsia="宋体" w:cs="宋体"/>
                <w:b/>
                <w:bCs/>
                <w:color w:val="auto"/>
                <w:kern w:val="0"/>
                <w:szCs w:val="21"/>
                <w:highlight w:val="none"/>
              </w:rPr>
              <w:t>《生活饮用水卫生监督管理办法》案由2项</w:t>
            </w:r>
            <w:bookmarkEnd w:id="237"/>
            <w:bookmarkEnd w:id="2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新建、改建、扩建的饮用水供水工程项目未经建设行政主管部门设计审查和竣工验收而擅自建设并投入使用</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未按规定进行日常性水质检验工作</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39" w:name="_Toc218468844"/>
            <w:bookmarkStart w:id="240" w:name="_Toc557454873"/>
            <w:r>
              <w:rPr>
                <w:rFonts w:hint="eastAsia" w:ascii="宋体" w:hAnsi="宋体" w:eastAsia="宋体" w:cs="宋体"/>
                <w:b/>
                <w:bCs/>
                <w:color w:val="auto"/>
                <w:kern w:val="0"/>
                <w:szCs w:val="21"/>
                <w:highlight w:val="none"/>
              </w:rPr>
              <w:t>《北京市节水条例》案由7项</w:t>
            </w:r>
            <w:bookmarkEnd w:id="239"/>
            <w:bookmarkEnd w:id="2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产生或者使用有毒有害物质的单位将其生产用水管网与供水管网直接连接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建设单位或者施工单位未与公共供水单位商定并采取相应的保护措施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处罚条款：第五十九条，责令限期改正，给予警告；逾期不改正的，处二万元以上五万元以下罚款。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（一）限期改正，给予警告：（二）逾期不改正的，处以下罚款：1.施工区域内涉及1个检查井或涉及管网管径＜DN100，系数为0；2.施工区域内涉及2</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居民生活用水变更为非居民用水未及时向供水单位报告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处罚条款：第六十条第一款，责令限期改正；逾期不改正的，处应补缴水费一倍以上三倍以下罚款。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应补缴水费</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罚款金额=应补缴水费×（1+情节系数）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供水单位未按照国家和本市有关规定对供水管网进行巡护、检查、维修、管理</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（一）两年度内多次漏巡漏检的，以漏巡漏检管网长度较长的为准。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（一）造成3000户以上居民停水时间≥12小时，可视为严重后果。</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（二）两年度内多次漏巡漏检的，以漏巡漏检管网长度较长的为准。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破坏或者损坏供水管网、雨水管网、污水管网、再生水管网及其附属设施</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存在以下情形之一的，可视为严重后果：1.造成3000户以上居民停水时间≥12小时；2.管径≥DN800。</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供水单位、用水户擅自停止使用、拆除水计量设施或者破坏计量设施准确度</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处罚条款：第六十九条，责令限期改正，对单位处五千元以上二万元以下罚款，对个人处五百元以上五千元以下罚款。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处罚条款：第六十九条，责令限期改正，可以处二千元以下罚款。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将雨水管网、污水管网、再生水管网混接</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1.混接管网管径＜DN100，系数为0；2.DN100≤混接管网管径＜DN300，系数为0.5；3.DN300≤混接管网管径或造成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1.混接管网管径＜DN100，系数为0；2.DN100≤混接管网管径＜DN300，系数为2；3.DN300≤混接管网管径或造成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41" w:name="_Toc796356177"/>
            <w:bookmarkStart w:id="242" w:name="_Toc218468845"/>
            <w:r>
              <w:rPr>
                <w:rFonts w:hint="eastAsia" w:ascii="宋体" w:hAnsi="宋体" w:eastAsia="宋体" w:cs="宋体"/>
                <w:b/>
                <w:bCs/>
                <w:color w:val="auto"/>
                <w:kern w:val="0"/>
                <w:szCs w:val="21"/>
                <w:highlight w:val="none"/>
              </w:rPr>
              <w:t>《北京市物业管理条例》案由1项</w:t>
            </w:r>
            <w:bookmarkEnd w:id="241"/>
            <w:bookmarkEnd w:id="2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擅自拆改供水、排水、再生水等管线</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违反条款：第七十八条第（六）项；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处罚条款：第九十八条第一款第（六）项，责令限期改正，处一万元以上三万元以下的罚款。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3" w:name="_Toc1968596229"/>
            <w:bookmarkStart w:id="244" w:name="_Toc218468846"/>
            <w:r>
              <w:rPr>
                <w:rFonts w:hint="eastAsia" w:ascii="宋体" w:hAnsi="宋体" w:eastAsia="宋体" w:cs="宋体"/>
                <w:b/>
                <w:bCs/>
                <w:color w:val="auto"/>
                <w:kern w:val="0"/>
                <w:szCs w:val="21"/>
                <w:highlight w:val="none"/>
              </w:rPr>
              <w:t>《北京市城市公共供水管理办法》案由7项</w:t>
            </w:r>
            <w:bookmarkEnd w:id="243"/>
            <w:bookmarkEnd w:id="2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城市公共供水企业对公共供水设施不做定期检查、维护，造成公共供水设施损坏或者发生供水事故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处罚条款：第十八条第一款第（二）项，处3000元以下罚款。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600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罚款金额=600×（1+情节系数）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（一）需要作出600元以下罚款决定的，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供水设施发生故障，影响正常供水，不及时抢修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处罚条款：第十八条第一款第（三）项，处5000元以下罚款。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用水单位或居民利用公共供水设施转售用水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处罚条款：第十九条第一款第（一）项，责令改正，处3000元以下罚款，情节严重的，可以依法停止供水。</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在埋设公共供水设施的地面上及两侧安全间距内挖坑、取土、植树、埋杆、倾倒废渣废液</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处罚条款：第十九条第（五）项，责令改正，恢复原状，处责任单位3000元以下罚款。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在埋设公共供水设施的地面上及两侧安全间距内修建与公共供水无关的建筑物、构筑物或堆物堆料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处罚条款：第十九条第（六）项，责令限期拆除或者清除，处责任单位5000元以下罚款。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1.占压管径＜DN600或除水源井外的</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将自备水源管道与公共供水设施接通或者在公共供水管网上直抽加压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违反条款：第十七条第（四）项、第（五）项；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处罚条款：第十九条第一款第（三）项，责令拆除，处责任单位3000元以下罚款。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擅自接装、改装公共供水设施或者在水表井安装水管管线、穿插其他管道</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处罚条款：第十九条第一款第（二）项，责令拆除，处责任单位3000元以下罚款。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1.接装、改装公共供水设施1个或管网管径＜DN100，系数为0；2.接装、改装公共供水设施</w:t>
            </w:r>
            <w:r>
              <w:rPr>
                <w:rFonts w:hint="eastAsia" w:ascii="宋体" w:hAnsi="宋体" w:eastAsia="宋体" w:cs="宋体"/>
                <w:color w:val="auto"/>
                <w:kern w:val="0"/>
                <w:sz w:val="15"/>
                <w:szCs w:val="15"/>
                <w:highlight w:val="none"/>
                <w:lang w:val="en-US" w:eastAsia="zh-CN"/>
              </w:rPr>
              <w:t>2-3</w:t>
            </w:r>
            <w:r>
              <w:rPr>
                <w:rFonts w:hint="eastAsia" w:ascii="宋体" w:hAnsi="宋体" w:eastAsia="宋体" w:cs="宋体"/>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5" w:name="_Toc218468847"/>
            <w:bookmarkStart w:id="246" w:name="_Toc179586356"/>
            <w:r>
              <w:rPr>
                <w:rFonts w:hint="eastAsia" w:ascii="宋体" w:hAnsi="宋体" w:eastAsia="宋体" w:cs="宋体"/>
                <w:b/>
                <w:bCs/>
                <w:color w:val="auto"/>
                <w:kern w:val="0"/>
                <w:szCs w:val="21"/>
                <w:highlight w:val="none"/>
              </w:rPr>
              <w:t>《北京市自建设施供水管理办法》《城市供水条例》案由3项</w:t>
            </w:r>
            <w:bookmarkEnd w:id="245"/>
            <w:bookmarkEnd w:id="2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自建设施供水单位未按照规定检查、维护自建供水设施，未及时排除供水设施故障</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违反条款：《办法》第十一条第一款第（一）项；《条例》第二十七条；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擅自停止供水或者未履行停水通知义务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违反条款：《办法》第十三条；《条例》第二十二条；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未经自建设施供水单位同意擅自拆除、改装、迁移或者毁坏向周边单位、居民供水的自建供水设施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处罚条款：《办法》第二十一条，可处1000元以上5000元以下的罚款。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7" w:name="_Toc218468848"/>
            <w:bookmarkStart w:id="248" w:name="_Toc1153934318"/>
            <w:r>
              <w:rPr>
                <w:rFonts w:hint="eastAsia" w:ascii="黑体" w:hAnsi="黑体" w:eastAsia="黑体" w:cs="黑体"/>
                <w:color w:val="auto"/>
                <w:kern w:val="0"/>
                <w:sz w:val="28"/>
                <w:szCs w:val="28"/>
                <w:highlight w:val="none"/>
              </w:rPr>
              <w:t>水环境管理方面</w:t>
            </w:r>
            <w:bookmarkEnd w:id="247"/>
            <w:bookmarkEnd w:id="2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49" w:name="_Toc57819779"/>
            <w:bookmarkStart w:id="250" w:name="_Toc218468849"/>
            <w:r>
              <w:rPr>
                <w:rFonts w:hint="eastAsia" w:ascii="宋体" w:hAnsi="宋体" w:eastAsia="宋体" w:cs="宋体"/>
                <w:b/>
                <w:bCs/>
                <w:color w:val="auto"/>
                <w:kern w:val="0"/>
                <w:szCs w:val="21"/>
                <w:highlight w:val="none"/>
              </w:rPr>
              <w:t>《中华人民共和国防洪法》《中华人民共和国水法》《北京市河湖保护管理条例》案由2项</w:t>
            </w:r>
            <w:bookmarkEnd w:id="249"/>
            <w:bookmarkEnd w:id="2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在河道、湖泊管理范围内倾倒垃圾、渣土从事影响河势稳定、危害河岸堤防安全和其他妨碍河道行洪的活动</w:t>
            </w:r>
          </w:p>
        </w:tc>
        <w:tc>
          <w:tcPr>
            <w:tcW w:w="2806" w:type="dxa"/>
            <w:gridSpan w:val="2"/>
            <w:vMerge w:val="restart"/>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违反条款：《防洪法》第二十二条第二款；《条例》第十九条第一款第（一）项、第（三）项；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nil"/>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23" w:hRule="atLeast"/>
        </w:trPr>
        <w:tc>
          <w:tcPr>
            <w:tcW w:w="612" w:type="dxa"/>
            <w:gridSpan w:val="2"/>
            <w:vMerge w:val="continue"/>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p>
        </w:tc>
        <w:tc>
          <w:tcPr>
            <w:tcW w:w="1811" w:type="dxa"/>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c>
          <w:tcPr>
            <w:tcW w:w="912" w:type="dxa"/>
            <w:gridSpan w:val="2"/>
            <w:vMerge w:val="continue"/>
            <w:tcBorders>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在江河、湖泊、水库、运河、渠道内弃置、堆放阻碍行洪的物体和种植阻碍行洪的林木及高秆作物</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违反条款：《防洪法》第二十三条第三款；《水法》第二十四条第一款、第二款；《北京市河湖保护管理条例》第十九条第一款第（四）项；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（一）主要针对在河道内种植林木和高秆作物的，优先适用《中华人民共和国防洪法》。（二）需要作出10000元以下罚款决定的，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＜5平方米，系数为0；2.5平方米≤弃置、堆放阻碍行洪的物体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＜20平方米，系数为1；3.20平方米≤弃置、堆放阻碍行洪的物体</w:t>
            </w:r>
            <w:r>
              <w:rPr>
                <w:rFonts w:hint="eastAsia" w:ascii="宋体" w:hAnsi="宋体" w:cs="宋体"/>
                <w:b w:val="0"/>
                <w:bCs w:val="0"/>
                <w:color w:val="auto"/>
                <w:kern w:val="0"/>
                <w:sz w:val="15"/>
                <w:szCs w:val="15"/>
                <w:highlight w:val="none"/>
                <w:lang w:eastAsia="zh-CN"/>
              </w:rPr>
              <w:t>面积</w:t>
            </w:r>
            <w:r>
              <w:rPr>
                <w:rFonts w:hint="eastAsia" w:ascii="宋体" w:hAnsi="宋体" w:eastAsia="宋体" w:cs="宋体"/>
                <w:color w:val="auto"/>
                <w:kern w:val="0"/>
                <w:sz w:val="15"/>
                <w:szCs w:val="15"/>
                <w:highlight w:val="none"/>
              </w:rPr>
              <w:t>＜50平方米，系数为2；4.50平方米≤弃置、堆放阻碍行洪的物体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＜100平方米，系数为3；5.100平方米≤弃置、堆放阻碍行洪的物体</w:t>
            </w:r>
            <w:r>
              <w:rPr>
                <w:rFonts w:hint="eastAsia" w:ascii="宋体" w:hAnsi="宋体" w:cs="宋体"/>
                <w:color w:val="auto"/>
                <w:kern w:val="0"/>
                <w:sz w:val="15"/>
                <w:szCs w:val="15"/>
                <w:highlight w:val="none"/>
                <w:lang w:eastAsia="zh-CN"/>
              </w:rPr>
              <w:t>面积</w:t>
            </w:r>
            <w:r>
              <w:rPr>
                <w:rFonts w:hint="eastAsia" w:ascii="宋体" w:hAnsi="宋体" w:eastAsia="宋体" w:cs="宋体"/>
                <w:color w:val="auto"/>
                <w:kern w:val="0"/>
                <w:sz w:val="15"/>
                <w:szCs w:val="15"/>
                <w:highlight w:val="none"/>
              </w:rPr>
              <w:t>，或者造成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针对在河道内弃置、堆放阻碍行洪的物体的，优先适用《中华人民共和国水法》。</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51" w:name="_Toc654401249"/>
            <w:bookmarkStart w:id="252" w:name="_Toc218468850"/>
            <w:r>
              <w:rPr>
                <w:rFonts w:hint="eastAsia" w:ascii="宋体" w:hAnsi="宋体" w:eastAsia="宋体" w:cs="宋体"/>
                <w:b/>
                <w:bCs/>
                <w:color w:val="auto"/>
                <w:kern w:val="0"/>
                <w:szCs w:val="21"/>
                <w:highlight w:val="none"/>
              </w:rPr>
              <w:t>《中华人民共和国水污染防治法》案由1项</w:t>
            </w:r>
            <w:bookmarkEnd w:id="251"/>
            <w:bookmarkEnd w:id="2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拒绝水行政主管部门的监督检查，或者在接受监督检查时弄虚作假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处罚条款：第八十一条，责令改正，处二万元以上二十万元以下的罚款。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3" w:name="_Toc218468851"/>
            <w:bookmarkStart w:id="254" w:name="_Toc1797160040"/>
            <w:r>
              <w:rPr>
                <w:rFonts w:hint="eastAsia" w:ascii="宋体" w:hAnsi="宋体" w:eastAsia="宋体" w:cs="宋体"/>
                <w:b/>
                <w:bCs/>
                <w:color w:val="auto"/>
                <w:kern w:val="0"/>
                <w:szCs w:val="21"/>
                <w:highlight w:val="none"/>
              </w:rPr>
              <w:t>《中华人民共和国河道管理条例》《北京市河湖保护管理条例》案由2项</w:t>
            </w:r>
            <w:bookmarkEnd w:id="253"/>
            <w:bookmarkEnd w:id="2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擅自砍伐护堤护岸林木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处罚条款：《河道管理条例》第四十四条第一款第（七）项，责令其纠正违法行为、采取补救措施，可以并处警告、罚款、没收非法所得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在堤防和护堤地，从事放牧、葬坟、晒粮、开渠、打井、挖窖、取土、存放物料、开办集市贸易、开采地下资源、进行考古发掘、垦植等活动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违反条款：《河道管理条例》第二十四条第二款；《河湖保护管理条例》第十九条第一款第（六）项、第（七）项；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5" w:name="_Toc1248927184"/>
            <w:bookmarkStart w:id="256" w:name="_Toc218468852"/>
            <w:r>
              <w:rPr>
                <w:rFonts w:hint="eastAsia" w:ascii="宋体" w:hAnsi="宋体" w:eastAsia="宋体" w:cs="宋体"/>
                <w:b/>
                <w:bCs/>
                <w:color w:val="auto"/>
                <w:kern w:val="0"/>
                <w:szCs w:val="21"/>
                <w:highlight w:val="none"/>
              </w:rPr>
              <w:t>《公路安全保护条例》案由1项</w:t>
            </w:r>
            <w:bookmarkEnd w:id="255"/>
            <w:bookmarkEnd w:id="2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在公路桥梁跨越的河道上下游的禁止采砂范围内采砂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处罚条款：第五十八条，责令改正，可以处3万元以下的罚款。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7" w:name="_Toc218468853"/>
            <w:bookmarkStart w:id="258" w:name="_Toc773120676"/>
            <w:r>
              <w:rPr>
                <w:rFonts w:hint="eastAsia" w:ascii="宋体" w:hAnsi="宋体" w:eastAsia="宋体" w:cs="宋体"/>
                <w:b/>
                <w:bCs/>
                <w:color w:val="auto"/>
                <w:kern w:val="0"/>
                <w:szCs w:val="21"/>
                <w:highlight w:val="none"/>
              </w:rPr>
              <w:t>《北京市河湖保护管理条例》案由4项</w:t>
            </w:r>
            <w:bookmarkEnd w:id="257"/>
            <w:bookmarkEnd w:id="2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毁坏或者拆除保护名录中的河道、水域和水工建筑物、构筑物、遗址</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处罚条款：第四十二条，责令其停止违法行为，限期恢复原状，处十万元以上五十万元以下的罚款。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未丧失功能，系数为</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有</w:t>
            </w:r>
            <w:r>
              <w:rPr>
                <w:rFonts w:hint="eastAsia" w:ascii="宋体" w:hAnsi="宋体" w:eastAsia="宋体" w:cs="宋体"/>
                <w:color w:val="auto"/>
                <w:kern w:val="0"/>
                <w:sz w:val="15"/>
                <w:szCs w:val="15"/>
                <w:highlight w:val="none"/>
              </w:rPr>
              <w:t>丧失</w:t>
            </w:r>
            <w:r>
              <w:rPr>
                <w:rFonts w:hint="eastAsia" w:ascii="宋体" w:hAnsi="宋体" w:eastAsia="宋体" w:cs="宋体"/>
                <w:color w:val="auto"/>
                <w:kern w:val="0"/>
                <w:sz w:val="15"/>
                <w:szCs w:val="15"/>
                <w:highlight w:val="none"/>
                <w:lang w:eastAsia="zh-CN"/>
              </w:rPr>
              <w:t>功能</w:t>
            </w:r>
            <w:r>
              <w:rPr>
                <w:rFonts w:hint="eastAsia" w:ascii="宋体" w:hAnsi="宋体" w:eastAsia="宋体" w:cs="宋体"/>
                <w:color w:val="auto"/>
                <w:kern w:val="0"/>
                <w:sz w:val="15"/>
                <w:szCs w:val="15"/>
                <w:highlight w:val="none"/>
              </w:rPr>
              <w:t>，系数为1。2.毁坏1处，系数为0；毁坏2处，系数为0.5；以此类推。3.</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拆除面积＜500平方米，系数为0；500平方米≤</w:t>
            </w:r>
            <w:r>
              <w:rPr>
                <w:rFonts w:hint="eastAsia" w:ascii="宋体" w:hAnsi="宋体" w:eastAsia="宋体" w:cs="宋体"/>
                <w:color w:val="auto"/>
                <w:kern w:val="0"/>
                <w:sz w:val="15"/>
                <w:szCs w:val="15"/>
                <w:highlight w:val="none"/>
                <w:lang w:eastAsia="zh-CN"/>
              </w:rPr>
              <w:t>毁坏或</w:t>
            </w:r>
            <w:r>
              <w:rPr>
                <w:rFonts w:hint="eastAsia" w:ascii="宋体" w:hAnsi="宋体" w:eastAsia="宋体" w:cs="宋体"/>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开展水上旅游项目或者其他利用活动时使用以柴油、汽油为动力的游船</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处罚条款：第四十四条第一款，责令停止违法行为，限期改正，处八千元以上八万元以下的罚款。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1.使用小型动力游船（功率＜20马力），系数为0，每增加1艘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系数加1；2.使用中型动力游船（20马力≤功率＜50马力），系数为2，每增加1艘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系数加2；3.使用大型动力游船（50马力≤功率），系数为4，每增加1艘</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罚款金额=8000×（1+情节系数）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未经批准擅自利用河湖开办旅游项目或者从事其他利用活动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处罚条款：第四十四条第二款，责令停止违法行为，限期改正，处二万元以上十万元以下的罚款。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擅自在河湖管理范围内新建、改建或者扩大排水口</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处罚条款：第四十三条，责令停止违法行为，限期恢复原状，处五万元以上十万元以下的罚款。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59" w:name="_Toc218468854"/>
            <w:bookmarkStart w:id="260" w:name="_Toc933466885"/>
            <w:r>
              <w:rPr>
                <w:rFonts w:hint="eastAsia" w:ascii="宋体" w:hAnsi="宋体" w:eastAsia="宋体" w:cs="宋体"/>
                <w:b/>
                <w:bCs/>
                <w:color w:val="auto"/>
                <w:kern w:val="0"/>
                <w:szCs w:val="21"/>
                <w:highlight w:val="none"/>
              </w:rPr>
              <w:t>《北京市湿地保护条例》案由8项</w:t>
            </w:r>
            <w:bookmarkEnd w:id="259"/>
            <w:bookmarkEnd w:id="2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未经批准擅自开垦、占用湿地或者改变湿地用途</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 ×（1+情节系数）×占用湿地或者改变湿地用途的面积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在列入名录的湿地保护范围内采集泥炭、采挖野生植物、捡拾鸟蛋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处罚条款：第四十三条第一款，责令改正或者恢复原状，处500元以上5000元以下罚款。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在列入名录的湿地保护范围内抓捕野生动物，破坏野生动物繁殖区和栖息地</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存在以下情形之一的，可视为严重后果：1.不可以恢复原状；2.抓捕国家一级保护野生动物1只（头、条）以上。</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在列入名录的湿地保护范围内投放有毒有害物质、倾倒废弃物或者排放未经处理的污水</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在列入名录的湿地保护范围内投放有害物种或者擅自引入外来物种</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在列入名录的湿地保护范围内擅自排放湿地水资源或者堵截湿地水系与外围水系的</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在列入名录的湿地保护范围内破坏湿地保护监测设施设备</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在列入名录的湿地保护范围内擅自建造建筑物、构筑物</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违反条款：第三十一条第一款第（七）项；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处罚条款：第四十三条第二款，责令改正或者恢复原状，处5000元以上5万元以下罚款；造成严重后果的，处5万元以上50万元以下罚款。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（严重后果）</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违法行为发生在国家级湿地内，视为造成严重后果。</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61" w:name="_Toc1312199602"/>
            <w:bookmarkStart w:id="262" w:name="_Toc218468855"/>
            <w:r>
              <w:rPr>
                <w:rFonts w:hint="eastAsia" w:ascii="宋体" w:hAnsi="宋体" w:eastAsia="宋体" w:cs="宋体"/>
                <w:b/>
                <w:bCs/>
                <w:color w:val="auto"/>
                <w:kern w:val="0"/>
                <w:szCs w:val="21"/>
                <w:highlight w:val="none"/>
              </w:rPr>
              <w:t>《北京市水污染防治条例》案由2项</w:t>
            </w:r>
            <w:bookmarkEnd w:id="261"/>
            <w:bookmarkEnd w:id="2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在地表饮用水水源一级保护区的水域内垂钓</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处罚条款：第八十条第二款，责令停止违法行为，并可以处五百元以下的罚款。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在地表饮用水水源保护区组织水上旅游或者其他可能污染饮用水水源活动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违反条款：第六十条第（三）项；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处罚条款：第八十条第二款，责令停止违法行为，并处二万元以上十万元以下的罚款。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74"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hint="eastAsia" w:ascii="宋体" w:hAnsi="宋体" w:eastAsia="宋体" w:cs="宋体"/>
                <w:color w:val="auto"/>
                <w:kern w:val="0"/>
                <w:sz w:val="28"/>
                <w:szCs w:val="28"/>
                <w:highlight w:val="none"/>
              </w:rPr>
            </w:pPr>
            <w:bookmarkStart w:id="263" w:name="_Toc218468856"/>
            <w:bookmarkStart w:id="264" w:name="_Toc895443353"/>
            <w:r>
              <w:rPr>
                <w:rFonts w:hint="eastAsia" w:ascii="黑体" w:hAnsi="黑体" w:eastAsia="黑体" w:cs="黑体"/>
                <w:color w:val="auto"/>
                <w:kern w:val="0"/>
                <w:sz w:val="28"/>
                <w:szCs w:val="28"/>
                <w:highlight w:val="none"/>
              </w:rPr>
              <w:t>水土保持管理方面</w:t>
            </w:r>
            <w:bookmarkEnd w:id="263"/>
            <w:bookmarkEnd w:id="26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5" w:name="_Toc1182701798"/>
            <w:bookmarkStart w:id="266" w:name="_Toc218468857"/>
            <w:r>
              <w:rPr>
                <w:rFonts w:hint="eastAsia" w:ascii="宋体" w:hAnsi="宋体" w:eastAsia="宋体" w:cs="宋体"/>
                <w:b/>
                <w:bCs/>
                <w:color w:val="auto"/>
                <w:kern w:val="0"/>
                <w:szCs w:val="21"/>
                <w:highlight w:val="none"/>
              </w:rPr>
              <w:t>《中华人民共和国水土保持法》案由9项</w:t>
            </w:r>
            <w:bookmarkEnd w:id="265"/>
            <w:bookmarkEnd w:id="26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采集发菜，或者在水土流失重点预防区和重点治理区铲草皮、挖树兜、滥挖虫草、甘草、麻黄等</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依法应当编制水土保持方案的生产建设项目，未编制水土保持方案或者编制的水土保持方案未经批准而开工建设</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处罚条款：第五十三条第一款第（一）项，责令停止违法行为，限期补办手续；逾期不补办手续的，处五万元以上五十万元以下的罚款。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生产建设项目的地点、规模发生重大变化，未补充、修改水土保持方案或者补充、修改的水土保持方案未经原审批机关批准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处罚条款：第五十三条第一款第（二）项，责令停止违法行为，限期补办手续；逾期不补办手续的，处五万元以上五十万元以下的罚款。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水土保持方案实施过程中，未经原审批机关批准，对水土保持措施做出重大变更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处罚条款：第五十三条第一款第（三）项，责令停止违法行为，限期补办手续；逾期不补办手续的，处五万元以上五十万元以下的罚款。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水土保持设施未经验收或者验收不合格将生产建设项目投产使用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处罚条款：第五十四条，责令停止生产或者使用，直至验收合格，并处五万元以上五十万元以下的罚款。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在禁止开垦坡度以上陡坡地开垦种植农作物，或者在禁止开垦、开发的植物保护带内开垦、开发</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罚款金额=2×（1+情节系数）×开垦或者开发面积</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需要作出对个人处每平方米小于1元、对单位处每平方米小于5元的罚款决定的，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罚款金额=5×（1+情节系数）×开垦或者开发面积</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在崩塌、滑坡危险区或者泥石流易发区从事取土、挖砂、采石等可能造成水土流失的活动</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在林区采伐林木不依法采取防止水土流失措施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罚款金额=2元/平方米×（1+情节系数）×水土流失面积</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在水土保持方案确定的专门存放地以外的区域倾倒砂、石、土、矸石、尾矿、废渣等</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处罚条款：第五十五条，责令停止违法行为，限期清理，按照倾倒数量处每立方米十元以上二十元以下的罚款。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罚款金额=10×（1+情节系数）×堆土弃渣量</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67" w:name="_Toc218468858"/>
            <w:bookmarkStart w:id="268" w:name="_Toc1836068036"/>
            <w:r>
              <w:rPr>
                <w:rFonts w:hint="eastAsia" w:ascii="宋体" w:hAnsi="宋体" w:eastAsia="宋体" w:cs="宋体"/>
                <w:b/>
                <w:bCs/>
                <w:color w:val="auto"/>
                <w:kern w:val="0"/>
                <w:szCs w:val="21"/>
                <w:highlight w:val="none"/>
              </w:rPr>
              <w:t>《北京市水土保持条例》案由9项</w:t>
            </w:r>
            <w:bookmarkEnd w:id="267"/>
            <w:bookmarkEnd w:id="26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拒不缴纳水土保持补偿费</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处罚条款：第五十七条，责令限期缴纳；逾期不缴纳的，可以处应缴水土保持补偿费三倍以下的罚款。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罚款金额=应缴水土保持补偿费×1倍×（1+情节系数）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未将水土保持设施纳入项目主体工程设计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水土保持设施管护单位未保存水土保持设施清单和管护记录</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处罚条款：第三十七条第二款，责令改正，可处五千元罚款。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未按时报送水土保持监测情况</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处罚条款：第三十九条，责令限期改正，处五千元以上二万元以下罚款。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未建设集雨式绿地、透水铺装、雨水集蓄利用等设施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生产建设单位在土石方堆放、转运和综合利用中未采取有效措施加强土石方管理，造成水土流失</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处罚条款：第三十八条，责令改正，处五万元以上五十万元以下罚款。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在生态清洁小流域范围内破坏水土保持设施或者干扰其正常运行，或其他影响水土保持设施正常功能</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违反条款：第二十条第一款第（三）项、第（四）项；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在生态清洁小流域范围内随意取土、挖砂、倾倒垃圾、排放污水</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在生态清洁小流域范围内的沟道内私搭乱建、堆放物品</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违反条款：第二十条第一款第（一）项；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处罚条款：第三十六条，责令改正，对个人可处五百元以上五千元以下罚款；对单位可处一万元以上十万元以下罚款。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r>
              <w:rPr>
                <w:rFonts w:hint="eastAsia" w:ascii="宋体" w:hAnsi="宋体" w:eastAsia="宋体" w:cs="宋体"/>
                <w:color w:val="auto"/>
                <w:kern w:val="0"/>
                <w:sz w:val="15"/>
                <w:szCs w:val="15"/>
                <w:highlight w:val="none"/>
              </w:rPr>
              <w:t>，街乡</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8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4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269" w:name="_Toc1762195202"/>
            <w:bookmarkStart w:id="270" w:name="_Toc218468859"/>
            <w:r>
              <w:rPr>
                <w:rFonts w:hint="eastAsia" w:ascii="黑体" w:hAnsi="黑体" w:eastAsia="黑体" w:cs="黑体"/>
                <w:color w:val="auto"/>
                <w:kern w:val="0"/>
                <w:sz w:val="28"/>
                <w:szCs w:val="28"/>
                <w:highlight w:val="none"/>
              </w:rPr>
              <w:t>水工程运行管理方面</w:t>
            </w:r>
            <w:bookmarkEnd w:id="269"/>
            <w:bookmarkEnd w:id="27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8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71" w:name="_Toc165216269"/>
            <w:bookmarkStart w:id="272" w:name="_Toc218468860"/>
            <w:r>
              <w:rPr>
                <w:rFonts w:hint="eastAsia" w:ascii="宋体" w:hAnsi="宋体" w:eastAsia="宋体" w:cs="宋体"/>
                <w:b/>
                <w:bCs/>
                <w:color w:val="auto"/>
                <w:kern w:val="0"/>
                <w:szCs w:val="21"/>
                <w:highlight w:val="none"/>
              </w:rPr>
              <w:t>《中华人民共和国水法》《中华人民共和国河道管理条例》《南水北调工程供用水管理条例》案由10项</w:t>
            </w:r>
            <w:bookmarkEnd w:id="271"/>
            <w:bookmarkEnd w:id="27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未经签署规划同意书要求，擅自在江河、湖泊上建设防洪工程和其他水工程、水电站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72"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未经审查同意，擅自建设桥梁、码头和其他拦河、跨河、临河建筑物、构筑物，铺设跨河管道、电缆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宋体" w:hAnsi="宋体" w:eastAsia="宋体" w:cs="宋体"/>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未按审查要求建设桥梁、码头和其他拦河、跨河、临河建筑物、构筑物，铺设跨河管道、电缆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违反条款：《水法》第三十八条第一款；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处罚条款：《水法》第六十五条第三款，责令限期改正，按照情节轻重，处一万元以上十万元以下的罚款。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侵占、毁坏水工程及堤防、护岸等有关设施，毁坏防汛、水文监测、水文地质监测等设施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违反条款：《水法》第四十一条；《河道管理条例》第二十二条第一款；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在南水北调工程受水区地下水禁采区取用地下水、在受水区地下水超采区新增地下水取用水量、在受水区新增开采深层承压水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违反条款：《水法》第四十八条第一款；《南水北调条例》第三十四条；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擅自从南水北调工程取用水资源</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违反条款：《水法》第四十八条第一款；《南水北调条例》第四十二条第二款；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侵占、损毁、危害南水北调工程设施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违反条款：《水法》第四十一条；《南水北调条例》第四十二条；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1.移动、覆盖、涂改、损毁标志物等不影响实际输配水的配套设施，系数为0；2.侵占、损毁、危害影响实际输配水的南水北调</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配套工程设施，系数为2；3.侵占、损毁、危害影响实际输配水的南水北调干线及其配套工程设施或造成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在南水北调工程保护范围内实施影响工程运行、危害工程安全和供水安全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违反条款：《水法》第四十三条第四款；《南水北调条例》第四十三条；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在河道、湖泊管理范围内建设妨碍行洪的建筑物、构筑物，或者从事影响河势稳定、危害河岸堤防安全和其他妨碍河道行洪的活动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违反条款：《水法》第三十七条第二款；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在水工程保护范围内，从事影响水工程运行和危害水工程安全的爆破、打井、采石、取土等活动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违反条款：《水法》第四十三条第四款；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违反条款：《水法》第七十二条第一款第（二）项，责令停止违法行为，采取补救措施，处一万元以上五万元以下的罚款。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3" w:name="_Toc485325612"/>
            <w:bookmarkStart w:id="274" w:name="_Toc218468861"/>
            <w:r>
              <w:rPr>
                <w:rFonts w:hint="eastAsia" w:ascii="宋体" w:hAnsi="宋体" w:eastAsia="宋体" w:cs="宋体"/>
                <w:b/>
                <w:bCs/>
                <w:color w:val="auto"/>
                <w:kern w:val="0"/>
                <w:szCs w:val="21"/>
                <w:highlight w:val="none"/>
              </w:rPr>
              <w:t>《中华人民共和国防洪法》案由7项</w:t>
            </w:r>
            <w:bookmarkEnd w:id="273"/>
            <w:bookmarkEnd w:id="27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建设防洪工程和其他水工程、水电站违反规划同意书的要求，影响防洪</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未按照规划治导线整治河道和修建控制引导河水流向、保护堤岸等工程，影响防洪</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处罚条款：第五十四条，责令停止违法行为，恢复原状或者采取其他补救措施，可以处一万元以上十万元以下的罚款。 </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未经审查同意或者未按照审查批准的位置、界限，在河道、湖泊管理范围内从事工程设施建设活动，影响行洪</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在洪泛区、蓄滞洪区内建设非防洪建设项目，未编制洪水影响评价报告或者洪水影响评价报告未经审查批准开工建设</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处罚条款：第五十八条第一款，责令限期改正；逾期不改正的，处五万元以下的罚款。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防洪工程设施未经验收，即将建设项目投入生产或者使用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违反条款：第三十三条第二款；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处罚条款：第五十八条第二款，责令停止生产或者使用，限期验收防洪工程设施，可以处五万元以下的罚款。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围湖造地、未经批准围垦河道</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违反条款：第二十三条；《铁路安全管理条例》第三十七条；</w:t>
            </w:r>
          </w:p>
          <w:p>
            <w:pPr>
              <w:widowControl/>
              <w:jc w:val="lef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三</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在铁路桥梁跨越处河道上下游各1000米范围内围垦造田、拦河筑坝、架设浮桥或者修建其他影响铁路桥梁安全的设施</w:t>
            </w:r>
            <w:r>
              <w:rPr>
                <w:rFonts w:hint="eastAsia" w:ascii="宋体" w:hAnsi="宋体" w:eastAsia="宋体" w:cs="宋体"/>
                <w:color w:val="auto"/>
                <w:kern w:val="0"/>
                <w:sz w:val="15"/>
                <w:szCs w:val="15"/>
                <w:highlight w:val="none"/>
                <w:lang w:eastAsia="zh-CN"/>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default" w:ascii="宋体" w:hAnsi="宋体" w:eastAsia="宋体" w:cs="宋体"/>
                <w:color w:val="auto"/>
                <w:kern w:val="0"/>
                <w:sz w:val="15"/>
                <w:szCs w:val="15"/>
                <w:highlight w:val="none"/>
                <w:lang w:val="en-US"/>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破坏、侵占、毁损堤防、水闸、护岸、抽水站、排水渠系等防洪工程和水文、通信设施以及防汛备用的器材、物料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处罚条款：第六十条，责令停止违法行为，采取补救措施，可以处五万元以下的罚款。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5" w:name="_Toc218468862"/>
            <w:bookmarkStart w:id="276" w:name="_Toc1484818321"/>
            <w:r>
              <w:rPr>
                <w:rFonts w:hint="eastAsia" w:ascii="宋体" w:hAnsi="宋体" w:eastAsia="宋体" w:cs="宋体"/>
                <w:b/>
                <w:bCs/>
                <w:color w:val="auto"/>
                <w:kern w:val="0"/>
                <w:szCs w:val="21"/>
                <w:highlight w:val="none"/>
              </w:rPr>
              <w:t>《中华人民共和国河道管理条例》案由1项</w:t>
            </w:r>
            <w:bookmarkEnd w:id="275"/>
            <w:bookmarkEnd w:id="27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未经批准或者不按照国家规定的防洪标准、工程安全标准整治河道或者修建水工程建筑物和其他设施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处罚条款：第四十四条第一款第（三）项，责令其纠正违法行为，可以并处警告、罚款、没收非法所得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7" w:name="_Toc218468863"/>
            <w:bookmarkStart w:id="278" w:name="_Toc612642073"/>
            <w:r>
              <w:rPr>
                <w:rFonts w:hint="eastAsia" w:ascii="宋体" w:hAnsi="宋体" w:eastAsia="宋体" w:cs="宋体"/>
                <w:b/>
                <w:bCs/>
                <w:color w:val="auto"/>
                <w:kern w:val="0"/>
                <w:szCs w:val="21"/>
                <w:highlight w:val="none"/>
              </w:rPr>
              <w:t>《水库大坝注册登记办法》案由1项</w:t>
            </w:r>
            <w:bookmarkEnd w:id="277"/>
            <w:bookmarkEnd w:id="27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经发现已登记的大坝有关安全的数据和情况发生变更而未及时申报换证或在具体事项办理中有弄虚作假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处罚条款：第十一条，警告或1000元以下罚款。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79" w:name="_Toc218468864"/>
            <w:bookmarkStart w:id="280" w:name="_Toc1278537336"/>
            <w:r>
              <w:rPr>
                <w:rFonts w:hint="eastAsia" w:ascii="宋体" w:hAnsi="宋体" w:eastAsia="宋体" w:cs="宋体"/>
                <w:b/>
                <w:bCs/>
                <w:color w:val="auto"/>
                <w:kern w:val="0"/>
                <w:szCs w:val="21"/>
                <w:highlight w:val="none"/>
              </w:rPr>
              <w:t>《北京市河湖保护管理条例》《中华人民共和国河道管理条例》案由10项</w:t>
            </w:r>
            <w:bookmarkEnd w:id="279"/>
            <w:bookmarkEnd w:id="28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在河湖管理范围内围堤，修建阻水渠道、阻水道路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违反条款：《北京市河湖保护管理条例》第十九条第一款第（八）项；《中华人民共和国河道管理条例》第二十四条第（一）项；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在河湖管理范围内，行驶履带车辆、超过限载标准的车辆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违反条款：《北京市河湖保护管理条例》第十九条第（一）项第十款；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在河湖管理范围、保护范围内围河、挖筑鱼塘、挖坑开槽、勘探或者设立线杆、线塔、无线通信塔、标识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在河湖管理范围、保护范围内设置固定停车场所</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违反条款：《北京市河湖保护管理条例》第二十条第一款第（三）项；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处罚条款：《北京市河湖保护管理条例》第三十九条第一款第（二）项，责令停止违法行为，限期补办行政许可手续，处五万元以下的罚款。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在河湖管理范围、保护范围内修路，或者修建园林小品、管理房及其附属设施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违反条款：《北京市河湖保护管理条例》第二十条第一款第（四）项；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在河湖管理范围、保护范围内进行河道改线、开挖人工湖泊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街道乡镇</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建设单位的工程建设方案未经水行政主管部门同意擅自开工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建设单位未按照经批准的工程建设方案修建工程设施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非河湖工程及相关设施不符合河湖保护管理标准规范，且产权单位或者管理单位未按规定及时改正</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处罚条款：《北京市河湖保护管理条例》第四十一条，责令限期改正或者采取补救措施，可以处一万元以上十万元以下的罚款。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非管理人员开关、启闭水利设备或者干扰河道管理单位正常工作</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违反条款：《北京市河湖保护管理条例》第十九条第一款第（九）项；《中华人民共和国河道管理条例》第二十三条；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1" w:name="_Toc666852362"/>
            <w:bookmarkStart w:id="282" w:name="_Toc218468865"/>
            <w:r>
              <w:rPr>
                <w:rFonts w:hint="eastAsia" w:ascii="宋体" w:hAnsi="宋体" w:eastAsia="宋体" w:cs="宋体"/>
                <w:b/>
                <w:bCs/>
                <w:color w:val="auto"/>
                <w:kern w:val="0"/>
                <w:szCs w:val="21"/>
                <w:highlight w:val="none"/>
              </w:rPr>
              <w:t>《北京市湿地保护条例》案由1项</w:t>
            </w:r>
            <w:bookmarkEnd w:id="281"/>
            <w:bookmarkEnd w:id="28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损毁、涂改、擅自移动湿地保护标志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处罚条款：第三十九条，责令限期改正，可以处500元以上5000元以下罚款。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3" w:name="_Toc428926240"/>
            <w:bookmarkStart w:id="284" w:name="_Toc218468866"/>
            <w:r>
              <w:rPr>
                <w:rFonts w:hint="eastAsia" w:ascii="宋体" w:hAnsi="宋体" w:eastAsia="宋体" w:cs="宋体"/>
                <w:b/>
                <w:bCs/>
                <w:color w:val="auto"/>
                <w:kern w:val="0"/>
                <w:szCs w:val="21"/>
                <w:highlight w:val="none"/>
              </w:rPr>
              <w:t>《北京市南水北调工程保护办法》案由7项</w:t>
            </w:r>
            <w:bookmarkEnd w:id="283"/>
            <w:bookmarkEnd w:id="28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擅自移动、毁损、涂改北京市南水北调工程标志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处罚条款：第二十条，责令限期改正，可处200元以上1000元以下罚款。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擅自开启、关闭闸、阀（井）或者采用移动、切割、打孔、砸撬、拆卸等手段损坏北京市南水北调工程管涵及其附属设备设施</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处罚条款：第二十一条，责令改正，处3000元以上10万元以下罚款。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造成恶劣影响需从重处罚的，报案审会最终确定处罚金额。</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在北京市南水北调工程保护范围内种植根系可能深达管涵埋设部位的植物</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在北京市南水北调工程保护范围内爆破、打井、打桩、钻探、采石、采矿、取土、挖砂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在北京市南水北调工程保护范围内擅自建设建筑物、构筑物，堆放超过管涵承受荷载设计标准的重物</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违反条款：第十四条第（四）项；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在北京市南水北调工程保护范围内从事其他可能危害工程安全的行为</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违反条款：第十四条第（六）项；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处罚条款：第二十二条，责令限期改正，可处3000元以上10万元以下罚款。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在北京市南水北调工程保护范围内行驶重型车辆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违反条款：第十四条第（五）项；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处罚条款：第二十三条，责令改正，可处200元以上1000元以下罚款。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5" w:name="_Toc1984141459"/>
            <w:bookmarkStart w:id="286" w:name="_Toc218468867"/>
            <w:r>
              <w:rPr>
                <w:rFonts w:hint="eastAsia" w:ascii="宋体" w:hAnsi="宋体" w:eastAsia="宋体" w:cs="宋体"/>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宋体" w:hAnsi="宋体" w:eastAsia="宋体" w:cs="宋体"/>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宋体" w:hAnsi="宋体" w:eastAsia="宋体" w:cs="宋体"/>
                <w:b/>
                <w:bCs/>
                <w:color w:val="auto"/>
                <w:kern w:val="0"/>
                <w:szCs w:val="21"/>
                <w:highlight w:val="none"/>
              </w:rPr>
              <w:t>办法》案由2项</w:t>
            </w:r>
            <w:bookmarkEnd w:id="285"/>
            <w:bookmarkEnd w:id="28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在水库、闸坝管理和保护范围内以及河道、湖泊保护范围内，进行爆破、打井、采石、取土等危害防洪工程设施安全的活动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处罚条款：第四十五条，责令停止违法行为，恢复原状或者采取其他补救措施，可以处1万元以上5万元以下罚款。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在堤路结合的大坝、堤防、闸桥行驶超重车辆，在非堤路结合的大坝、堤防、闸桥行驶机动车辆的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处罚条款：第四十六条，处以200元以下罚款。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7" w:name="_Toc1758799852"/>
            <w:bookmarkStart w:id="288" w:name="_Toc218468868"/>
            <w:r>
              <w:rPr>
                <w:rFonts w:hint="eastAsia" w:ascii="黑体" w:hAnsi="黑体" w:eastAsia="黑体" w:cs="黑体"/>
                <w:color w:val="auto"/>
                <w:kern w:val="0"/>
                <w:sz w:val="28"/>
                <w:szCs w:val="28"/>
                <w:highlight w:val="none"/>
              </w:rPr>
              <w:t>水利建设资质管理方面</w:t>
            </w:r>
            <w:bookmarkEnd w:id="287"/>
            <w:bookmarkEnd w:id="28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2979876"/>
            <w:bookmarkStart w:id="290" w:name="_Toc218468869"/>
            <w:r>
              <w:rPr>
                <w:rFonts w:hint="eastAsia" w:ascii="宋体" w:hAnsi="宋体" w:eastAsia="宋体" w:cs="宋体"/>
                <w:b/>
                <w:bCs/>
                <w:color w:val="auto"/>
                <w:kern w:val="0"/>
                <w:szCs w:val="21"/>
                <w:highlight w:val="none"/>
              </w:rPr>
              <w:t>《中华人民共和国建筑法》案由1项</w:t>
            </w:r>
            <w:bookmarkEnd w:id="289"/>
            <w:bookmarkEnd w:id="29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1" w:name="_Toc702307891"/>
            <w:bookmarkStart w:id="292" w:name="_Toc218468870"/>
            <w:r>
              <w:rPr>
                <w:rFonts w:hint="eastAsia" w:ascii="宋体" w:hAnsi="宋体" w:eastAsia="宋体" w:cs="宋体"/>
                <w:b/>
                <w:bCs/>
                <w:color w:val="auto"/>
                <w:kern w:val="0"/>
                <w:szCs w:val="21"/>
                <w:highlight w:val="none"/>
              </w:rPr>
              <w:t>《建设工程质量管理条例》案由3项</w:t>
            </w:r>
            <w:bookmarkEnd w:id="291"/>
            <w:bookmarkEnd w:id="29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3" w:name="_Toc1211391117"/>
            <w:bookmarkStart w:id="294" w:name="_Toc218468871"/>
            <w:r>
              <w:rPr>
                <w:rFonts w:hint="eastAsia" w:ascii="宋体" w:hAnsi="宋体" w:eastAsia="宋体" w:cs="宋体"/>
                <w:b/>
                <w:bCs/>
                <w:color w:val="auto"/>
                <w:kern w:val="0"/>
                <w:szCs w:val="21"/>
                <w:highlight w:val="none"/>
              </w:rPr>
              <w:t>《建筑业企业资质管理规定》案由4项</w:t>
            </w:r>
            <w:bookmarkEnd w:id="293"/>
            <w:bookmarkEnd w:id="29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1423281094"/>
            <w:bookmarkStart w:id="296" w:name="_Toc218468872"/>
            <w:r>
              <w:rPr>
                <w:rFonts w:hint="eastAsia" w:ascii="宋体" w:hAnsi="宋体" w:eastAsia="宋体" w:cs="宋体"/>
                <w:b/>
                <w:bCs/>
                <w:color w:val="auto"/>
                <w:kern w:val="0"/>
                <w:szCs w:val="21"/>
                <w:highlight w:val="none"/>
              </w:rPr>
              <w:t>《工程监理企业资质管理规定》案由3项</w:t>
            </w:r>
            <w:bookmarkEnd w:id="295"/>
            <w:bookmarkEnd w:id="29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7" w:name="_Toc218468873"/>
            <w:bookmarkStart w:id="298" w:name="_Toc2085273921"/>
            <w:r>
              <w:rPr>
                <w:rFonts w:hint="eastAsia" w:ascii="宋体" w:hAnsi="宋体" w:eastAsia="宋体" w:cs="宋体"/>
                <w:b/>
                <w:bCs/>
                <w:color w:val="auto"/>
                <w:kern w:val="0"/>
                <w:szCs w:val="21"/>
                <w:highlight w:val="none"/>
              </w:rPr>
              <w:t>《水利工程建设监理规定》案由2项</w:t>
            </w:r>
            <w:bookmarkEnd w:id="297"/>
            <w:bookmarkEnd w:id="29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299"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0" w:name="_Toc1083469754"/>
            <w:r>
              <w:rPr>
                <w:rFonts w:hint="eastAsia" w:ascii="宋体" w:hAnsi="宋体" w:eastAsia="宋体" w:cs="宋体"/>
                <w:b/>
                <w:bCs/>
                <w:color w:val="auto"/>
                <w:kern w:val="0"/>
                <w:szCs w:val="21"/>
                <w:highlight w:val="none"/>
              </w:rPr>
              <w:t>《水利工程质量检测管理规定》案由5项</w:t>
            </w:r>
            <w:bookmarkEnd w:id="299"/>
            <w:bookmarkEnd w:id="3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1980735967"/>
            <w:bookmarkStart w:id="302" w:name="_Toc218468875"/>
            <w:r>
              <w:rPr>
                <w:rFonts w:hint="eastAsia" w:ascii="宋体" w:hAnsi="宋体" w:eastAsia="宋体" w:cs="宋体"/>
                <w:b/>
                <w:bCs/>
                <w:color w:val="auto"/>
                <w:kern w:val="0"/>
                <w:szCs w:val="21"/>
                <w:highlight w:val="none"/>
              </w:rPr>
              <w:t>《市政公用事业特许经营管理办法》案由1项</w:t>
            </w:r>
            <w:bookmarkEnd w:id="301"/>
            <w:bookmarkEnd w:id="30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3" w:name="_Toc218468876"/>
            <w:bookmarkStart w:id="304" w:name="_Toc734146450"/>
            <w:r>
              <w:rPr>
                <w:rFonts w:hint="eastAsia" w:ascii="宋体" w:hAnsi="宋体" w:eastAsia="宋体" w:cs="宋体"/>
                <w:b/>
                <w:bCs/>
                <w:color w:val="auto"/>
                <w:kern w:val="0"/>
                <w:szCs w:val="21"/>
                <w:highlight w:val="none"/>
              </w:rPr>
              <w:t>《注册造价工程师管理办法》案由3项</w:t>
            </w:r>
            <w:bookmarkEnd w:id="303"/>
            <w:bookmarkEnd w:id="30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05" w:name="_Toc218468877"/>
            <w:bookmarkStart w:id="306" w:name="_Toc904582335"/>
            <w:r>
              <w:rPr>
                <w:rFonts w:hint="eastAsia" w:ascii="黑体" w:hAnsi="黑体" w:eastAsia="黑体" w:cs="黑体"/>
                <w:color w:val="auto"/>
                <w:kern w:val="0"/>
                <w:sz w:val="28"/>
                <w:szCs w:val="28"/>
                <w:highlight w:val="none"/>
              </w:rPr>
              <w:t>水文与水行政许可管理方面</w:t>
            </w:r>
            <w:bookmarkEnd w:id="305"/>
            <w:bookmarkEnd w:id="3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218468878"/>
            <w:bookmarkStart w:id="308" w:name="_Toc12838676"/>
            <w:r>
              <w:rPr>
                <w:rFonts w:hint="eastAsia" w:ascii="宋体" w:hAnsi="宋体" w:eastAsia="宋体" w:cs="宋体"/>
                <w:b/>
                <w:bCs/>
                <w:color w:val="auto"/>
                <w:kern w:val="0"/>
                <w:szCs w:val="21"/>
                <w:highlight w:val="none"/>
              </w:rPr>
              <w:t>《中华人民共和国水文条例》案由5项</w:t>
            </w:r>
            <w:bookmarkEnd w:id="307"/>
            <w:bookmarkEnd w:id="30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09" w:name="_Toc1888080768"/>
            <w:bookmarkStart w:id="310" w:name="_Toc218468879"/>
            <w:r>
              <w:rPr>
                <w:rFonts w:hint="eastAsia" w:ascii="宋体" w:hAnsi="宋体" w:eastAsia="宋体" w:cs="宋体"/>
                <w:b/>
                <w:bCs/>
                <w:color w:val="auto"/>
                <w:kern w:val="0"/>
                <w:szCs w:val="21"/>
                <w:highlight w:val="none"/>
              </w:rPr>
              <w:t>《中华人民共和国行政许可法》《水行政许可实施办法》案由4项</w:t>
            </w:r>
            <w:bookmarkEnd w:id="309"/>
            <w:bookmarkEnd w:id="31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1" w:name="_Toc962402114"/>
            <w:bookmarkStart w:id="312" w:name="_Toc218468880"/>
            <w:r>
              <w:rPr>
                <w:rFonts w:hint="eastAsia" w:ascii="黑体" w:hAnsi="黑体" w:eastAsia="黑体" w:cs="黑体"/>
                <w:color w:val="auto"/>
                <w:kern w:val="0"/>
                <w:sz w:val="28"/>
                <w:szCs w:val="28"/>
                <w:highlight w:val="none"/>
              </w:rPr>
              <w:t>水务移民管理方面</w:t>
            </w:r>
            <w:bookmarkEnd w:id="311"/>
            <w:bookmarkEnd w:id="3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3" w:name="_Toc667239925"/>
            <w:bookmarkStart w:id="314" w:name="_Toc218468881"/>
            <w:r>
              <w:rPr>
                <w:rFonts w:hint="eastAsia" w:ascii="宋体" w:hAnsi="宋体" w:eastAsia="宋体" w:cs="宋体"/>
                <w:b/>
                <w:bCs/>
                <w:color w:val="auto"/>
                <w:kern w:val="0"/>
                <w:szCs w:val="21"/>
                <w:highlight w:val="none"/>
              </w:rPr>
              <w:t>《大中型水利水电工程建设征地补偿和移民安置条例》案由3项</w:t>
            </w:r>
            <w:bookmarkEnd w:id="313"/>
            <w:bookmarkEnd w:id="31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市级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5" w:name="_Toc218468882"/>
            <w:bookmarkStart w:id="316" w:name="_Toc1537757160"/>
            <w:r>
              <w:rPr>
                <w:rFonts w:hint="eastAsia" w:ascii="黑体" w:hAnsi="黑体" w:eastAsia="黑体" w:cs="黑体"/>
                <w:color w:val="auto"/>
                <w:kern w:val="0"/>
                <w:sz w:val="28"/>
                <w:szCs w:val="28"/>
                <w:highlight w:val="none"/>
              </w:rPr>
              <w:t>防汛抗旱管理方面</w:t>
            </w:r>
            <w:bookmarkEnd w:id="315"/>
            <w:bookmarkEnd w:id="31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7" w:name="_Toc218468883"/>
            <w:bookmarkStart w:id="318" w:name="_Toc63845650"/>
            <w:r>
              <w:rPr>
                <w:rFonts w:hint="eastAsia" w:ascii="宋体" w:hAnsi="宋体" w:eastAsia="宋体" w:cs="宋体"/>
                <w:b/>
                <w:bCs/>
                <w:color w:val="auto"/>
                <w:kern w:val="0"/>
                <w:szCs w:val="21"/>
                <w:highlight w:val="none"/>
              </w:rPr>
              <w:t>《中华人民共和国抗旱条例》案由4项</w:t>
            </w:r>
            <w:bookmarkEnd w:id="317"/>
            <w:bookmarkEnd w:id="3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1440360601"/>
            <w:bookmarkStart w:id="320" w:name="_Toc218468884"/>
            <w:r>
              <w:rPr>
                <w:rFonts w:hint="eastAsia" w:ascii="宋体" w:hAnsi="宋体" w:eastAsia="宋体" w:cs="宋体"/>
                <w:b/>
                <w:bCs/>
                <w:color w:val="auto"/>
                <w:kern w:val="0"/>
                <w:szCs w:val="21"/>
                <w:highlight w:val="none"/>
              </w:rPr>
              <w:t>《中华人民共和国河道管理条例》案由1项</w:t>
            </w:r>
            <w:bookmarkEnd w:id="319"/>
            <w:bookmarkEnd w:id="32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21" w:name="_Toc218468885"/>
            <w:bookmarkStart w:id="322" w:name="_Toc323740398"/>
            <w:r>
              <w:rPr>
                <w:rFonts w:hint="eastAsia" w:ascii="黑体" w:hAnsi="黑体" w:eastAsia="黑体" w:cs="黑体"/>
                <w:color w:val="auto"/>
                <w:kern w:val="0"/>
                <w:sz w:val="28"/>
                <w:szCs w:val="28"/>
                <w:highlight w:val="none"/>
              </w:rPr>
              <w:t>水利项目招投标管理方面</w:t>
            </w:r>
            <w:bookmarkEnd w:id="321"/>
            <w:bookmarkEnd w:id="32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23" w:name="_Toc1376045253"/>
            <w:bookmarkStart w:id="324" w:name="_Toc218468886"/>
            <w:r>
              <w:rPr>
                <w:rFonts w:hint="eastAsia" w:ascii="宋体" w:hAnsi="宋体" w:eastAsia="宋体" w:cs="宋体"/>
                <w:b/>
                <w:bCs/>
                <w:color w:val="auto"/>
                <w:kern w:val="0"/>
                <w:szCs w:val="21"/>
                <w:highlight w:val="none"/>
              </w:rPr>
              <w:t>《中华人民共和国招标投标法》《中华人民共和国招标投标法实施条例》案由9项</w:t>
            </w:r>
            <w:bookmarkEnd w:id="323"/>
            <w:bookmarkEnd w:id="3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c>
          <w:tcPr>
            <w:tcW w:w="9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218468887"/>
            <w:bookmarkStart w:id="326" w:name="_Toc188320306"/>
            <w:r>
              <w:rPr>
                <w:rFonts w:hint="eastAsia" w:ascii="宋体" w:hAnsi="宋体" w:eastAsia="宋体" w:cs="宋体"/>
                <w:b/>
                <w:bCs/>
                <w:color w:val="auto"/>
                <w:kern w:val="0"/>
                <w:szCs w:val="21"/>
                <w:highlight w:val="none"/>
              </w:rPr>
              <w:t>《中华人民共和国招标投标法实施条例》案由12项</w:t>
            </w:r>
            <w:bookmarkEnd w:id="325"/>
            <w:bookmarkEnd w:id="32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27" w:name="_Toc1506442196"/>
            <w:bookmarkStart w:id="328" w:name="_Toc218468888"/>
            <w:r>
              <w:rPr>
                <w:rFonts w:hint="eastAsia" w:ascii="宋体" w:hAnsi="宋体" w:eastAsia="宋体" w:cs="宋体"/>
                <w:b/>
                <w:bCs/>
                <w:color w:val="auto"/>
                <w:kern w:val="0"/>
                <w:szCs w:val="21"/>
                <w:highlight w:val="none"/>
              </w:rPr>
              <w:t>《工程建设项目施工招标投标办法》案由1项</w:t>
            </w:r>
            <w:bookmarkEnd w:id="327"/>
            <w:bookmarkEnd w:id="32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51"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auto"/>
                <w:kern w:val="0"/>
                <w:sz w:val="15"/>
                <w:szCs w:val="15"/>
                <w:highlight w:val="none"/>
                <w:lang w:eastAsia="zh-CN"/>
              </w:rPr>
            </w:pPr>
            <w:r>
              <w:rPr>
                <w:rFonts w:hint="eastAsia" w:ascii="Times New Roman" w:hAnsi="Times New Roman" w:eastAsia="宋体" w:cs="Times New Roman"/>
                <w:color w:val="auto"/>
                <w:kern w:val="0"/>
                <w:sz w:val="15"/>
                <w:szCs w:val="15"/>
                <w:highlight w:val="none"/>
                <w:lang w:eastAsia="zh-CN"/>
              </w:rPr>
              <w:t>市级</w:t>
            </w:r>
            <w:r>
              <w:rPr>
                <w:rFonts w:hint="eastAsia" w:ascii="Times New Roman" w:hAnsi="Times New Roman" w:eastAsia="宋体" w:cs="Times New Roman"/>
                <w:color w:val="auto"/>
                <w:kern w:val="0"/>
                <w:sz w:val="15"/>
                <w:szCs w:val="15"/>
                <w:highlight w:val="none"/>
                <w:lang w:eastAsia="zh-CN"/>
              </w:rPr>
              <w:br w:type="textWrapping"/>
            </w:r>
            <w:r>
              <w:rPr>
                <w:rFonts w:hint="eastAsia" w:ascii="Times New Roman" w:hAnsi="Times New Roman" w:eastAsia="宋体" w:cs="Times New Roman"/>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9" w:name="_Toc218468889"/>
            <w:bookmarkStart w:id="330" w:name="_Toc1064629641"/>
            <w:r>
              <w:rPr>
                <w:rFonts w:hint="eastAsia" w:ascii="黑体" w:hAnsi="黑体" w:eastAsia="黑体" w:cs="黑体"/>
                <w:color w:val="auto"/>
                <w:kern w:val="0"/>
                <w:sz w:val="28"/>
                <w:szCs w:val="28"/>
                <w:highlight w:val="none"/>
              </w:rPr>
              <w:t>水利建设勘察设计管理方面</w:t>
            </w:r>
            <w:bookmarkEnd w:id="329"/>
            <w:bookmarkEnd w:id="3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1950515509"/>
            <w:bookmarkStart w:id="332" w:name="_Toc218468890"/>
            <w:r>
              <w:rPr>
                <w:rFonts w:hint="eastAsia" w:ascii="宋体" w:hAnsi="宋体" w:eastAsia="宋体" w:cs="宋体"/>
                <w:b/>
                <w:bCs/>
                <w:color w:val="auto"/>
                <w:kern w:val="0"/>
                <w:szCs w:val="21"/>
                <w:highlight w:val="none"/>
              </w:rPr>
              <w:t>《建设工程勘察设计管理条例》案由5项</w:t>
            </w:r>
            <w:bookmarkEnd w:id="331"/>
            <w:bookmarkEnd w:id="33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3" w:name="_Toc1671658466"/>
            <w:bookmarkStart w:id="334" w:name="_Toc218468891"/>
            <w:r>
              <w:rPr>
                <w:rFonts w:ascii="Times New Roman" w:hAnsi="Times New Roman" w:eastAsia="宋体" w:cs="Times New Roman"/>
                <w:b/>
                <w:bCs/>
                <w:color w:val="auto"/>
                <w:kern w:val="0"/>
                <w:szCs w:val="21"/>
                <w:highlight w:val="none"/>
              </w:rPr>
              <w:t>《建设工程质量管理条例》《水利工程质量管理规定》案由4项</w:t>
            </w:r>
            <w:bookmarkEnd w:id="333"/>
            <w:bookmarkEnd w:id="33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35" w:name="_Toc1549955253"/>
            <w:bookmarkStart w:id="336" w:name="_Toc218468892"/>
            <w:r>
              <w:rPr>
                <w:rFonts w:ascii="Times New Roman" w:hAnsi="Times New Roman" w:eastAsia="宋体" w:cs="Times New Roman"/>
                <w:b/>
                <w:bCs/>
                <w:color w:val="auto"/>
                <w:kern w:val="0"/>
                <w:szCs w:val="21"/>
                <w:highlight w:val="none"/>
              </w:rPr>
              <w:t>《建设工程勘察质量管理办法》案由17项</w:t>
            </w:r>
            <w:bookmarkEnd w:id="335"/>
            <w:bookmarkEnd w:id="3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7" w:name="_Toc218468893"/>
            <w:bookmarkStart w:id="338" w:name="_Toc1287850182"/>
            <w:r>
              <w:rPr>
                <w:rFonts w:hint="eastAsia" w:ascii="宋体" w:hAnsi="宋体" w:eastAsia="宋体" w:cs="宋体"/>
                <w:b/>
                <w:bCs/>
                <w:color w:val="auto"/>
                <w:kern w:val="0"/>
                <w:szCs w:val="21"/>
                <w:highlight w:val="none"/>
              </w:rPr>
              <w:t>《建设工程勘察设计资质管理规定》案由4项</w:t>
            </w:r>
            <w:bookmarkEnd w:id="337"/>
            <w:bookmarkEnd w:id="33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9" w:name="_Toc218468894"/>
            <w:bookmarkStart w:id="340" w:name="_Toc136816891"/>
            <w:r>
              <w:rPr>
                <w:rFonts w:hint="eastAsia" w:ascii="黑体" w:hAnsi="黑体" w:eastAsia="黑体" w:cs="黑体"/>
                <w:color w:val="auto"/>
                <w:kern w:val="0"/>
                <w:sz w:val="28"/>
                <w:szCs w:val="28"/>
                <w:highlight w:val="none"/>
              </w:rPr>
              <w:t>水利工程建设质量管理方面</w:t>
            </w:r>
            <w:bookmarkEnd w:id="339"/>
            <w:bookmarkEnd w:id="34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41" w:name="_Toc218468895"/>
            <w:bookmarkStart w:id="342" w:name="_Toc681008941"/>
            <w:r>
              <w:rPr>
                <w:rFonts w:ascii="Times New Roman" w:hAnsi="Times New Roman" w:eastAsia="宋体" w:cs="Times New Roman"/>
                <w:b/>
                <w:bCs/>
                <w:color w:val="auto"/>
                <w:kern w:val="0"/>
                <w:szCs w:val="21"/>
                <w:highlight w:val="none"/>
              </w:rPr>
              <w:t>《中华人民共和国建筑法》案由1项</w:t>
            </w:r>
            <w:bookmarkEnd w:id="341"/>
            <w:bookmarkEnd w:id="3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3"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3" w:name="_Toc218468896"/>
            <w:bookmarkStart w:id="344" w:name="_Toc1954702544"/>
            <w:r>
              <w:rPr>
                <w:rFonts w:hint="eastAsia" w:ascii="宋体" w:hAnsi="宋体" w:eastAsia="宋体" w:cs="宋体"/>
                <w:b/>
                <w:bCs/>
                <w:color w:val="auto"/>
                <w:kern w:val="0"/>
                <w:szCs w:val="21"/>
                <w:highlight w:val="none"/>
              </w:rPr>
              <w:t>《建设工程质量管理条例》《水利工程质量管理规定》案由28项</w:t>
            </w:r>
            <w:bookmarkEnd w:id="343"/>
            <w:bookmarkEnd w:id="34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二</w:t>
            </w:r>
            <w:r>
              <w:rPr>
                <w:rFonts w:hint="eastAsia" w:ascii="宋体" w:hAnsi="宋体" w:cs="宋体"/>
                <w:color w:val="auto"/>
                <w:kern w:val="0"/>
                <w:sz w:val="15"/>
                <w:szCs w:val="15"/>
                <w:highlight w:val="none"/>
                <w:lang w:eastAsia="zh-CN"/>
              </w:rPr>
              <w:t>）项</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5" w:name="_Toc218468897"/>
            <w:bookmarkStart w:id="346" w:name="_Toc565743131"/>
            <w:r>
              <w:rPr>
                <w:rFonts w:hint="eastAsia" w:ascii="宋体" w:hAnsi="宋体" w:eastAsia="宋体" w:cs="宋体"/>
                <w:b/>
                <w:bCs/>
                <w:color w:val="auto"/>
                <w:kern w:val="0"/>
                <w:szCs w:val="21"/>
                <w:highlight w:val="none"/>
              </w:rPr>
              <w:t>《水利工程质量管理规定》案由1项</w:t>
            </w:r>
            <w:bookmarkEnd w:id="345"/>
            <w:bookmarkEnd w:id="34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7" w:name="_Toc218468898"/>
            <w:bookmarkStart w:id="348" w:name="_Toc517666752"/>
            <w:r>
              <w:rPr>
                <w:rFonts w:hint="eastAsia" w:ascii="宋体" w:hAnsi="宋体" w:eastAsia="宋体" w:cs="宋体"/>
                <w:b/>
                <w:bCs/>
                <w:color w:val="auto"/>
                <w:kern w:val="0"/>
                <w:szCs w:val="21"/>
                <w:highlight w:val="none"/>
              </w:rPr>
              <w:t>《水利工程质量检测管理规定》案由11项</w:t>
            </w:r>
            <w:bookmarkEnd w:id="347"/>
            <w:bookmarkEnd w:id="3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9" w:name="_Toc1566018748"/>
            <w:bookmarkStart w:id="350" w:name="_Toc218468899"/>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49"/>
            <w:bookmarkEnd w:id="35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806"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9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51"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hint="eastAsia" w:ascii="Times New Roman" w:hAnsi="Times New Roman" w:eastAsia="宋体" w:cs="Times New Roman"/>
                <w:color w:val="000000"/>
                <w:kern w:val="0"/>
                <w:sz w:val="15"/>
                <w:szCs w:val="15"/>
                <w:highlight w:val="none"/>
                <w:lang w:eastAsia="zh-CN"/>
              </w:rPr>
              <w:t>市级</w:t>
            </w:r>
            <w:r>
              <w:rPr>
                <w:rFonts w:hint="eastAsia" w:ascii="Times New Roman" w:hAnsi="Times New Roman" w:eastAsia="宋体" w:cs="Times New Roman"/>
                <w:color w:val="000000"/>
                <w:kern w:val="0"/>
                <w:sz w:val="15"/>
                <w:szCs w:val="15"/>
                <w:highlight w:val="none"/>
                <w:lang w:eastAsia="zh-CN"/>
              </w:rPr>
              <w:br w:type="textWrapping"/>
            </w:r>
            <w:r>
              <w:rPr>
                <w:rFonts w:hint="eastAsia" w:ascii="Times New Roman" w:hAnsi="Times New Roman" w:eastAsia="宋体" w:cs="Times New Roman"/>
                <w:color w:val="000000"/>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2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2" w:name="_Toc778723007"/>
            <w:r>
              <w:rPr>
                <w:rFonts w:hint="eastAsia" w:ascii="宋体" w:hAnsi="宋体" w:eastAsia="宋体" w:cs="宋体"/>
                <w:b/>
                <w:bCs/>
                <w:color w:val="auto"/>
                <w:kern w:val="0"/>
                <w:szCs w:val="21"/>
                <w:highlight w:val="none"/>
              </w:rPr>
              <w:t>《水利工程质量事故处理规定》案由1项</w:t>
            </w:r>
            <w:bookmarkEnd w:id="351"/>
            <w:bookmarkEnd w:id="35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 xml:space="preserve"> </w:t>
            </w: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3" w:name="_Toc1219974643"/>
            <w:bookmarkStart w:id="354" w:name="_Toc218468901"/>
            <w:r>
              <w:rPr>
                <w:rFonts w:hint="eastAsia" w:ascii="宋体" w:hAnsi="宋体" w:eastAsia="宋体" w:cs="宋体"/>
                <w:b/>
                <w:bCs/>
                <w:color w:val="auto"/>
                <w:kern w:val="0"/>
                <w:szCs w:val="21"/>
                <w:highlight w:val="none"/>
              </w:rPr>
              <w:t>《实施工程建设强制性标准监督规定》案由1项</w:t>
            </w:r>
            <w:bookmarkEnd w:id="353"/>
            <w:bookmarkEnd w:id="3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5" w:name="_Toc629926218"/>
            <w:bookmarkStart w:id="356" w:name="_Toc218468902"/>
            <w:r>
              <w:rPr>
                <w:rFonts w:hint="eastAsia" w:ascii="宋体" w:hAnsi="宋体" w:eastAsia="宋体" w:cs="宋体"/>
                <w:b/>
                <w:bCs/>
                <w:color w:val="auto"/>
                <w:kern w:val="0"/>
                <w:szCs w:val="21"/>
                <w:highlight w:val="none"/>
              </w:rPr>
              <w:t>《建设工程勘察质量管理办法》案由1项</w:t>
            </w:r>
            <w:bookmarkEnd w:id="355"/>
            <w:bookmarkEnd w:id="35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57" w:name="_Toc218468903"/>
            <w:bookmarkStart w:id="358" w:name="_Toc54520453"/>
            <w:r>
              <w:rPr>
                <w:rFonts w:hint="eastAsia" w:ascii="宋体" w:hAnsi="宋体" w:eastAsia="宋体" w:cs="宋体"/>
                <w:b/>
                <w:bCs/>
                <w:color w:val="auto"/>
                <w:kern w:val="0"/>
                <w:szCs w:val="21"/>
                <w:highlight w:val="none"/>
              </w:rPr>
              <w:t>《北京市建设工程质量条例》案由28项</w:t>
            </w:r>
            <w:bookmarkEnd w:id="357"/>
            <w:bookmarkEnd w:id="35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806"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806"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59" w:name="_Toc1157764916"/>
            <w:bookmarkStart w:id="360" w:name="_Toc218468904"/>
            <w:r>
              <w:rPr>
                <w:rFonts w:hint="eastAsia" w:ascii="黑体" w:hAnsi="黑体" w:eastAsia="黑体" w:cs="黑体"/>
                <w:color w:val="auto"/>
                <w:kern w:val="0"/>
                <w:sz w:val="28"/>
                <w:szCs w:val="28"/>
                <w:highlight w:val="none"/>
              </w:rPr>
              <w:t>水利建设工程安全生产管理方面</w:t>
            </w:r>
            <w:bookmarkEnd w:id="359"/>
            <w:bookmarkEnd w:id="3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trPr>
        <w:tc>
          <w:tcPr>
            <w:tcW w:w="15116" w:type="dxa"/>
            <w:gridSpan w:val="15"/>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1" w:name="_Toc1713395972"/>
            <w:bookmarkStart w:id="362" w:name="_Toc218468905"/>
            <w:r>
              <w:rPr>
                <w:rFonts w:ascii="Times New Roman" w:hAnsi="Times New Roman" w:eastAsia="宋体" w:cs="Times New Roman"/>
                <w:b/>
                <w:bCs/>
                <w:color w:val="auto"/>
                <w:kern w:val="0"/>
                <w:szCs w:val="21"/>
                <w:highlight w:val="none"/>
              </w:rPr>
              <w:t>《建设工程安全生产管理条例》《水利工程建设监理规定》案由28项</w:t>
            </w:r>
            <w:bookmarkEnd w:id="361"/>
            <w:bookmarkEnd w:id="36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806"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51"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c>
          <w:tcPr>
            <w:tcW w:w="912"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市级</w:t>
            </w:r>
            <w:r>
              <w:rPr>
                <w:rFonts w:hint="eastAsia" w:ascii="宋体" w:hAnsi="宋体" w:eastAsia="宋体" w:cs="宋体"/>
                <w:color w:val="auto"/>
                <w:kern w:val="0"/>
                <w:sz w:val="15"/>
                <w:szCs w:val="15"/>
                <w:highlight w:val="none"/>
                <w:lang w:eastAsia="zh-CN"/>
              </w:rPr>
              <w:br w:type="textWrapping"/>
            </w:r>
            <w:r>
              <w:rPr>
                <w:rFonts w:hint="eastAsia" w:ascii="宋体" w:hAnsi="宋体" w:eastAsia="宋体" w:cs="宋体"/>
                <w:color w:val="auto"/>
                <w:kern w:val="0"/>
                <w:sz w:val="15"/>
                <w:szCs w:val="15"/>
                <w:highlight w:val="none"/>
                <w:lang w:eastAsia="zh-CN"/>
              </w:rPr>
              <w:t>区级</w:t>
            </w:r>
          </w:p>
        </w:tc>
      </w:tr>
    </w:tbl>
    <w:p>
      <w:pPr>
        <w:pStyle w:val="8"/>
        <w:rPr>
          <w:color w:val="auto"/>
          <w:highlight w:val="none"/>
        </w:rPr>
      </w:pPr>
    </w:p>
    <w:p>
      <w:pPr>
        <w:pStyle w:val="22"/>
        <w:rPr>
          <w:color w:val="auto"/>
          <w:highlight w:val="none"/>
        </w:rPr>
      </w:pPr>
    </w:p>
    <w:sectPr>
      <w:footerReference r:id="rId4" w:type="default"/>
      <w:pgSz w:w="16840" w:h="11850" w:orient="landscape"/>
      <w:pgMar w:top="1134" w:right="907" w:bottom="1134" w:left="907" w:header="851" w:footer="624" w:gutter="0"/>
      <w:pgNumType w:fmt="decimal" w:start="1"/>
      <w:cols w:space="72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15"/>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2E8A56"/>
    <w:rsid w:val="0EA6FEA5"/>
    <w:rsid w:val="0EC7610D"/>
    <w:rsid w:val="0EEE2A65"/>
    <w:rsid w:val="0EFBC5A6"/>
    <w:rsid w:val="0F260DF9"/>
    <w:rsid w:val="0F50D8B6"/>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CFF3E80"/>
    <w:rsid w:val="1D1A2043"/>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AB7D28"/>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AFFE5F0"/>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CF3F10D"/>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9444F"/>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EF8A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EFEB"/>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2403A5"/>
    <w:rsid w:val="454D2DE0"/>
    <w:rsid w:val="45D16686"/>
    <w:rsid w:val="45EE5E1E"/>
    <w:rsid w:val="462F5951"/>
    <w:rsid w:val="4697B0EC"/>
    <w:rsid w:val="46A5E501"/>
    <w:rsid w:val="479F083A"/>
    <w:rsid w:val="47BA6DDE"/>
    <w:rsid w:val="47BE0AB6"/>
    <w:rsid w:val="47D33D75"/>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8FC6"/>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DAE12"/>
    <w:rsid w:val="576E940A"/>
    <w:rsid w:val="57AFC138"/>
    <w:rsid w:val="57BD67C8"/>
    <w:rsid w:val="57BFE285"/>
    <w:rsid w:val="57D5B179"/>
    <w:rsid w:val="57DBE7AC"/>
    <w:rsid w:val="57DD41C0"/>
    <w:rsid w:val="57DFF4BD"/>
    <w:rsid w:val="57E70F57"/>
    <w:rsid w:val="57EBFCD7"/>
    <w:rsid w:val="57EF46D5"/>
    <w:rsid w:val="57EFA361"/>
    <w:rsid w:val="57F5FB92"/>
    <w:rsid w:val="57FBCD8A"/>
    <w:rsid w:val="57FDC686"/>
    <w:rsid w:val="57FFE8DD"/>
    <w:rsid w:val="582A60AC"/>
    <w:rsid w:val="58841836"/>
    <w:rsid w:val="58BFC293"/>
    <w:rsid w:val="58D6570E"/>
    <w:rsid w:val="58D96099"/>
    <w:rsid w:val="594F9F96"/>
    <w:rsid w:val="597E1BC4"/>
    <w:rsid w:val="598F29B3"/>
    <w:rsid w:val="599FD232"/>
    <w:rsid w:val="59CB7A5C"/>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9A23A3"/>
    <w:rsid w:val="5EBDBC12"/>
    <w:rsid w:val="5EBE7485"/>
    <w:rsid w:val="5EBFB65F"/>
    <w:rsid w:val="5ECB379A"/>
    <w:rsid w:val="5ECD2796"/>
    <w:rsid w:val="5ED152C2"/>
    <w:rsid w:val="5ED2EC84"/>
    <w:rsid w:val="5EDFDB47"/>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BF2C41"/>
    <w:rsid w:val="5FBF686B"/>
    <w:rsid w:val="5FD5BB1B"/>
    <w:rsid w:val="5FD77564"/>
    <w:rsid w:val="5FD9895F"/>
    <w:rsid w:val="5FDB01DB"/>
    <w:rsid w:val="5FDC4B56"/>
    <w:rsid w:val="5FDD8133"/>
    <w:rsid w:val="5FDF4DD1"/>
    <w:rsid w:val="5FE744AA"/>
    <w:rsid w:val="5FEA9E8D"/>
    <w:rsid w:val="5FEB83AD"/>
    <w:rsid w:val="5FEDD748"/>
    <w:rsid w:val="5FEE3BB2"/>
    <w:rsid w:val="5FEEFD8E"/>
    <w:rsid w:val="5FEF519A"/>
    <w:rsid w:val="5FEF96F0"/>
    <w:rsid w:val="5FEFD330"/>
    <w:rsid w:val="5FF33712"/>
    <w:rsid w:val="5FF33C69"/>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73D49"/>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784D6"/>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6B7400"/>
    <w:rsid w:val="6F7723CE"/>
    <w:rsid w:val="6F7D2977"/>
    <w:rsid w:val="6F7DEA2B"/>
    <w:rsid w:val="6F7E0090"/>
    <w:rsid w:val="6F7FF651"/>
    <w:rsid w:val="6F85C0E4"/>
    <w:rsid w:val="6F9A6F50"/>
    <w:rsid w:val="6F9B5ADC"/>
    <w:rsid w:val="6F9BDB6C"/>
    <w:rsid w:val="6F9D25AC"/>
    <w:rsid w:val="6F9FCFB9"/>
    <w:rsid w:val="6FA58BCC"/>
    <w:rsid w:val="6FAF19E1"/>
    <w:rsid w:val="6FAFF182"/>
    <w:rsid w:val="6FB9C0B3"/>
    <w:rsid w:val="6FBF8E07"/>
    <w:rsid w:val="6FBF955A"/>
    <w:rsid w:val="6FC7935B"/>
    <w:rsid w:val="6FCF9412"/>
    <w:rsid w:val="6FD788F5"/>
    <w:rsid w:val="6FDBE1F6"/>
    <w:rsid w:val="6FDCC4E3"/>
    <w:rsid w:val="6FDD09C5"/>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D3A7D2"/>
    <w:rsid w:val="73D68846"/>
    <w:rsid w:val="73D71F7F"/>
    <w:rsid w:val="73DB7784"/>
    <w:rsid w:val="73ED6581"/>
    <w:rsid w:val="73EFF68F"/>
    <w:rsid w:val="73F31CE6"/>
    <w:rsid w:val="73F67713"/>
    <w:rsid w:val="73FB821A"/>
    <w:rsid w:val="73FEF627"/>
    <w:rsid w:val="73FF54A1"/>
    <w:rsid w:val="73FFA17D"/>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DB22F"/>
    <w:rsid w:val="777E5D5D"/>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BF5DF"/>
    <w:rsid w:val="77FCA16E"/>
    <w:rsid w:val="77FCAE37"/>
    <w:rsid w:val="77FDBB8B"/>
    <w:rsid w:val="77FE7B4F"/>
    <w:rsid w:val="77FF077B"/>
    <w:rsid w:val="77FF0D06"/>
    <w:rsid w:val="77FF5B7A"/>
    <w:rsid w:val="77FF7AB8"/>
    <w:rsid w:val="77FFCE46"/>
    <w:rsid w:val="77FFD6B2"/>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27FE01"/>
    <w:rsid w:val="7B3BAE17"/>
    <w:rsid w:val="7B3FD99F"/>
    <w:rsid w:val="7B473DF7"/>
    <w:rsid w:val="7B583579"/>
    <w:rsid w:val="7B5E6D67"/>
    <w:rsid w:val="7B757168"/>
    <w:rsid w:val="7B75AA39"/>
    <w:rsid w:val="7B771657"/>
    <w:rsid w:val="7B7753B9"/>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BFFD076"/>
    <w:rsid w:val="7C1FED41"/>
    <w:rsid w:val="7C67BD8A"/>
    <w:rsid w:val="7C7F6893"/>
    <w:rsid w:val="7C8D80B5"/>
    <w:rsid w:val="7C9E0C08"/>
    <w:rsid w:val="7CA3D42B"/>
    <w:rsid w:val="7CD098CE"/>
    <w:rsid w:val="7CD9AB98"/>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E5B451"/>
    <w:rsid w:val="7DEB9A91"/>
    <w:rsid w:val="7DEF78AE"/>
    <w:rsid w:val="7DF34974"/>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0A9E"/>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71ED"/>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EF43B"/>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3E44"/>
    <w:rsid w:val="7FADB99B"/>
    <w:rsid w:val="7FAF0973"/>
    <w:rsid w:val="7FAF8336"/>
    <w:rsid w:val="7FB7CA20"/>
    <w:rsid w:val="7FB7DD35"/>
    <w:rsid w:val="7FBC285B"/>
    <w:rsid w:val="7FBDFD35"/>
    <w:rsid w:val="7FBE3F1A"/>
    <w:rsid w:val="7FBEAC2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3E7A3"/>
    <w:rsid w:val="7FF49BA0"/>
    <w:rsid w:val="7FF57E64"/>
    <w:rsid w:val="7FF59EF7"/>
    <w:rsid w:val="7FF6014E"/>
    <w:rsid w:val="7FF70A8D"/>
    <w:rsid w:val="7FF7841C"/>
    <w:rsid w:val="7FF79A2F"/>
    <w:rsid w:val="7FF79E0F"/>
    <w:rsid w:val="7FF7AD73"/>
    <w:rsid w:val="7FF7AE27"/>
    <w:rsid w:val="7FF7E546"/>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5FFE66"/>
    <w:rsid w:val="8F738877"/>
    <w:rsid w:val="8F7E7D85"/>
    <w:rsid w:val="8FCFEC67"/>
    <w:rsid w:val="8FFB6887"/>
    <w:rsid w:val="8FFF4C6F"/>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2B1776"/>
    <w:rsid w:val="AB4FFB16"/>
    <w:rsid w:val="AB8B1C07"/>
    <w:rsid w:val="AB9F2C54"/>
    <w:rsid w:val="ABBFA497"/>
    <w:rsid w:val="ABC79617"/>
    <w:rsid w:val="ABE31758"/>
    <w:rsid w:val="ABF73216"/>
    <w:rsid w:val="ABFE4843"/>
    <w:rsid w:val="ABFF44BA"/>
    <w:rsid w:val="ACDB6D13"/>
    <w:rsid w:val="ACDD5308"/>
    <w:rsid w:val="ACDF8080"/>
    <w:rsid w:val="AD5AFB30"/>
    <w:rsid w:val="AD7DD8B5"/>
    <w:rsid w:val="AD7F38A2"/>
    <w:rsid w:val="AD7FBA59"/>
    <w:rsid w:val="AD970582"/>
    <w:rsid w:val="ADBB73F3"/>
    <w:rsid w:val="ADC358B8"/>
    <w:rsid w:val="ADFA229E"/>
    <w:rsid w:val="ADFBC9D7"/>
    <w:rsid w:val="ADFFBFB8"/>
    <w:rsid w:val="AE066B85"/>
    <w:rsid w:val="AE752BEC"/>
    <w:rsid w:val="AEF50F84"/>
    <w:rsid w:val="AEFA1BCF"/>
    <w:rsid w:val="AF6CC4AE"/>
    <w:rsid w:val="AF6F6C5F"/>
    <w:rsid w:val="AF79B496"/>
    <w:rsid w:val="AF7F4095"/>
    <w:rsid w:val="AFAFBBDE"/>
    <w:rsid w:val="AFD7123F"/>
    <w:rsid w:val="AFDF88B5"/>
    <w:rsid w:val="AFEA9A4C"/>
    <w:rsid w:val="AFEFFB0A"/>
    <w:rsid w:val="AFFB00C9"/>
    <w:rsid w:val="AFFB2892"/>
    <w:rsid w:val="AFFD34CA"/>
    <w:rsid w:val="AFFD6E8F"/>
    <w:rsid w:val="AFFD6EFB"/>
    <w:rsid w:val="AFFED56E"/>
    <w:rsid w:val="AFFF8A59"/>
    <w:rsid w:val="AFFFD2AB"/>
    <w:rsid w:val="AFFFED7B"/>
    <w:rsid w:val="B1FA728C"/>
    <w:rsid w:val="B2DF8DD8"/>
    <w:rsid w:val="B2F47022"/>
    <w:rsid w:val="B33C0D29"/>
    <w:rsid w:val="B3C458EF"/>
    <w:rsid w:val="B3E984D7"/>
    <w:rsid w:val="B3EFAFEC"/>
    <w:rsid w:val="B3F148B5"/>
    <w:rsid w:val="B3FE2263"/>
    <w:rsid w:val="B3FFC48B"/>
    <w:rsid w:val="B4FF9ACA"/>
    <w:rsid w:val="B5B576AC"/>
    <w:rsid w:val="B5E4FC9D"/>
    <w:rsid w:val="B69BA5DD"/>
    <w:rsid w:val="B6F7CE56"/>
    <w:rsid w:val="B6F7EEC1"/>
    <w:rsid w:val="B6FEDD84"/>
    <w:rsid w:val="B721D075"/>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95E58"/>
    <w:rsid w:val="B7FB4C34"/>
    <w:rsid w:val="B7FC70DB"/>
    <w:rsid w:val="B7FF314F"/>
    <w:rsid w:val="B7FFB16E"/>
    <w:rsid w:val="B7FFD648"/>
    <w:rsid w:val="B86A15C6"/>
    <w:rsid w:val="B8E7C6C0"/>
    <w:rsid w:val="B97FDCA6"/>
    <w:rsid w:val="B99F06C0"/>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0FF5"/>
    <w:rsid w:val="BBFFD251"/>
    <w:rsid w:val="BBFFE190"/>
    <w:rsid w:val="BC7F820E"/>
    <w:rsid w:val="BCB96F65"/>
    <w:rsid w:val="BCE60CD6"/>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757860"/>
    <w:rsid w:val="BF765913"/>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BAFA4F"/>
    <w:rsid w:val="CFCF5FAD"/>
    <w:rsid w:val="CFD4E29C"/>
    <w:rsid w:val="CFD744CA"/>
    <w:rsid w:val="CFFB8D17"/>
    <w:rsid w:val="CFFD05AF"/>
    <w:rsid w:val="CFFF309A"/>
    <w:rsid w:val="CFFF87B9"/>
    <w:rsid w:val="CFFF9A12"/>
    <w:rsid w:val="CFFFD98E"/>
    <w:rsid w:val="D0F8E025"/>
    <w:rsid w:val="D1576F5C"/>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DF96AE"/>
    <w:rsid w:val="D8FD8BAE"/>
    <w:rsid w:val="D99FB10D"/>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CFD254F"/>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DD4511"/>
    <w:rsid w:val="DEED798E"/>
    <w:rsid w:val="DEEE2340"/>
    <w:rsid w:val="DEF5439C"/>
    <w:rsid w:val="DEF773E0"/>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ADC16D"/>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7689D"/>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49A2"/>
    <w:rsid w:val="EF7FBE4D"/>
    <w:rsid w:val="EFA59F96"/>
    <w:rsid w:val="EFABE406"/>
    <w:rsid w:val="EFAF001D"/>
    <w:rsid w:val="EFB747A0"/>
    <w:rsid w:val="EFBBA7C0"/>
    <w:rsid w:val="EFBE49D2"/>
    <w:rsid w:val="EFBF197E"/>
    <w:rsid w:val="EFBF8CB2"/>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ECDB7"/>
    <w:rsid w:val="EFEF2906"/>
    <w:rsid w:val="EFEF6CDC"/>
    <w:rsid w:val="EFEF72BD"/>
    <w:rsid w:val="EFEFF34A"/>
    <w:rsid w:val="EFF3BFB7"/>
    <w:rsid w:val="EFF68A98"/>
    <w:rsid w:val="EFF7934C"/>
    <w:rsid w:val="EFF7DFA3"/>
    <w:rsid w:val="EFF934BE"/>
    <w:rsid w:val="EFFA70B7"/>
    <w:rsid w:val="EFFD145C"/>
    <w:rsid w:val="EFFDB996"/>
    <w:rsid w:val="EFFDFF9B"/>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55A0A6"/>
    <w:rsid w:val="F6BF00C6"/>
    <w:rsid w:val="F6DF2EC6"/>
    <w:rsid w:val="F6F5656B"/>
    <w:rsid w:val="F6F7948A"/>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89C1"/>
    <w:rsid w:val="F7BDB8BA"/>
    <w:rsid w:val="F7BDD0B4"/>
    <w:rsid w:val="F7BDEEFB"/>
    <w:rsid w:val="F7BEC53E"/>
    <w:rsid w:val="F7CB21F0"/>
    <w:rsid w:val="F7CFDD56"/>
    <w:rsid w:val="F7D58A60"/>
    <w:rsid w:val="F7D72319"/>
    <w:rsid w:val="F7D9F7D4"/>
    <w:rsid w:val="F7E302BA"/>
    <w:rsid w:val="F7E7E296"/>
    <w:rsid w:val="F7E9353E"/>
    <w:rsid w:val="F7EB7816"/>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765CD4"/>
    <w:rsid w:val="F8BB4BE7"/>
    <w:rsid w:val="F8BB73F4"/>
    <w:rsid w:val="F8DB69EF"/>
    <w:rsid w:val="F8EA648A"/>
    <w:rsid w:val="F8F4F377"/>
    <w:rsid w:val="F8FC4D81"/>
    <w:rsid w:val="F91F16CA"/>
    <w:rsid w:val="F93F3157"/>
    <w:rsid w:val="F93F5FE1"/>
    <w:rsid w:val="F95B1791"/>
    <w:rsid w:val="F967DB1B"/>
    <w:rsid w:val="F9761257"/>
    <w:rsid w:val="F9AF55C0"/>
    <w:rsid w:val="F9BF6C9A"/>
    <w:rsid w:val="F9D3BAC4"/>
    <w:rsid w:val="F9DB20CF"/>
    <w:rsid w:val="F9DB80A2"/>
    <w:rsid w:val="F9DE2760"/>
    <w:rsid w:val="F9EBFAC9"/>
    <w:rsid w:val="F9ED89BC"/>
    <w:rsid w:val="F9F7BAA1"/>
    <w:rsid w:val="F9FB7534"/>
    <w:rsid w:val="F9FE25F2"/>
    <w:rsid w:val="F9FE8762"/>
    <w:rsid w:val="F9FEC024"/>
    <w:rsid w:val="F9FF100E"/>
    <w:rsid w:val="F9FF81E8"/>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8BDA"/>
    <w:rsid w:val="FBFFB01F"/>
    <w:rsid w:val="FBFFFB25"/>
    <w:rsid w:val="FC5F9274"/>
    <w:rsid w:val="FC5FD9DF"/>
    <w:rsid w:val="FC7F12AA"/>
    <w:rsid w:val="FC99B40C"/>
    <w:rsid w:val="FC9C2D2D"/>
    <w:rsid w:val="FC9FADAD"/>
    <w:rsid w:val="FCAB3C23"/>
    <w:rsid w:val="FCCFA48E"/>
    <w:rsid w:val="FCDC0783"/>
    <w:rsid w:val="FCDF5CCC"/>
    <w:rsid w:val="FCDF7C9D"/>
    <w:rsid w:val="FCEF94C9"/>
    <w:rsid w:val="FCF7386F"/>
    <w:rsid w:val="FCFF8B26"/>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C9CA10"/>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76C95"/>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7F1D5"/>
    <w:rsid w:val="FEBFBEB7"/>
    <w:rsid w:val="FEC8C709"/>
    <w:rsid w:val="FED20F90"/>
    <w:rsid w:val="FED6F92A"/>
    <w:rsid w:val="FEDB3A71"/>
    <w:rsid w:val="FEDB726C"/>
    <w:rsid w:val="FEDBA189"/>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B5068"/>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7DCD0"/>
    <w:rsid w:val="FF78B65F"/>
    <w:rsid w:val="FF7B3D97"/>
    <w:rsid w:val="FF7C54D9"/>
    <w:rsid w:val="FF7CDF6E"/>
    <w:rsid w:val="FF7D304A"/>
    <w:rsid w:val="FF7F32B3"/>
    <w:rsid w:val="FF7F32DD"/>
    <w:rsid w:val="FF7F3B0E"/>
    <w:rsid w:val="FF7F6CD1"/>
    <w:rsid w:val="FF7F8710"/>
    <w:rsid w:val="FF7FB9E0"/>
    <w:rsid w:val="FF7FDA42"/>
    <w:rsid w:val="FF7FDC9D"/>
    <w:rsid w:val="FF7FE124"/>
    <w:rsid w:val="FF7FE4B1"/>
    <w:rsid w:val="FF7FFA15"/>
    <w:rsid w:val="FF854BC5"/>
    <w:rsid w:val="FF87594D"/>
    <w:rsid w:val="FF8B1D84"/>
    <w:rsid w:val="FF8F549B"/>
    <w:rsid w:val="FF8F85AD"/>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37EA"/>
    <w:rsid w:val="FFBE4E14"/>
    <w:rsid w:val="FFBF6300"/>
    <w:rsid w:val="FFBF7266"/>
    <w:rsid w:val="FFBF9F8C"/>
    <w:rsid w:val="FFBFA4D6"/>
    <w:rsid w:val="FFBFAFCA"/>
    <w:rsid w:val="FFBFE677"/>
    <w:rsid w:val="FFCE18E5"/>
    <w:rsid w:val="FFCEA80B"/>
    <w:rsid w:val="FFCFE1C9"/>
    <w:rsid w:val="FFCFE9D8"/>
    <w:rsid w:val="FFD714EB"/>
    <w:rsid w:val="FFD784F8"/>
    <w:rsid w:val="FFD7EDC2"/>
    <w:rsid w:val="FFD8EC88"/>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1EA0C"/>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5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53"/>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4"/>
    <w:qFormat/>
    <w:uiPriority w:val="0"/>
    <w:pPr>
      <w:shd w:val="clear" w:color="auto" w:fill="000080"/>
    </w:pPr>
  </w:style>
  <w:style w:type="paragraph" w:styleId="7">
    <w:name w:val="annotation text"/>
    <w:basedOn w:val="1"/>
    <w:link w:val="55"/>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6"/>
    <w:qFormat/>
    <w:uiPriority w:val="0"/>
    <w:rPr>
      <w:sz w:val="18"/>
      <w:szCs w:val="18"/>
    </w:rPr>
  </w:style>
  <w:style w:type="paragraph" w:styleId="15">
    <w:name w:val="footer"/>
    <w:basedOn w:val="1"/>
    <w:link w:val="57"/>
    <w:qFormat/>
    <w:uiPriority w:val="0"/>
    <w:pPr>
      <w:tabs>
        <w:tab w:val="center" w:pos="4153"/>
        <w:tab w:val="right" w:pos="8306"/>
      </w:tabs>
      <w:snapToGrid w:val="0"/>
      <w:jc w:val="left"/>
    </w:pPr>
    <w:rPr>
      <w:sz w:val="18"/>
      <w:szCs w:val="18"/>
    </w:rPr>
  </w:style>
  <w:style w:type="paragraph" w:styleId="16">
    <w:name w:val="header"/>
    <w:basedOn w:val="1"/>
    <w:link w:val="5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59"/>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paragraph" w:customStyle="1" w:styleId="30">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1">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2">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paragraph" w:customStyle="1" w:styleId="33">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5">
    <w:name w:val="Char1 Char Char Char"/>
    <w:basedOn w:val="1"/>
    <w:qFormat/>
    <w:uiPriority w:val="0"/>
    <w:rPr>
      <w:rFonts w:ascii="Tahoma" w:hAnsi="Tahoma"/>
      <w:sz w:val="24"/>
      <w:szCs w:val="20"/>
    </w:rPr>
  </w:style>
  <w:style w:type="paragraph" w:customStyle="1" w:styleId="36">
    <w:name w:val="Char1 Char Char Char1"/>
    <w:basedOn w:val="1"/>
    <w:qFormat/>
    <w:uiPriority w:val="0"/>
    <w:rPr>
      <w:rFonts w:ascii="Tahoma" w:hAnsi="Tahoma"/>
      <w:sz w:val="24"/>
      <w:szCs w:val="20"/>
    </w:rPr>
  </w:style>
  <w:style w:type="paragraph" w:customStyle="1" w:styleId="37">
    <w:name w:val="Char1"/>
    <w:basedOn w:val="1"/>
    <w:qFormat/>
    <w:uiPriority w:val="0"/>
    <w:rPr>
      <w:rFonts w:ascii="Tahoma" w:hAnsi="Tahoma"/>
      <w:sz w:val="24"/>
      <w:szCs w:val="20"/>
    </w:rPr>
  </w:style>
  <w:style w:type="paragraph" w:customStyle="1" w:styleId="38">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2">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44">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45">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48">
    <w:name w:val="列表段落1"/>
    <w:basedOn w:val="1"/>
    <w:qFormat/>
    <w:uiPriority w:val="34"/>
    <w:pPr>
      <w:ind w:firstLine="420" w:firstLineChars="200"/>
    </w:pPr>
  </w:style>
  <w:style w:type="paragraph" w:customStyle="1" w:styleId="49">
    <w:name w:val="列出段落1"/>
    <w:basedOn w:val="1"/>
    <w:qFormat/>
    <w:uiPriority w:val="0"/>
    <w:pPr>
      <w:ind w:firstLine="420" w:firstLineChars="200"/>
    </w:pPr>
  </w:style>
  <w:style w:type="paragraph" w:styleId="50">
    <w:name w:val="List Paragraph"/>
    <w:basedOn w:val="1"/>
    <w:qFormat/>
    <w:uiPriority w:val="99"/>
    <w:pPr>
      <w:ind w:firstLine="420" w:firstLineChars="200"/>
    </w:pPr>
  </w:style>
  <w:style w:type="character" w:customStyle="1" w:styleId="51">
    <w:name w:val="标题 1 字符"/>
    <w:link w:val="2"/>
    <w:qFormat/>
    <w:uiPriority w:val="0"/>
    <w:rPr>
      <w:rFonts w:ascii="Times New Roman" w:hAnsi="Times New Roman" w:eastAsia="方正小标宋简体" w:cs="Times New Roman"/>
      <w:b/>
      <w:bCs/>
      <w:kern w:val="44"/>
      <w:sz w:val="36"/>
      <w:szCs w:val="44"/>
    </w:rPr>
  </w:style>
  <w:style w:type="character" w:customStyle="1" w:styleId="52">
    <w:name w:val="标题 2 字符"/>
    <w:link w:val="3"/>
    <w:qFormat/>
    <w:uiPriority w:val="0"/>
    <w:rPr>
      <w:rFonts w:ascii="宋体" w:hAnsi="宋体" w:eastAsia="宋体" w:cs="宋体"/>
      <w:b/>
      <w:bCs/>
      <w:sz w:val="30"/>
      <w:szCs w:val="36"/>
    </w:rPr>
  </w:style>
  <w:style w:type="character" w:customStyle="1" w:styleId="53">
    <w:name w:val="标题 9 字符"/>
    <w:link w:val="4"/>
    <w:qFormat/>
    <w:uiPriority w:val="0"/>
    <w:rPr>
      <w:rFonts w:ascii="Calibri Light" w:hAnsi="Calibri Light" w:eastAsia="宋体" w:cs="Times New Roman"/>
      <w:kern w:val="2"/>
      <w:sz w:val="21"/>
      <w:szCs w:val="21"/>
    </w:rPr>
  </w:style>
  <w:style w:type="character" w:customStyle="1" w:styleId="54">
    <w:name w:val="文档结构图 字符"/>
    <w:basedOn w:val="24"/>
    <w:link w:val="6"/>
    <w:qFormat/>
    <w:uiPriority w:val="0"/>
    <w:rPr>
      <w:kern w:val="2"/>
      <w:sz w:val="21"/>
      <w:szCs w:val="24"/>
      <w:shd w:val="clear" w:color="auto" w:fill="000080"/>
    </w:rPr>
  </w:style>
  <w:style w:type="character" w:customStyle="1" w:styleId="55">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56">
    <w:name w:val="批注框文本 字符"/>
    <w:basedOn w:val="24"/>
    <w:link w:val="14"/>
    <w:qFormat/>
    <w:uiPriority w:val="0"/>
    <w:rPr>
      <w:kern w:val="2"/>
      <w:sz w:val="18"/>
      <w:szCs w:val="18"/>
    </w:rPr>
  </w:style>
  <w:style w:type="character" w:customStyle="1" w:styleId="57">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58">
    <w:name w:val="页眉 字符"/>
    <w:basedOn w:val="24"/>
    <w:link w:val="16"/>
    <w:qFormat/>
    <w:uiPriority w:val="0"/>
    <w:rPr>
      <w:kern w:val="2"/>
      <w:sz w:val="18"/>
      <w:szCs w:val="18"/>
    </w:rPr>
  </w:style>
  <w:style w:type="character" w:customStyle="1" w:styleId="59">
    <w:name w:val="批注主题 字符"/>
    <w:link w:val="21"/>
    <w:qFormat/>
    <w:uiPriority w:val="0"/>
    <w:rPr>
      <w:rFonts w:ascii="Times New Roman" w:hAnsi="Times New Roman" w:eastAsia="宋体" w:cs="Times New Roman"/>
      <w:b/>
      <w:bCs/>
      <w:kern w:val="2"/>
      <w:sz w:val="21"/>
      <w:szCs w:val="24"/>
      <w:lang w:val="en-US" w:eastAsia="zh-CN" w:bidi="ar-SA"/>
    </w:rPr>
  </w:style>
  <w:style w:type="character" w:customStyle="1" w:styleId="60">
    <w:name w:val="p121"/>
    <w:qFormat/>
    <w:uiPriority w:val="0"/>
    <w:rPr>
      <w:rFonts w:hint="default" w:eastAsia="宋体" w:cs="Times New Roman"/>
      <w:sz w:val="24"/>
      <w:szCs w:val="24"/>
    </w:rPr>
  </w:style>
  <w:style w:type="character" w:customStyle="1" w:styleId="61">
    <w:name w:val="oalinshistyle21"/>
    <w:qFormat/>
    <w:uiPriority w:val="0"/>
    <w:rPr>
      <w:rFonts w:hint="default" w:ascii="Arial" w:hAnsi="Arial" w:cs="Arial"/>
      <w:sz w:val="27"/>
      <w:szCs w:val="27"/>
    </w:r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 w:type="character" w:customStyle="1" w:styleId="64">
    <w:name w:val="font21"/>
    <w:basedOn w:val="24"/>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233</Pages>
  <Words>124895</Words>
  <Characters>131914</Characters>
  <Lines>1186</Lines>
  <Paragraphs>334</Paragraphs>
  <TotalTime>79.3333333333333</TotalTime>
  <ScaleCrop>false</ScaleCrop>
  <LinksUpToDate>false</LinksUpToDate>
  <CharactersWithSpaces>134862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2022-10-07T02:35:00Z</dcterms:created>
  <dc:creator>张通</dc:creator>
  <cp:lastModifiedBy>Administrator</cp:lastModifiedBy>
  <cp:lastPrinted>2026-01-28T16:53:49Z</cp:lastPrinted>
  <dcterms:modified xsi:type="dcterms:W3CDTF">2026-03-02T07:03:56Z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EB53CC72AA3F8CA5238A606980237395_43</vt:lpwstr>
  </property>
</Properties>
</file>