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1895"/>
        <w:gridCol w:w="6226"/>
        <w:gridCol w:w="1156"/>
        <w:gridCol w:w="759"/>
        <w:gridCol w:w="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A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A"/>
                <w:kern w:val="0"/>
                <w:sz w:val="16"/>
                <w:szCs w:val="16"/>
                <w:lang w:val="en-US" w:eastAsia="zh-CN" w:bidi="ar"/>
              </w:rPr>
              <w:t>检查事项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A"/>
                <w:kern w:val="0"/>
                <w:sz w:val="16"/>
                <w:szCs w:val="16"/>
                <w:lang w:val="en-US" w:eastAsia="zh-CN" w:bidi="ar"/>
              </w:rPr>
              <w:t>检查依据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A"/>
                <w:kern w:val="0"/>
                <w:sz w:val="16"/>
                <w:szCs w:val="16"/>
                <w:lang w:val="en-US" w:eastAsia="zh-CN" w:bidi="ar"/>
              </w:rPr>
              <w:t>检查对象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A"/>
                <w:kern w:val="0"/>
                <w:sz w:val="16"/>
                <w:szCs w:val="16"/>
                <w:lang w:val="en-US" w:eastAsia="zh-CN" w:bidi="ar"/>
              </w:rPr>
              <w:t>检查主体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A"/>
                <w:kern w:val="0"/>
                <w:sz w:val="16"/>
                <w:szCs w:val="16"/>
                <w:lang w:val="en-US" w:eastAsia="zh-CN" w:bidi="ar"/>
              </w:rPr>
              <w:t>是否属于双随机事项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对医疗机构设置和执业的行政检查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医疗机构管理条例》《国务院对确需保留的行政审批项目设定行政许可的决定》《人类辅助生殖技术管理办法》《人类精子库管理办法》《互联网医院管理办法（试行）》《互联网诊疗监管细则（试行）》《互联网诊疗管理办法（试行）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对医师执业的行政检查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《中华人民共和国执业医师法》《医师执业注册管理办法》《中华人民共和国中医药法》  《乡村医生从业管理条例》  《人体器官移植条例》《互联网医院管理办法（试行）》《互联网诊疗监管细则（试行）》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对护士的行政检查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《护士条例》《护士执业注册管理办法》《互联网医院管理办法（试行）》《互联网诊疗监管细则（试行）》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对医疗器械使用的行政检查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《医疗器械监督管理条例》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对医疗机构抗菌药物临床应用的行政检查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《抗菌药物临床应用管理办法》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对麻醉药品和第一类精神药品的行政检查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《麻醉药品和精神药品管理条例》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对医疗技术临床应用的行政检查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《医疗纠纷预防和处理条例》《医疗技术临床应用管理办法》《医疗美容服务管理办法》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对精神卫生工作的行政检查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《中华人民共和国精神卫生法》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对母婴保健和计划生育技术服务的行政检查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《中华人民共和国母婴保健法》《母婴保健法实施办法》《新生儿疾病筛查管理办法》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从事妇幼健康工作的机构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对采供血机构的行政检查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《中华人民共和国献血法》《血液制品管理条例》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采供血机构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对高致病性病原微生物或疑似高致病性病原微生物实验的行政检查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《中华人民共和国传染病防治法》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高致病性病原微生物实验室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对医疗废物收集、运送、贮存、处置活动中的疾病防治工作的行政检查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《医疗废物管理条例》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医疗废物收集、运送、贮存、处置单位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对医疗机构临床使用境外来源血液的行政检查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《中华人民共和国献血法》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对医疗机构发布虚假违法医疗广告的行政检查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《中华人民共和国广告法》《医疗广告管理办法》《中华人民共和国药品管理法》《工商总局等九部门关于印发&lt;整治虚假违法广告部际联席会议工作制度&gt;的通知》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对涉及人的生物医学研究伦理工作的行政检查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《涉及人的生物医学研究伦理审查办法》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对计划生育落实情况的行政检查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《中华人民共和国人口与计划生育法》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开展计划生育技术服务的机构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对戒毒医疗机构的行政检查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《中华人民共和国禁毒法》《戒毒条例》《戒毒医疗服务管理暂行办法》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A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对按职责分工的残疾预防和残疾人康复工作的行政检查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《残疾预防和残疾人康复条例》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医疗机构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spacing w:before="120" w:beforeAutospacing="0" w:after="120" w:afterAutospacing="0" w:line="360" w:lineRule="atLeast"/>
        <w:ind w:left="276" w:right="276"/>
        <w:jc w:val="left"/>
        <w:rPr>
          <w:color w:val="333333"/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2026-06-30T06:54:15Z</dcterms:created>
  <dc:creator>Administrator</dc:creator>
  <cp:lastModifiedBy>朱林</cp:lastModifiedBy>
  <dcterms:modified xsi:type="dcterms:W3CDTF">2026-06-30T06:54:40Z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