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是否存在音像制品批发、零售单位变更，或兼并其他，或因合并分立而设立新单位，未办理审批的行为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品批发、零售单位变更名称、业务范围，或者兼并其他音像制品批发、零售单位，或者因合并、分立而设立新的音像制品批发、零售单位，未依照《音像制品管理条例》第三十二条的规定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a.存在音像制品批发、零售单位变更名称、业务范围，或者兼并其他音像制品批发、零售单位，未依照《音像制品管理条例》第三十二条的规定办理审批手续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存在音像制品批发、零售单位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因合并、分立而设立新的音像制品批发、零售单位，未依照《音像制品管理条例》第三十二条的规定办理审批手续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