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2A05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关于《北京市通州区绿化工程管理办法（</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起草说明</w:t>
      </w:r>
    </w:p>
    <w:p w14:paraId="22FC6665">
      <w:pPr>
        <w:pStyle w:val="2"/>
        <w:rPr>
          <w:rFonts w:hint="eastAsia"/>
          <w:lang w:eastAsia="zh-CN"/>
        </w:rPr>
      </w:pPr>
      <w:bookmarkStart w:id="1" w:name="_GoBack"/>
      <w:bookmarkEnd w:id="1"/>
    </w:p>
    <w:p w14:paraId="0C2F55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一、制定背景</w:t>
      </w:r>
    </w:p>
    <w:p w14:paraId="3F548D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强化通州区绿化工程全过程管理，规范项目立项、工程招投标、施工现场管理、质量安全监督、农民工权益保障等行为，根据《北京市绿化条例》《北京市公共绿地建设管理办法》《北京市园林绿化工程招标投标管理办法》</w:t>
      </w:r>
      <w:r>
        <w:rPr>
          <w:rFonts w:hint="eastAsia" w:ascii="仿宋_GB2312" w:hAnsi="仿宋_GB2312" w:eastAsia="仿宋_GB2312" w:cs="仿宋_GB2312"/>
          <w:color w:val="auto"/>
          <w:sz w:val="32"/>
          <w:szCs w:val="32"/>
          <w:highlight w:val="none"/>
        </w:rPr>
        <w:t>《北京市工程建设领域</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农民工工资支付工作管理办法》</w:t>
      </w:r>
      <w:r>
        <w:rPr>
          <w:rFonts w:hint="eastAsia" w:ascii="仿宋_GB2312" w:hAnsi="仿宋_GB2312" w:eastAsia="仿宋_GB2312" w:cs="仿宋_GB2312"/>
          <w:sz w:val="32"/>
          <w:szCs w:val="32"/>
          <w:lang w:val="en-US" w:eastAsia="zh-CN"/>
        </w:rPr>
        <w:t>等法规及文件要求，并结合通州区绿化施工管理工作实际，通州区园林绿化局对《北京市通州区绿化工程管理办法（试行）》（以下简称《工程管理办法》）进行修订，制定了《北京市通州区绿化工程管理办法（征求意见稿）》。</w:t>
      </w:r>
    </w:p>
    <w:p w14:paraId="60F55B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二、修订内容</w:t>
      </w:r>
    </w:p>
    <w:p w14:paraId="3B683230">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（一）新增“项目立项管理”章节两条，进一步完善《工程管理办法》监督环节的全面性。</w:t>
      </w:r>
    </w:p>
    <w:p w14:paraId="4C269B5E">
      <w:pPr>
        <w:pStyle w:val="10"/>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1.区园林绿化部门负责全区园林绿化项目的整体统筹和方案指导工作，各项目单位对园林绿化项目的选址、规模、投资、绿地性质等重要指标要充分进行论证，保证项目的落地性。</w:t>
      </w:r>
    </w:p>
    <w:p w14:paraId="47B4417E">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FF"/>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2.项目单位应根据建设主体的批复文件进行确定，负责项目的申报、组织实施、建设资金申请、结决算、档案移交等全部工作。</w:t>
      </w:r>
    </w:p>
    <w:p w14:paraId="474EC606">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（二）为消除招投标环节风险隐患，结合实际工作需要，在“招标投标管理”章节增加一条内容：</w:t>
      </w:r>
    </w:p>
    <w:p w14:paraId="7AC066DC">
      <w:pPr>
        <w:pStyle w:val="2"/>
        <w:ind w:firstLine="640" w:firstLineChars="200"/>
        <w:rPr>
          <w:rFonts w:hint="eastAsia" w:ascii="仿宋_GB2312" w:hAnsi="仿宋_GB2312" w:eastAsia="仿宋_GB2312" w:cs="仿宋_GB2312"/>
          <w:color w:val="FF0000"/>
          <w:kern w:val="2"/>
          <w:sz w:val="32"/>
          <w:szCs w:val="32"/>
          <w:highlight w:val="none"/>
          <w:u w:val="singl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招投标活动结束后，及时与中标单位签订合同，不得拖延和倒签，中标单位无故拖延签署超过合同签订期限的应废除中标资格，扣除投标保证金，重新组织招投标活动。</w:t>
      </w:r>
    </w:p>
    <w:p w14:paraId="2270666F">
      <w:pPr>
        <w:pStyle w:val="2"/>
        <w:numPr>
          <w:ilvl w:val="0"/>
          <w:numId w:val="0"/>
        </w:numPr>
        <w:ind w:firstLine="640" w:firstLineChars="200"/>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（三）对《工程管理办法》依据的上位制度、规范及网站平台、条目适用范围等进行更新细化。</w:t>
      </w:r>
    </w:p>
    <w:p w14:paraId="5F6CE181">
      <w:pPr>
        <w:pStyle w:val="2"/>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2"/>
          <w:sz w:val="32"/>
          <w:szCs w:val="32"/>
          <w:lang w:val="en-US" w:eastAsia="zh-CN" w:bidi="ar-SA"/>
        </w:rPr>
        <w:t>1.更新《工程管理办法》第七条内容：</w:t>
      </w:r>
      <w:r>
        <w:rPr>
          <w:rFonts w:hint="eastAsia" w:ascii="仿宋_GB2312" w:hAnsi="仿宋_GB2312" w:eastAsia="仿宋_GB2312" w:cs="仿宋_GB2312"/>
          <w:color w:val="auto"/>
          <w:sz w:val="32"/>
          <w:szCs w:val="32"/>
          <w:highlight w:val="none"/>
        </w:rPr>
        <w:t>绿化工程施工前，建设单位应当参照</w:t>
      </w:r>
      <w:r>
        <w:rPr>
          <w:rFonts w:hint="eastAsia" w:ascii="仿宋_GB2312" w:hAnsi="仿宋_GB2312" w:eastAsia="仿宋_GB2312" w:cs="仿宋_GB2312"/>
          <w:color w:val="auto"/>
          <w:sz w:val="32"/>
          <w:szCs w:val="32"/>
          <w:u w:val="none"/>
        </w:rPr>
        <w:t>《公园设计规范》（GB 51192-2016）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《城市道路绿化设计标准》（CJJ/T 75-2023）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《城市绿地设计规范（2016年版）》（GB 50420-2007）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《无障碍设计规范》（GB 50763-2012）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《园林绿化工程项目规范》（GB 55014-2021）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《公园无障碍设施设置规范》（DB11/T 746-2010）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《园林绿化种植土壤技术要求》（DB11/T 864-2020）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《城市附属绿地设计规范》（DB11/T 1100-2023）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rPr>
        <w:t>《关于加强本市绿化隔离地区公园建设和管理的指导意见》</w:t>
      </w:r>
      <w:r>
        <w:rPr>
          <w:rFonts w:hint="eastAsia" w:ascii="仿宋_GB2312" w:hAnsi="仿宋_GB2312" w:eastAsia="仿宋_GB2312" w:cs="仿宋_GB2312"/>
          <w:color w:val="auto"/>
          <w:sz w:val="32"/>
          <w:szCs w:val="32"/>
          <w:highlight w:val="none"/>
          <w:lang w:eastAsia="zh-CN"/>
        </w:rPr>
        <w:t>、《北京市新一轮百万亩造林绿化工程建设技术导则》</w:t>
      </w:r>
      <w:r>
        <w:rPr>
          <w:rFonts w:hint="eastAsia" w:ascii="仿宋_GB2312" w:hAnsi="仿宋_GB2312" w:eastAsia="仿宋_GB2312" w:cs="仿宋_GB2312"/>
          <w:color w:val="auto"/>
          <w:sz w:val="32"/>
          <w:szCs w:val="32"/>
          <w:highlight w:val="none"/>
        </w:rPr>
        <w:t>等规范编制</w:t>
      </w:r>
      <w:r>
        <w:rPr>
          <w:rFonts w:hint="eastAsia" w:ascii="仿宋_GB2312" w:hAnsi="仿宋_GB2312" w:eastAsia="仿宋_GB2312" w:cs="仿宋_GB2312"/>
          <w:color w:val="auto"/>
          <w:sz w:val="32"/>
          <w:szCs w:val="32"/>
          <w:highlight w:val="none"/>
          <w:lang w:eastAsia="zh-CN"/>
        </w:rPr>
        <w:t>绿化工程设计方案。公共绿地设计方案</w:t>
      </w:r>
      <w:r>
        <w:rPr>
          <w:rFonts w:hint="eastAsia" w:ascii="仿宋_GB2312" w:hAnsi="仿宋_GB2312" w:eastAsia="仿宋_GB2312" w:cs="仿宋_GB2312"/>
          <w:color w:val="auto"/>
          <w:sz w:val="32"/>
          <w:szCs w:val="32"/>
          <w:highlight w:val="none"/>
        </w:rPr>
        <w:t>经区园林绿化部门初审后，报市园林绿化部门进行论证</w:t>
      </w:r>
      <w:r>
        <w:rPr>
          <w:rFonts w:hint="eastAsia" w:ascii="仿宋_GB2312" w:hAnsi="仿宋_GB2312" w:eastAsia="仿宋_GB2312" w:cs="仿宋_GB2312"/>
          <w:color w:val="auto"/>
          <w:sz w:val="32"/>
          <w:szCs w:val="32"/>
          <w:highlight w:val="none"/>
          <w:lang w:eastAsia="zh-CN"/>
        </w:rPr>
        <w:t>审核；其他绿化工程设计方案由区园林绿化部门进行论证审核。</w:t>
      </w:r>
      <w:r>
        <w:rPr>
          <w:rFonts w:hint="eastAsia" w:ascii="仿宋_GB2312" w:hAnsi="仿宋_GB2312" w:eastAsia="仿宋_GB2312" w:cs="仿宋_GB2312"/>
          <w:color w:val="auto"/>
          <w:sz w:val="32"/>
          <w:szCs w:val="32"/>
          <w:highlight w:val="none"/>
        </w:rPr>
        <w:t>方案通过论证</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后方可组织实施。</w:t>
      </w:r>
    </w:p>
    <w:p w14:paraId="093643F3">
      <w:pPr>
        <w:pStyle w:val="2"/>
        <w:numPr>
          <w:ilvl w:val="0"/>
          <w:numId w:val="0"/>
        </w:numPr>
        <w:ind w:firstLine="640" w:firstLineChars="200"/>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highlight w:val="none"/>
          <w:lang w:val="en-US" w:eastAsia="zh-CN"/>
        </w:rPr>
        <w:t>2.更新</w:t>
      </w:r>
      <w:r>
        <w:rPr>
          <w:rFonts w:hint="eastAsia" w:ascii="仿宋_GB2312" w:hAnsi="仿宋_GB2312" w:eastAsia="仿宋_GB2312" w:cs="仿宋_GB2312"/>
          <w:b w:val="0"/>
          <w:bCs/>
          <w:color w:val="auto"/>
          <w:kern w:val="2"/>
          <w:sz w:val="32"/>
          <w:szCs w:val="32"/>
          <w:lang w:val="en-US" w:eastAsia="zh-CN" w:bidi="ar-SA"/>
        </w:rPr>
        <w:t>《工程管理办法》</w:t>
      </w:r>
      <w:r>
        <w:rPr>
          <w:rFonts w:hint="eastAsia" w:ascii="仿宋_GB2312" w:hAnsi="仿宋_GB2312" w:eastAsia="仿宋_GB2312" w:cs="仿宋_GB2312"/>
          <w:color w:val="auto"/>
          <w:sz w:val="32"/>
          <w:szCs w:val="32"/>
          <w:highlight w:val="none"/>
          <w:lang w:val="en-US" w:eastAsia="zh-CN"/>
        </w:rPr>
        <w:t>第八条内容：</w:t>
      </w:r>
      <w:r>
        <w:rPr>
          <w:rFonts w:hint="eastAsia" w:ascii="仿宋_GB2312" w:hAnsi="仿宋_GB2312" w:eastAsia="仿宋_GB2312" w:cs="仿宋_GB2312"/>
          <w:sz w:val="32"/>
          <w:szCs w:val="32"/>
          <w:highlight w:val="none"/>
        </w:rPr>
        <w:t>园林绿化工程建设单位应在合同签订后至开工前10日内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区园林绿化部门</w:t>
      </w:r>
      <w:r>
        <w:rPr>
          <w:rFonts w:hint="eastAsia" w:ascii="仿宋_GB2312" w:hAnsi="仿宋_GB2312" w:eastAsia="仿宋_GB2312" w:cs="仿宋_GB2312"/>
          <w:sz w:val="32"/>
          <w:szCs w:val="32"/>
          <w:highlight w:val="none"/>
        </w:rPr>
        <w:t>申报办理工程项目质量监督手续，接受园林绿化部门的质量监管。</w:t>
      </w:r>
      <w:r>
        <w:rPr>
          <w:rFonts w:hint="eastAsia" w:ascii="仿宋_GB2312" w:hAnsi="仿宋_GB2312" w:eastAsia="仿宋_GB2312" w:cs="仿宋_GB2312"/>
          <w:color w:val="auto"/>
          <w:kern w:val="2"/>
          <w:sz w:val="32"/>
          <w:szCs w:val="32"/>
          <w:highlight w:val="none"/>
          <w:u w:val="none"/>
          <w:lang w:val="en-US" w:eastAsia="zh-CN" w:bidi="ar-SA"/>
        </w:rPr>
        <w:t>（工程项目质量监督申报网站</w:t>
      </w:r>
      <w:bookmarkStart w:id="0" w:name="OLE_LINK1"/>
      <w:r>
        <w:rPr>
          <w:rFonts w:hint="eastAsia" w:ascii="仿宋_GB2312" w:hAnsi="仿宋_GB2312" w:eastAsia="仿宋_GB2312" w:cs="仿宋_GB2312"/>
          <w:color w:val="auto"/>
          <w:kern w:val="2"/>
          <w:sz w:val="32"/>
          <w:szCs w:val="32"/>
          <w:highlight w:val="none"/>
          <w:u w:val="none"/>
          <w:lang w:val="en-US" w:eastAsia="zh-CN" w:bidi="ar-SA"/>
        </w:rPr>
        <w:fldChar w:fldCharType="begin"/>
      </w:r>
      <w:r>
        <w:rPr>
          <w:rFonts w:hint="eastAsia" w:ascii="仿宋_GB2312" w:hAnsi="仿宋_GB2312" w:eastAsia="仿宋_GB2312" w:cs="仿宋_GB2312"/>
          <w:color w:val="auto"/>
          <w:kern w:val="2"/>
          <w:sz w:val="32"/>
          <w:szCs w:val="32"/>
          <w:highlight w:val="none"/>
          <w:u w:val="none"/>
          <w:lang w:val="en-US" w:eastAsia="zh-CN" w:bidi="ar-SA"/>
        </w:rPr>
        <w:instrText xml:space="preserve"> HYPERLINK "http://xypj.bjylfw.cn" </w:instrText>
      </w:r>
      <w:r>
        <w:rPr>
          <w:rFonts w:hint="eastAsia" w:ascii="仿宋_GB2312" w:hAnsi="仿宋_GB2312" w:eastAsia="仿宋_GB2312" w:cs="仿宋_GB2312"/>
          <w:color w:val="auto"/>
          <w:kern w:val="2"/>
          <w:sz w:val="32"/>
          <w:szCs w:val="32"/>
          <w:highlight w:val="none"/>
          <w:u w:val="none"/>
          <w:lang w:val="en-US" w:eastAsia="zh-CN" w:bidi="ar-SA"/>
        </w:rPr>
        <w:fldChar w:fldCharType="separate"/>
      </w:r>
      <w:r>
        <w:rPr>
          <w:rFonts w:hint="eastAsia" w:ascii="仿宋_GB2312" w:hAnsi="仿宋_GB2312" w:eastAsia="仿宋_GB2312" w:cs="仿宋_GB2312"/>
          <w:color w:val="auto"/>
          <w:kern w:val="2"/>
          <w:sz w:val="32"/>
          <w:szCs w:val="32"/>
          <w:highlight w:val="none"/>
          <w:u w:val="none"/>
          <w:lang w:val="en-US" w:eastAsia="zh-CN" w:bidi="ar-SA"/>
        </w:rPr>
        <w:t>http://xypj.bjylfw.cn</w:t>
      </w:r>
      <w:r>
        <w:rPr>
          <w:rFonts w:hint="eastAsia" w:ascii="仿宋_GB2312" w:hAnsi="仿宋_GB2312" w:eastAsia="仿宋_GB2312" w:cs="仿宋_GB2312"/>
          <w:color w:val="auto"/>
          <w:kern w:val="2"/>
          <w:sz w:val="32"/>
          <w:szCs w:val="32"/>
          <w:highlight w:val="none"/>
          <w:u w:val="none"/>
          <w:lang w:val="en-US" w:eastAsia="zh-CN" w:bidi="ar-SA"/>
        </w:rPr>
        <w:fldChar w:fldCharType="end"/>
      </w:r>
      <w:bookmarkEnd w:id="0"/>
      <w:r>
        <w:rPr>
          <w:rFonts w:hint="eastAsia" w:ascii="仿宋_GB2312" w:hAnsi="仿宋_GB2312" w:eastAsia="仿宋_GB2312" w:cs="仿宋_GB2312"/>
          <w:color w:val="auto"/>
          <w:kern w:val="2"/>
          <w:sz w:val="32"/>
          <w:szCs w:val="32"/>
          <w:highlight w:val="none"/>
          <w:u w:val="none"/>
          <w:lang w:val="en-US" w:eastAsia="zh-CN" w:bidi="ar-SA"/>
        </w:rPr>
        <w:t>）</w:t>
      </w:r>
    </w:p>
    <w:p w14:paraId="0FCD4E17">
      <w:pPr>
        <w:ind w:firstLine="640" w:firstLineChars="200"/>
        <w:jc w:val="left"/>
        <w:rPr>
          <w:rFonts w:hint="eastAsia" w:ascii="仿宋_GB2312" w:hAnsi="仿宋_GB2312" w:eastAsia="仿宋_GB2312" w:cs="仿宋_GB2312"/>
          <w:color w:val="FF0000"/>
          <w:kern w:val="2"/>
          <w:sz w:val="32"/>
          <w:szCs w:val="32"/>
          <w:highlight w:val="none"/>
          <w:u w:val="singl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3.</w:t>
      </w:r>
      <w:r>
        <w:rPr>
          <w:rFonts w:hint="eastAsia" w:ascii="仿宋_GB2312" w:hAnsi="仿宋_GB2312" w:eastAsia="仿宋_GB2312" w:cs="仿宋_GB2312"/>
          <w:color w:val="auto"/>
          <w:sz w:val="32"/>
          <w:szCs w:val="32"/>
          <w:highlight w:val="none"/>
          <w:lang w:val="en-US" w:eastAsia="zh-CN"/>
        </w:rPr>
        <w:t>更新</w:t>
      </w:r>
      <w:r>
        <w:rPr>
          <w:rFonts w:hint="eastAsia" w:ascii="仿宋_GB2312" w:hAnsi="仿宋_GB2312" w:eastAsia="仿宋_GB2312" w:cs="仿宋_GB2312"/>
          <w:b w:val="0"/>
          <w:bCs/>
          <w:color w:val="auto"/>
          <w:kern w:val="2"/>
          <w:sz w:val="32"/>
          <w:szCs w:val="32"/>
          <w:lang w:val="en-US" w:eastAsia="zh-CN" w:bidi="ar-SA"/>
        </w:rPr>
        <w:t>《工程管理办法》</w:t>
      </w:r>
      <w:r>
        <w:rPr>
          <w:rFonts w:hint="eastAsia" w:ascii="仿宋_GB2312" w:hAnsi="仿宋_GB2312" w:eastAsia="仿宋_GB2312" w:cs="仿宋_GB2312"/>
          <w:color w:val="auto"/>
          <w:sz w:val="32"/>
          <w:szCs w:val="32"/>
          <w:highlight w:val="none"/>
          <w:lang w:val="en-US" w:eastAsia="zh-CN"/>
        </w:rPr>
        <w:t>第十条内容：</w:t>
      </w:r>
      <w:r>
        <w:rPr>
          <w:rFonts w:hint="eastAsia" w:ascii="仿宋_GB2312" w:hAnsi="仿宋_GB2312" w:eastAsia="仿宋_GB2312" w:cs="仿宋_GB2312"/>
          <w:color w:val="auto"/>
          <w:kern w:val="2"/>
          <w:sz w:val="32"/>
          <w:szCs w:val="32"/>
          <w:highlight w:val="none"/>
          <w:u w:val="none"/>
          <w:lang w:val="en-US" w:eastAsia="zh-CN" w:bidi="ar-SA"/>
        </w:rPr>
        <w:t>绿化施工标准、质量控制和验收要求，按照《园林绿化工程施工及验收规范》（DB11/T212-2024）相关规定执行。</w:t>
      </w:r>
    </w:p>
    <w:p w14:paraId="3EE57FC9">
      <w:pPr>
        <w:pStyle w:val="2"/>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u w:val="none"/>
          <w:lang w:val="en-US" w:eastAsia="zh-CN" w:bidi="ar-SA"/>
        </w:rPr>
        <w:t>4.</w:t>
      </w:r>
      <w:r>
        <w:rPr>
          <w:rFonts w:hint="eastAsia" w:ascii="仿宋_GB2312" w:hAnsi="仿宋_GB2312" w:eastAsia="仿宋_GB2312" w:cs="仿宋_GB2312"/>
          <w:color w:val="auto"/>
          <w:sz w:val="32"/>
          <w:szCs w:val="32"/>
          <w:highlight w:val="none"/>
          <w:lang w:val="en-US" w:eastAsia="zh-CN"/>
        </w:rPr>
        <w:t>更新</w:t>
      </w:r>
      <w:r>
        <w:rPr>
          <w:rFonts w:hint="eastAsia" w:ascii="仿宋_GB2312" w:hAnsi="仿宋_GB2312" w:eastAsia="仿宋_GB2312" w:cs="仿宋_GB2312"/>
          <w:b w:val="0"/>
          <w:bCs/>
          <w:color w:val="auto"/>
          <w:kern w:val="2"/>
          <w:sz w:val="32"/>
          <w:szCs w:val="32"/>
          <w:lang w:val="en-US" w:eastAsia="zh-CN" w:bidi="ar-SA"/>
        </w:rPr>
        <w:t>《工程管理办法》</w:t>
      </w:r>
      <w:r>
        <w:rPr>
          <w:rFonts w:hint="eastAsia" w:ascii="仿宋_GB2312" w:hAnsi="仿宋_GB2312" w:eastAsia="仿宋_GB2312" w:cs="仿宋_GB2312"/>
          <w:color w:val="auto"/>
          <w:sz w:val="32"/>
          <w:szCs w:val="32"/>
          <w:highlight w:val="none"/>
          <w:lang w:val="en-US" w:eastAsia="zh-CN"/>
        </w:rPr>
        <w:t>第十二条内容：</w:t>
      </w:r>
      <w:r>
        <w:rPr>
          <w:rFonts w:hint="eastAsia" w:ascii="仿宋_GB2312" w:hAnsi="仿宋_GB2312" w:eastAsia="仿宋_GB2312" w:cs="仿宋_GB2312"/>
          <w:color w:val="auto"/>
          <w:sz w:val="32"/>
          <w:szCs w:val="32"/>
          <w:highlight w:val="none"/>
        </w:rPr>
        <w:t>绿化工程经区园林绿化部门质量监督、交付使用验收后，方可纳入市、区绿化养护资金预算。</w:t>
      </w:r>
      <w:r>
        <w:rPr>
          <w:rFonts w:hint="eastAsia" w:ascii="仿宋_GB2312" w:hAnsi="仿宋_GB2312" w:eastAsia="仿宋_GB2312" w:cs="仿宋_GB2312"/>
          <w:color w:val="auto"/>
          <w:kern w:val="2"/>
          <w:sz w:val="32"/>
          <w:szCs w:val="32"/>
          <w:highlight w:val="none"/>
          <w:u w:val="none"/>
          <w:lang w:val="en-US" w:eastAsia="zh-CN" w:bidi="ar-SA"/>
        </w:rPr>
        <w:t>北京城市副中心内（市行政办公区、市级重点项目除外）</w:t>
      </w:r>
      <w:r>
        <w:rPr>
          <w:rFonts w:hint="eastAsia" w:ascii="仿宋_GB2312" w:hAnsi="仿宋_GB2312" w:eastAsia="仿宋_GB2312" w:cs="仿宋_GB2312"/>
          <w:color w:val="auto"/>
          <w:sz w:val="32"/>
          <w:szCs w:val="32"/>
          <w:highlight w:val="none"/>
          <w:u w:val="none"/>
          <w:lang w:eastAsia="zh-CN"/>
        </w:rPr>
        <w:t>以及副</w:t>
      </w:r>
      <w:r>
        <w:rPr>
          <w:rFonts w:hint="eastAsia" w:ascii="仿宋_GB2312" w:hAnsi="仿宋_GB2312" w:eastAsia="仿宋_GB2312" w:cs="仿宋_GB2312"/>
          <w:color w:val="auto"/>
          <w:sz w:val="32"/>
          <w:szCs w:val="32"/>
          <w:highlight w:val="none"/>
          <w:lang w:eastAsia="zh-CN"/>
        </w:rPr>
        <w:t>中心外的部分重点区域</w:t>
      </w:r>
      <w:r>
        <w:rPr>
          <w:rFonts w:hint="eastAsia" w:ascii="仿宋_GB2312" w:hAnsi="仿宋_GB2312" w:eastAsia="仿宋_GB2312" w:cs="仿宋_GB2312"/>
          <w:color w:val="auto"/>
          <w:sz w:val="32"/>
          <w:szCs w:val="32"/>
          <w:highlight w:val="none"/>
        </w:rPr>
        <w:t>由区园林绿化局统一养护管理，副中心外围由各属地政府委派新型集体林场进行养护管理。</w:t>
      </w:r>
    </w:p>
    <w:p w14:paraId="2CA094FC">
      <w:pPr>
        <w:pStyle w:val="2"/>
        <w:numPr>
          <w:ilvl w:val="0"/>
          <w:numId w:val="0"/>
        </w:numPr>
        <w:ind w:firstLine="640" w:firstLineChars="200"/>
        <w:rPr>
          <w:rFonts w:hint="eastAsia"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strike w:val="0"/>
          <w:dstrike w:val="0"/>
          <w:color w:val="auto"/>
          <w:sz w:val="32"/>
          <w:szCs w:val="32"/>
          <w:highlight w:val="none"/>
          <w:u w:val="none"/>
          <w:lang w:val="en-US" w:eastAsia="zh-CN"/>
        </w:rPr>
        <w:t>因国家关于新冠疫情管控政策调整，删除条目</w:t>
      </w:r>
      <w:r>
        <w:rPr>
          <w:rFonts w:hint="eastAsia" w:ascii="仿宋_GB2312" w:hAnsi="仿宋_GB2312" w:eastAsia="仿宋_GB2312" w:cs="仿宋_GB2312"/>
          <w:b w:val="0"/>
          <w:bCs w:val="0"/>
          <w:strike w:val="0"/>
          <w:dstrike w:val="0"/>
          <w:color w:val="auto"/>
          <w:kern w:val="2"/>
          <w:sz w:val="32"/>
          <w:szCs w:val="32"/>
          <w:highlight w:val="none"/>
          <w:u w:val="none"/>
          <w:lang w:val="en-US" w:eastAsia="zh-CN" w:bidi="ar-SA"/>
        </w:rPr>
        <w:t>“施工单位应执行绿化施工现场新冠疫情防控管理规定，严格按照北京市园林绿化局关于园林绿化施工及养护工地疫情防控有关规定开展防控工作。建设单位应定期开展全覆盖巡查检查工作。”</w:t>
      </w:r>
    </w:p>
    <w:p w14:paraId="4C619DEB">
      <w:pPr>
        <w:pStyle w:val="2"/>
        <w:numPr>
          <w:ilvl w:val="0"/>
          <w:numId w:val="0"/>
        </w:numPr>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（五）按照2023年2月28日北京市园林绿化局印发的《北京市园林绿化施工企业信用管理办法》，对“监督管理”章节内容进行调整。</w:t>
      </w:r>
    </w:p>
    <w:p w14:paraId="5FE341B5">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附件4：北京市园林绿化施工企业不良行为记分标准》，扣分分值为30分的不良行为计入“严重失信行为”管理，扣分分值为10分的不良行为计入“一般失信行为”管理，扣分分值为5分及以下的不良行为计入“较轻失信行为”管理。</w:t>
      </w:r>
    </w:p>
    <w:p w14:paraId="2EF6F2A4">
      <w:pPr>
        <w:pStyle w:val="2"/>
        <w:numPr>
          <w:ilvl w:val="0"/>
          <w:numId w:val="0"/>
        </w:numPr>
        <w:ind w:firstLine="640" w:firstLineChars="200"/>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（六）对“附则”章节中发布日期进行调整。</w:t>
      </w:r>
    </w:p>
    <w:p w14:paraId="17BA29D2">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F60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A800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6A800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jg0YzA3OTk0OWE3ZDExNmJhYTczOTY0MjNlOGYifQ=="/>
  </w:docVars>
  <w:rsids>
    <w:rsidRoot w:val="00000000"/>
    <w:rsid w:val="00014F75"/>
    <w:rsid w:val="001F616B"/>
    <w:rsid w:val="00551767"/>
    <w:rsid w:val="00B82BB0"/>
    <w:rsid w:val="01955D51"/>
    <w:rsid w:val="02702D13"/>
    <w:rsid w:val="027C33E7"/>
    <w:rsid w:val="02C40836"/>
    <w:rsid w:val="03596B2E"/>
    <w:rsid w:val="03950E7B"/>
    <w:rsid w:val="03965661"/>
    <w:rsid w:val="04AA1E6B"/>
    <w:rsid w:val="05151950"/>
    <w:rsid w:val="052546EF"/>
    <w:rsid w:val="05AD02BD"/>
    <w:rsid w:val="06D61627"/>
    <w:rsid w:val="071924CF"/>
    <w:rsid w:val="075C1AB8"/>
    <w:rsid w:val="087A5C62"/>
    <w:rsid w:val="087B2D22"/>
    <w:rsid w:val="087B5F6E"/>
    <w:rsid w:val="0A5044B2"/>
    <w:rsid w:val="0A627B8A"/>
    <w:rsid w:val="0A656ED5"/>
    <w:rsid w:val="0A8D15D9"/>
    <w:rsid w:val="0B79281A"/>
    <w:rsid w:val="0BB93EC2"/>
    <w:rsid w:val="0BD3444E"/>
    <w:rsid w:val="0C692AFB"/>
    <w:rsid w:val="0C9870EE"/>
    <w:rsid w:val="0CA154B4"/>
    <w:rsid w:val="0CA516BA"/>
    <w:rsid w:val="0D1727E8"/>
    <w:rsid w:val="0D547331"/>
    <w:rsid w:val="0E5232CD"/>
    <w:rsid w:val="0EFB3964"/>
    <w:rsid w:val="0F2E49E0"/>
    <w:rsid w:val="0F3A0931"/>
    <w:rsid w:val="10101691"/>
    <w:rsid w:val="10267CEE"/>
    <w:rsid w:val="106672B6"/>
    <w:rsid w:val="107C2883"/>
    <w:rsid w:val="108C0E00"/>
    <w:rsid w:val="12B252D9"/>
    <w:rsid w:val="131C65CF"/>
    <w:rsid w:val="134127DF"/>
    <w:rsid w:val="157E61AD"/>
    <w:rsid w:val="15CC1BB7"/>
    <w:rsid w:val="18BE12D8"/>
    <w:rsid w:val="1939139D"/>
    <w:rsid w:val="19410B0E"/>
    <w:rsid w:val="198F7ACB"/>
    <w:rsid w:val="1A4C3396"/>
    <w:rsid w:val="1A7C3F72"/>
    <w:rsid w:val="1B437FD1"/>
    <w:rsid w:val="1BB455C7"/>
    <w:rsid w:val="1C437747"/>
    <w:rsid w:val="1C485D0F"/>
    <w:rsid w:val="1C550B58"/>
    <w:rsid w:val="1CE05E31"/>
    <w:rsid w:val="1D8D6E28"/>
    <w:rsid w:val="1E0F79C9"/>
    <w:rsid w:val="1E1F7DE5"/>
    <w:rsid w:val="1E756287"/>
    <w:rsid w:val="1E875215"/>
    <w:rsid w:val="1E944099"/>
    <w:rsid w:val="1EDA5344"/>
    <w:rsid w:val="1F101E4F"/>
    <w:rsid w:val="21D70AAC"/>
    <w:rsid w:val="21F8589F"/>
    <w:rsid w:val="2221772E"/>
    <w:rsid w:val="224F6049"/>
    <w:rsid w:val="22531561"/>
    <w:rsid w:val="25190CE4"/>
    <w:rsid w:val="25296117"/>
    <w:rsid w:val="25834105"/>
    <w:rsid w:val="26EC3370"/>
    <w:rsid w:val="2769763E"/>
    <w:rsid w:val="27782384"/>
    <w:rsid w:val="280B08E0"/>
    <w:rsid w:val="284178E0"/>
    <w:rsid w:val="287C1362"/>
    <w:rsid w:val="289F721E"/>
    <w:rsid w:val="28D252DE"/>
    <w:rsid w:val="296B5936"/>
    <w:rsid w:val="29C9584A"/>
    <w:rsid w:val="2A907992"/>
    <w:rsid w:val="2B690FFC"/>
    <w:rsid w:val="2BFC659E"/>
    <w:rsid w:val="2C73502A"/>
    <w:rsid w:val="2CF92750"/>
    <w:rsid w:val="2DD00B9E"/>
    <w:rsid w:val="2F5D254D"/>
    <w:rsid w:val="305D2DCA"/>
    <w:rsid w:val="30AF3119"/>
    <w:rsid w:val="319D719C"/>
    <w:rsid w:val="31DE0B23"/>
    <w:rsid w:val="32D223F4"/>
    <w:rsid w:val="330B0537"/>
    <w:rsid w:val="335B5FB4"/>
    <w:rsid w:val="3369683F"/>
    <w:rsid w:val="341472E4"/>
    <w:rsid w:val="35951B88"/>
    <w:rsid w:val="35D501BC"/>
    <w:rsid w:val="35FE33E0"/>
    <w:rsid w:val="361C5DEB"/>
    <w:rsid w:val="367D109D"/>
    <w:rsid w:val="370778AC"/>
    <w:rsid w:val="37446E77"/>
    <w:rsid w:val="37CC2FE7"/>
    <w:rsid w:val="38064FA4"/>
    <w:rsid w:val="385775AE"/>
    <w:rsid w:val="38A7519B"/>
    <w:rsid w:val="3923435F"/>
    <w:rsid w:val="39567866"/>
    <w:rsid w:val="39E92595"/>
    <w:rsid w:val="3A1E166D"/>
    <w:rsid w:val="3A791A5E"/>
    <w:rsid w:val="3B277F78"/>
    <w:rsid w:val="3BC07EFB"/>
    <w:rsid w:val="3CE33BBF"/>
    <w:rsid w:val="3D7B5AED"/>
    <w:rsid w:val="3DEA3E2D"/>
    <w:rsid w:val="3DF5764D"/>
    <w:rsid w:val="3F2B085D"/>
    <w:rsid w:val="3F5E56C6"/>
    <w:rsid w:val="3F9C540A"/>
    <w:rsid w:val="40440889"/>
    <w:rsid w:val="406C1B20"/>
    <w:rsid w:val="410302D3"/>
    <w:rsid w:val="416074D3"/>
    <w:rsid w:val="41802F08"/>
    <w:rsid w:val="425F59DD"/>
    <w:rsid w:val="4282228A"/>
    <w:rsid w:val="43290D32"/>
    <w:rsid w:val="436F7EA2"/>
    <w:rsid w:val="43C95804"/>
    <w:rsid w:val="43FD4A8A"/>
    <w:rsid w:val="44376B44"/>
    <w:rsid w:val="449322B6"/>
    <w:rsid w:val="45311701"/>
    <w:rsid w:val="471548BC"/>
    <w:rsid w:val="474451A1"/>
    <w:rsid w:val="480620C4"/>
    <w:rsid w:val="485B27A2"/>
    <w:rsid w:val="4961129A"/>
    <w:rsid w:val="49627B61"/>
    <w:rsid w:val="49DE30FD"/>
    <w:rsid w:val="4A72773D"/>
    <w:rsid w:val="4AB60592"/>
    <w:rsid w:val="4D3F270D"/>
    <w:rsid w:val="4D743085"/>
    <w:rsid w:val="4E8C5DAC"/>
    <w:rsid w:val="4EA67CCD"/>
    <w:rsid w:val="4F037E46"/>
    <w:rsid w:val="4F3D28F2"/>
    <w:rsid w:val="4F4A3571"/>
    <w:rsid w:val="4F65525F"/>
    <w:rsid w:val="50123955"/>
    <w:rsid w:val="503F2F20"/>
    <w:rsid w:val="509826F1"/>
    <w:rsid w:val="50CD1E89"/>
    <w:rsid w:val="51CF6D3B"/>
    <w:rsid w:val="52A01A7B"/>
    <w:rsid w:val="55775EDA"/>
    <w:rsid w:val="55F8453C"/>
    <w:rsid w:val="56EC7F7F"/>
    <w:rsid w:val="58236478"/>
    <w:rsid w:val="582D087F"/>
    <w:rsid w:val="588625E1"/>
    <w:rsid w:val="5A9E0BA0"/>
    <w:rsid w:val="5AB20FE2"/>
    <w:rsid w:val="5B160E2F"/>
    <w:rsid w:val="5D325D70"/>
    <w:rsid w:val="5E2538CC"/>
    <w:rsid w:val="5F2E7A65"/>
    <w:rsid w:val="5FB213EA"/>
    <w:rsid w:val="601A7C47"/>
    <w:rsid w:val="603E5A9E"/>
    <w:rsid w:val="60574FF9"/>
    <w:rsid w:val="60824919"/>
    <w:rsid w:val="60B6218C"/>
    <w:rsid w:val="60BB2FCF"/>
    <w:rsid w:val="60F222EE"/>
    <w:rsid w:val="62471C9A"/>
    <w:rsid w:val="62932444"/>
    <w:rsid w:val="62960978"/>
    <w:rsid w:val="62966C8B"/>
    <w:rsid w:val="62EE7F50"/>
    <w:rsid w:val="63294227"/>
    <w:rsid w:val="65CE6045"/>
    <w:rsid w:val="661E63EF"/>
    <w:rsid w:val="66EF626A"/>
    <w:rsid w:val="673B5B1D"/>
    <w:rsid w:val="67591612"/>
    <w:rsid w:val="67636794"/>
    <w:rsid w:val="676837D1"/>
    <w:rsid w:val="6842721E"/>
    <w:rsid w:val="68C66D80"/>
    <w:rsid w:val="692E2278"/>
    <w:rsid w:val="69B62AFA"/>
    <w:rsid w:val="6A1A2583"/>
    <w:rsid w:val="6AD14547"/>
    <w:rsid w:val="6BDD75F0"/>
    <w:rsid w:val="6C105F40"/>
    <w:rsid w:val="6C296590"/>
    <w:rsid w:val="6CC47997"/>
    <w:rsid w:val="6D16365A"/>
    <w:rsid w:val="6EA510A7"/>
    <w:rsid w:val="6EEB5D7F"/>
    <w:rsid w:val="70C40F7D"/>
    <w:rsid w:val="72075C9A"/>
    <w:rsid w:val="725D796D"/>
    <w:rsid w:val="72C85D41"/>
    <w:rsid w:val="734038E4"/>
    <w:rsid w:val="73DC3C1C"/>
    <w:rsid w:val="751E7CAC"/>
    <w:rsid w:val="765F7130"/>
    <w:rsid w:val="76746FA2"/>
    <w:rsid w:val="771A60C5"/>
    <w:rsid w:val="772C47D4"/>
    <w:rsid w:val="792636D2"/>
    <w:rsid w:val="7A8C2B0C"/>
    <w:rsid w:val="7B2143CB"/>
    <w:rsid w:val="7B766B37"/>
    <w:rsid w:val="7BCA7B84"/>
    <w:rsid w:val="7CF41A6D"/>
    <w:rsid w:val="7E470E6E"/>
    <w:rsid w:val="7FC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rPr>
      <w:rFonts w:ascii="Times New Roman" w:hAnsi="Times New Roman" w:eastAsia="宋体" w:cs="Times New Roman"/>
    </w:rPr>
  </w:style>
  <w:style w:type="paragraph" w:styleId="3">
    <w:name w:val="Block Text"/>
    <w:basedOn w:val="1"/>
    <w:qFormat/>
    <w:uiPriority w:val="0"/>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1497</Words>
  <Characters>1633</Characters>
  <Lines>0</Lines>
  <Paragraphs>0</Paragraphs>
  <TotalTime>1</TotalTime>
  <ScaleCrop>false</ScaleCrop>
  <LinksUpToDate>false</LinksUpToDate>
  <CharactersWithSpaces>1641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2024-05-09T07:46:00Z</dcterms:created>
  <dc:creator>LH</dc:creator>
  <cp:lastModifiedBy>Administrator</cp:lastModifiedBy>
  <cp:lastPrinted>2025-08-13T07:59:00Z</cp:lastPrinted>
  <dcterms:modified xsi:type="dcterms:W3CDTF">2025-09-04T08:24:10Z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AFAB340A305F479F93181C6AC14CC1F3_13</vt:lpwstr>
  </property>
  <property fmtid="{D5CDD505-2E9C-101B-9397-08002B2CF9AE}" pid="4" name="KSOTemplateDocerSaveRecord">
    <vt:lpwstr>eyJoZGlkIjoiNjQwNGUyNGM2NDk3OTFhODQyZWU5MTc3OGYzZDk5YWMifQ==</vt:lpwstr>
  </property>
</Properties>
</file>