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2024年举借政府债务和债券资金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使用安排情况说明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根据《预算法》和《国务院关于加强地方政府性债务管理的意见》规定，地方政府债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纳入全口径预算管理，一般债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收支纳入一般公共预算管理，专项债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收支纳入政府性基金预算管理。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一、2024年通州区政府债务余额情况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截至2024年12月底，我区地方政府债务余额为7,699,522万元，其中一般债务3,837,858</w:t>
      </w:r>
      <w:r>
        <w:rPr>
          <w:rFonts w:hint="eastAsia" w:ascii="仿宋_GB2312" w:eastAsia="仿宋_GB2312"/>
          <w:sz w:val="32"/>
          <w:szCs w:val="32"/>
          <w:lang w:val="en"/>
        </w:rPr>
        <w:t>万</w:t>
      </w:r>
      <w:r>
        <w:rPr>
          <w:rFonts w:hint="eastAsia" w:ascii="仿宋_GB2312" w:eastAsia="仿宋_GB2312"/>
          <w:sz w:val="32"/>
          <w:szCs w:val="32"/>
        </w:rPr>
        <w:t>元，专项债务3,861,664万元。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二、2024政府债务新增限额以及项目安排情况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市财政局下达我区2024年新增地方政府债务限额</w:t>
      </w:r>
      <w:r>
        <w:rPr>
          <w:rFonts w:hint="eastAsia" w:ascii="仿宋_GB2312" w:hAnsi="仿宋" w:eastAsia="仿宋_GB2312"/>
          <w:sz w:val="32"/>
          <w:szCs w:val="32"/>
        </w:rPr>
        <w:t>1,343,500万元（其中</w:t>
      </w:r>
      <w:r>
        <w:rPr>
          <w:rFonts w:hint="eastAsia" w:ascii="仿宋_GB2312" w:eastAsia="仿宋_GB2312"/>
          <w:sz w:val="32"/>
          <w:szCs w:val="32"/>
        </w:rPr>
        <w:t>一般债务467,300万元、专项债务876,200万元</w:t>
      </w:r>
      <w:r>
        <w:rPr>
          <w:rFonts w:hint="eastAsia" w:ascii="仿宋_GB2312" w:hAnsi="仿宋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;用于发行新增债券1,259,200万元、发行再融资债券84,300万元。经法定程序报区人大常委会批准，一般债券列入一般公共预算，主要用于通州区耕地保护空间项目60,000万元、重点道路工程项目50,700万元、通州区水环境治理工程项目50,000万元、新一轮百万亩平原造林40,000万元、美丽乡村建设项目35,000万元等；专项债券列入政府性基金预算，主要用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宋庄镇丁各庄等四村城中村改造项目455,000万元、</w:t>
      </w:r>
      <w:r>
        <w:rPr>
          <w:rFonts w:hint="eastAsia" w:ascii="仿宋_GB2312" w:eastAsia="仿宋_GB2312"/>
          <w:sz w:val="32"/>
          <w:szCs w:val="32"/>
        </w:rPr>
        <w:t>通州区张湾镇村、立禅庵、唐小庄、施园、宽街及南许场村棚户区改造项目191,400万元、北京城市副中心八里桥片区棚户区改造项目176,000万元、</w:t>
      </w:r>
      <w:r>
        <w:rPr>
          <w:rFonts w:hint="eastAsia" w:ascii="仿宋_GB2312" w:hAnsi="仿宋" w:eastAsia="仿宋_GB2312"/>
          <w:sz w:val="32"/>
          <w:szCs w:val="32"/>
        </w:rPr>
        <w:t>通州区老城范围内平房棚户区改造项目一期35,700万元等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三、2024年政府债券资金发行使用及重点项目绩效情况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根据北京市新增地方政府债券分期发行机制，我区2024年新增债券分四批发行，区财政根据单位资金申请全部及时拨付到位。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2024年地方政府新增债券资金</w:t>
      </w:r>
      <w:r>
        <w:rPr>
          <w:rFonts w:hint="eastAsia" w:ascii="仿宋_GB2312" w:eastAsia="仿宋_GB2312"/>
          <w:sz w:val="32"/>
          <w:szCs w:val="32"/>
          <w:highlight w:val="none"/>
        </w:rPr>
        <w:t>1,259,200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万元，用于保障性安居工程及城市更新878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100万元，占比70%；农林水利建设200,000万元，占比16%；公路99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000万元，占比8%；市政建设等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,100万元，占比6%。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重点项目绩效情况：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通州区耕地保护空间项目</w:t>
      </w:r>
      <w:r>
        <w:rPr>
          <w:rFonts w:hint="eastAsia" w:ascii="仿宋_GB2312" w:hAnsi="华文中宋" w:eastAsia="仿宋_GB2312"/>
          <w:sz w:val="32"/>
          <w:szCs w:val="32"/>
        </w:rPr>
        <w:t>通过开展土地复耕工作，扭转了耕地数量下降的历史趋势，全区耕地数量增加10万余亩，为全区“粮袋子”“菜篮子”提供了有力保障；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新一轮百万亩平原造林</w:t>
      </w:r>
      <w:r>
        <w:rPr>
          <w:rFonts w:hint="eastAsia" w:ascii="仿宋_GB2312" w:hAnsi="华文中宋" w:eastAsia="仿宋_GB2312"/>
          <w:sz w:val="32"/>
          <w:szCs w:val="32"/>
        </w:rPr>
        <w:t>有力保障了造林绿化行动计划的开展，截至2024年底完成绿化面积约13.8万亩；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通州区水环境治理工程项目</w:t>
      </w:r>
      <w:r>
        <w:rPr>
          <w:rFonts w:hint="eastAsia" w:ascii="仿宋_GB2312" w:hAnsi="华文中宋" w:eastAsia="仿宋_GB2312"/>
          <w:sz w:val="32"/>
          <w:szCs w:val="32"/>
        </w:rPr>
        <w:t>完成67个村供水管线及40个村污水管线建设，推进64座美丽乡村配套污水处理设施建设，同时完成通惠河水环境综合治理二期工程、通州区两河水网减运沟综合治理工程等征拆任务；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通州区宋庄镇丁各庄等四村城中村改造项目</w:t>
      </w:r>
      <w:r>
        <w:rPr>
          <w:rFonts w:hint="eastAsia" w:ascii="仿宋_GB2312" w:hAnsi="华文中宋" w:eastAsia="仿宋_GB2312"/>
          <w:sz w:val="32"/>
          <w:szCs w:val="32"/>
        </w:rPr>
        <w:t>完成一片区土地腾退并移交北投集团开展安置房建设，同步开展5个村1207户住宅搬迁工作；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通州区张湾镇村、立禅庵、唐小庄、施园、宽街及南许场村棚户区改造项目</w:t>
      </w:r>
      <w:r>
        <w:rPr>
          <w:rFonts w:hint="eastAsia" w:ascii="仿宋_GB2312" w:hAnsi="华文中宋" w:eastAsia="仿宋_GB2312"/>
          <w:sz w:val="32"/>
          <w:szCs w:val="32"/>
        </w:rPr>
        <w:t>完成搬迁面积28万平方米，三片区四个村完成签署《征地补偿协议》，已支付全部征地款，完成考古面积6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万</w:t>
      </w:r>
      <w:r>
        <w:rPr>
          <w:rFonts w:hint="eastAsia" w:ascii="仿宋_GB2312" w:hAnsi="华文中宋" w:eastAsia="仿宋_GB2312"/>
          <w:sz w:val="32"/>
          <w:szCs w:val="32"/>
        </w:rPr>
        <w:t>平方米；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北京城市副中心八里桥片区棚户区改造项目</w:t>
      </w:r>
      <w:r>
        <w:rPr>
          <w:rFonts w:hint="eastAsia" w:ascii="仿宋_GB2312" w:hAnsi="华文中宋" w:eastAsia="仿宋_GB2312"/>
          <w:sz w:val="32"/>
          <w:szCs w:val="32"/>
        </w:rPr>
        <w:t>完成八里桥市场平稳闭市、拆迁及征收，完成水评、交评、噪音、发掘及土壤污染等上市前期手续，完成道路定线、地下管线测绘、除草苫盖、施工围挡等施工相关工作。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四、2024年政府债务偿还情况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2024年按时偿还到期债务本金968</w:t>
      </w:r>
      <w:r>
        <w:rPr>
          <w:rFonts w:ascii="仿宋_GB2312" w:hAnsi="宋体" w:eastAsia="仿宋_GB2312"/>
          <w:bCs/>
          <w:sz w:val="32"/>
          <w:szCs w:val="32"/>
          <w:lang w:val="en"/>
        </w:rPr>
        <w:t>,</w:t>
      </w:r>
      <w:r>
        <w:rPr>
          <w:rFonts w:hint="eastAsia" w:ascii="仿宋_GB2312" w:hAnsi="宋体" w:eastAsia="仿宋_GB2312"/>
          <w:bCs/>
          <w:sz w:val="32"/>
          <w:szCs w:val="32"/>
        </w:rPr>
        <w:t>300万元，其中一般债务</w:t>
      </w:r>
      <w:r>
        <w:rPr>
          <w:rFonts w:hint="eastAsia" w:ascii="仿宋_GB2312" w:eastAsia="仿宋_GB2312"/>
          <w:sz w:val="32"/>
          <w:szCs w:val="32"/>
        </w:rPr>
        <w:t>744,300</w:t>
      </w:r>
      <w:r>
        <w:rPr>
          <w:rFonts w:hint="eastAsia" w:ascii="仿宋_GB2312" w:hAnsi="宋体" w:eastAsia="仿宋_GB2312"/>
          <w:bCs/>
          <w:sz w:val="32"/>
          <w:szCs w:val="32"/>
        </w:rPr>
        <w:t>万元，专项债务</w:t>
      </w:r>
      <w:r>
        <w:rPr>
          <w:rFonts w:hint="eastAsia" w:ascii="仿宋_GB2312" w:eastAsia="仿宋_GB2312"/>
          <w:sz w:val="32"/>
          <w:szCs w:val="32"/>
        </w:rPr>
        <w:t>224,000</w:t>
      </w:r>
      <w:r>
        <w:rPr>
          <w:rFonts w:hint="eastAsia" w:ascii="仿宋_GB2312" w:hAnsi="宋体" w:eastAsia="仿宋_GB2312"/>
          <w:bCs/>
          <w:sz w:val="32"/>
          <w:szCs w:val="32"/>
        </w:rPr>
        <w:t>万元。根据项目进展情况使用财政资金收入偿还</w:t>
      </w:r>
      <w:r>
        <w:rPr>
          <w:rFonts w:ascii="仿宋_GB2312" w:hAnsi="宋体" w:eastAsia="仿宋_GB2312"/>
          <w:bCs/>
          <w:sz w:val="32"/>
          <w:szCs w:val="32"/>
          <w:lang w:val="e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92</w:t>
      </w:r>
      <w:r>
        <w:rPr>
          <w:rFonts w:ascii="仿宋_GB2312" w:hAnsi="宋体" w:eastAsia="仿宋_GB2312"/>
          <w:bCs/>
          <w:sz w:val="32"/>
          <w:szCs w:val="32"/>
          <w:lang w:val="en"/>
        </w:rPr>
        <w:t>,</w:t>
      </w:r>
      <w:r>
        <w:rPr>
          <w:rFonts w:hint="eastAsia" w:ascii="仿宋_GB2312" w:hAnsi="宋体" w:eastAsia="仿宋_GB2312"/>
          <w:bCs/>
          <w:sz w:val="32"/>
          <w:szCs w:val="32"/>
        </w:rPr>
        <w:t>648万元（其中一般债务</w:t>
      </w:r>
      <w:r>
        <w:rPr>
          <w:rFonts w:ascii="仿宋_GB2312" w:hAnsi="宋体" w:eastAsia="仿宋_GB2312"/>
          <w:bCs/>
          <w:sz w:val="32"/>
          <w:szCs w:val="32"/>
          <w:lang w:val="en"/>
        </w:rPr>
        <w:t>11</w:t>
      </w: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ascii="仿宋_GB2312" w:hAnsi="宋体" w:eastAsia="仿宋_GB2312"/>
          <w:bCs/>
          <w:sz w:val="32"/>
          <w:szCs w:val="32"/>
          <w:lang w:val="en"/>
        </w:rPr>
        <w:t>,</w:t>
      </w:r>
      <w:r>
        <w:rPr>
          <w:rFonts w:hint="eastAsia" w:ascii="仿宋_GB2312" w:hAnsi="宋体" w:eastAsia="仿宋_GB2312"/>
          <w:bCs/>
          <w:sz w:val="32"/>
          <w:szCs w:val="32"/>
        </w:rPr>
        <w:t>648万元，专项债务80</w:t>
      </w:r>
      <w:r>
        <w:rPr>
          <w:rFonts w:ascii="仿宋_GB2312" w:hAnsi="宋体" w:eastAsia="仿宋_GB2312"/>
          <w:bCs/>
          <w:sz w:val="32"/>
          <w:szCs w:val="32"/>
          <w:lang w:val="en"/>
        </w:rPr>
        <w:t>,</w:t>
      </w:r>
      <w:r>
        <w:rPr>
          <w:rFonts w:hint="eastAsia" w:ascii="仿宋_GB2312" w:hAnsi="宋体" w:eastAsia="仿宋_GB2312"/>
          <w:bCs/>
          <w:sz w:val="32"/>
          <w:szCs w:val="32"/>
        </w:rPr>
        <w:t>000万元），使用再融资债券资金偿还77</w:t>
      </w:r>
      <w:r>
        <w:rPr>
          <w:rFonts w:ascii="仿宋_GB2312" w:hAnsi="宋体" w:eastAsia="仿宋_GB2312"/>
          <w:bCs/>
          <w:sz w:val="32"/>
          <w:szCs w:val="32"/>
          <w:lang w:val="en"/>
        </w:rPr>
        <w:t>5,</w:t>
      </w:r>
      <w:r>
        <w:rPr>
          <w:rFonts w:hint="eastAsia" w:ascii="仿宋_GB2312" w:hAnsi="宋体" w:eastAsia="仿宋_GB2312"/>
          <w:bCs/>
          <w:sz w:val="32"/>
          <w:szCs w:val="32"/>
        </w:rPr>
        <w:t>652万元（其中一般债务</w:t>
      </w:r>
      <w:r>
        <w:rPr>
          <w:rFonts w:hint="eastAsia" w:ascii="仿宋_GB2312" w:eastAsia="仿宋_GB2312"/>
          <w:sz w:val="32"/>
          <w:szCs w:val="32"/>
        </w:rPr>
        <w:t>631,652</w:t>
      </w:r>
      <w:r>
        <w:rPr>
          <w:rFonts w:hint="eastAsia" w:ascii="仿宋_GB2312" w:hAnsi="宋体" w:eastAsia="仿宋_GB2312"/>
          <w:bCs/>
          <w:sz w:val="32"/>
          <w:szCs w:val="32"/>
        </w:rPr>
        <w:t>万元，专项债务</w:t>
      </w:r>
      <w:r>
        <w:rPr>
          <w:rFonts w:hint="eastAsia" w:ascii="仿宋_GB2312" w:eastAsia="仿宋_GB2312"/>
          <w:sz w:val="32"/>
          <w:szCs w:val="32"/>
        </w:rPr>
        <w:t>144,000</w:t>
      </w:r>
      <w:r>
        <w:rPr>
          <w:rFonts w:hint="eastAsia" w:ascii="仿宋_GB2312" w:hAnsi="宋体" w:eastAsia="仿宋_GB2312"/>
          <w:bCs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五、债务管理情况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</w:t>
      </w:r>
      <w:bookmarkStart w:id="0" w:name="OLE_LINK3"/>
      <w:r>
        <w:rPr>
          <w:rFonts w:hint="eastAsia" w:ascii="仿宋_GB2312" w:eastAsia="仿宋_GB2312"/>
          <w:sz w:val="32"/>
          <w:szCs w:val="32"/>
          <w:lang w:eastAsia="zh-CN"/>
        </w:rPr>
        <w:t>聚焦项目储备。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完善债券项目储备机制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，坚持“资金跟着项目走”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围绕全区发展战略和重点领域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成熟度对债券项目库实行动态调整、滚动管理。深化项目前期论证，加快前期手续办理，切实提升项目成熟度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，避免项目不实导致资金闲置。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是加强绩效管理。强化各项目单位绩效意识，将事前绩效评估作为申报专项债券需求的必备条件；强化债券资金监管，压实主管部门及项目单位管理职责，定期通报债券资金使用情况，确保债券资金规范高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是严格风险管控。提前筹划还款事宜，测算还本付息金额，全额纳入预算管理，依法落实偿还责任，确保法定债务不出任何风险；严格对全口径债务进行风险预警监控，定期开展债务率测算，全过程动态管理，做到风险早发现、早应对、早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是做好信息公开。组织相关单位编制本年新增债券的募投情况、项目收益与融资平衡报告、法律意见书等相关材料，及时在规定的网站上进行公开，提高政府债券发行使用透明度；在政府门户网站公开政府债务相关信息，主动接受社会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8B17D37"/>
    <w:rsid w:val="00127BF4"/>
    <w:rsid w:val="00140134"/>
    <w:rsid w:val="003A63C7"/>
    <w:rsid w:val="0053717D"/>
    <w:rsid w:val="007A35FC"/>
    <w:rsid w:val="007B6FA4"/>
    <w:rsid w:val="008B0732"/>
    <w:rsid w:val="009502BB"/>
    <w:rsid w:val="009D5C2D"/>
    <w:rsid w:val="00A0006A"/>
    <w:rsid w:val="00A81012"/>
    <w:rsid w:val="00B04C4D"/>
    <w:rsid w:val="00B3640E"/>
    <w:rsid w:val="00BC4186"/>
    <w:rsid w:val="00C1712A"/>
    <w:rsid w:val="00F31EED"/>
    <w:rsid w:val="0A2061A2"/>
    <w:rsid w:val="104233D7"/>
    <w:rsid w:val="10540FB8"/>
    <w:rsid w:val="1DF94EC2"/>
    <w:rsid w:val="2EEE0162"/>
    <w:rsid w:val="3D53F7F1"/>
    <w:rsid w:val="3F7FF567"/>
    <w:rsid w:val="3FFF879D"/>
    <w:rsid w:val="479B0AB0"/>
    <w:rsid w:val="5BBFBD91"/>
    <w:rsid w:val="5FEF2950"/>
    <w:rsid w:val="60934779"/>
    <w:rsid w:val="652D06B3"/>
    <w:rsid w:val="68B17D37"/>
    <w:rsid w:val="75310AE6"/>
    <w:rsid w:val="7BB7363F"/>
    <w:rsid w:val="7BF3C6F9"/>
    <w:rsid w:val="7EED51A5"/>
    <w:rsid w:val="7FAB0466"/>
    <w:rsid w:val="AD35D3E5"/>
    <w:rsid w:val="AF7D652A"/>
    <w:rsid w:val="AFD7EBBA"/>
    <w:rsid w:val="BFFEF2AF"/>
    <w:rsid w:val="DBFF7114"/>
    <w:rsid w:val="DF3F509F"/>
    <w:rsid w:val="DF7B7AAA"/>
    <w:rsid w:val="DFFF566B"/>
    <w:rsid w:val="EFCB58DF"/>
    <w:rsid w:val="FAFE609D"/>
    <w:rsid w:val="FCFB0964"/>
    <w:rsid w:val="FEE723E5"/>
    <w:rsid w:val="FFBD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customStyle="1" w:styleId="4">
    <w:name w:val="目录 11"/>
    <w:next w:val="1"/>
    <w:qFormat/>
    <w:uiPriority w:val="0"/>
    <w:pPr>
      <w:wordWrap w:val="0"/>
      <w:snapToGrid w:val="0"/>
      <w:spacing w:after="160" w:line="560" w:lineRule="exact"/>
      <w:ind w:firstLine="880" w:firstLineChars="200"/>
      <w:jc w:val="both"/>
    </w:pPr>
    <w:rPr>
      <w:rFonts w:ascii="Times New Roman" w:hAnsi="Times New Roman" w:eastAsia="宋体" w:cs="Times New Roman"/>
      <w:sz w:val="32"/>
      <w:szCs w:val="21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916</Words>
  <Characters>1037</Characters>
  <Lines>43</Lines>
  <Paragraphs>16</Paragraphs>
  <TotalTime>22</TotalTime>
  <ScaleCrop>false</ScaleCrop>
  <LinksUpToDate>false</LinksUpToDate>
  <CharactersWithSpaces>1937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2021-08-12T10:07:00Z</dcterms:created>
  <dc:creator>Administrator</dc:creator>
  <cp:lastModifiedBy>user</cp:lastModifiedBy>
  <cp:lastPrinted>2025-09-15T17:56:00Z</cp:lastPrinted>
  <dcterms:modified xsi:type="dcterms:W3CDTF">2025-09-15T14:12:00Z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474CE60BCA9245B4A4E1414D77AD204F_12</vt:lpwstr>
  </property>
</Properties>
</file>