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ind w:firstLine="0" w:firstLineChars="0"/>
        <w:rPr>
          <w:rFonts w:ascii="方正小标宋简体" w:hAnsi="黑体" w:eastAsia="方正小标宋简体" w:cs="Arial"/>
          <w:sz w:val="36"/>
          <w:szCs w:val="36"/>
        </w:rPr>
      </w:pPr>
      <w:r>
        <w:rPr>
          <w:rFonts w:hint="eastAsia" w:ascii="黑体" w:hAnsi="黑体" w:eastAsia="黑体" w:cs="黑体"/>
          <w:sz w:val="32"/>
          <w:szCs w:val="32"/>
        </w:rPr>
        <w:t>附件2-1</w:t>
      </w:r>
    </w:p>
    <w:p>
      <w:pPr>
        <w:jc w:val="center"/>
        <w:rPr>
          <w:rFonts w:ascii="方正小标宋简体" w:hAnsi="黑体" w:eastAsia="方正小标宋简体" w:cs="Arial"/>
          <w:sz w:val="36"/>
          <w:szCs w:val="36"/>
        </w:rPr>
      </w:pPr>
      <w:r>
        <w:rPr>
          <w:rFonts w:hint="eastAsia" w:ascii="方正小标宋简体" w:hAnsi="黑体" w:eastAsia="方正小标宋简体" w:cs="Arial"/>
          <w:sz w:val="36"/>
          <w:szCs w:val="36"/>
        </w:rPr>
        <w:t>2024年部门整体绩效报告</w:t>
      </w:r>
    </w:p>
    <w:p>
      <w:pPr>
        <w:jc w:val="center"/>
        <w:rPr>
          <w:rFonts w:ascii="楷体_GB2312" w:eastAsia="楷体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一、部门概况</w:t>
      </w:r>
    </w:p>
    <w:p>
      <w:pPr>
        <w:spacing w:line="360" w:lineRule="auto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（一）机构设置及职责工作任务情况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通州区市场监督管理局是负责本区市场综合监督管理、市场主体统一登记注册、组织和指导本区市场监管综合执法工作、统筹推进竞争政策实施、监督管理本区市场秩序、特种设备安全监察、食品药品安全监督管理综合协调、食品安全监督管理等职责的工作部门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kern w:val="32"/>
          <w:sz w:val="32"/>
        </w:rPr>
      </w:pPr>
      <w:r>
        <w:rPr>
          <w:rFonts w:hint="eastAsia" w:ascii="仿宋_GB2312" w:eastAsia="仿宋_GB2312"/>
          <w:kern w:val="32"/>
          <w:sz w:val="32"/>
        </w:rPr>
        <w:t>设置33个科室，分别为办公室、研究室、法制科、执法协作科、登记注册科、市场监督管理一科、市场监督管理二科、企业信用建设与管理科、广告监督管理科、网络交易监督管理科、消费者权益保护科、知识产权科、公平竞争科（规范直销与打击传销工作办公室）、产品质量安全监督管理科、特种设备安全监察科、计量监督科、标准化科、食品药品安全协调科（区食药安委办秘书科）、食品生产安全监督管理科、食品流通安全监督管理科、食品市场安全监督管理科、餐饮服务安全监督管理科、特殊食品安全监督管理科、应急管理科（食品安全抽检监测科）、质量发展科、药品监督管理科、医疗器械监督管理科、化妆品监督管理科、宣传科、科技与财务审计科、人事教育科、党建工作科（小微企业个体工商户专业市场党建工作办公室）、机关党委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kern w:val="32"/>
          <w:sz w:val="32"/>
        </w:rPr>
      </w:pPr>
      <w:r>
        <w:rPr>
          <w:rFonts w:hint="eastAsia" w:ascii="仿宋_GB2312" w:eastAsia="仿宋_GB2312"/>
          <w:kern w:val="32"/>
          <w:sz w:val="32"/>
        </w:rPr>
        <w:t>下辖6家非独立预算事业单位：许可事务中心、综合服务中心、投诉举报事务中心、知识产权服务中心、北京市通州区消费者协会、北京市通州区私营个体经济指导服务中心。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kern w:val="32"/>
          <w:sz w:val="32"/>
        </w:rPr>
      </w:pPr>
      <w:r>
        <w:rPr>
          <w:rFonts w:hint="eastAsia" w:ascii="仿宋_GB2312" w:eastAsia="仿宋_GB2312"/>
          <w:kern w:val="32"/>
          <w:sz w:val="32"/>
        </w:rPr>
        <w:t>下辖1家副处级行政执法机构：北京市通州区市场监管综合执法大队。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kern w:val="32"/>
          <w:sz w:val="32"/>
        </w:rPr>
      </w:pPr>
      <w:r>
        <w:rPr>
          <w:rFonts w:hint="eastAsia" w:ascii="仿宋_GB2312" w:eastAsia="仿宋_GB2312"/>
          <w:kern w:val="32"/>
          <w:sz w:val="32"/>
        </w:rPr>
        <w:t>下辖1家副处级派出机构：北京市通州区市场监督管理局文化旅游区分局。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kern w:val="32"/>
          <w:sz w:val="32"/>
        </w:rPr>
      </w:pPr>
      <w:r>
        <w:rPr>
          <w:rFonts w:hint="eastAsia" w:ascii="仿宋_GB2312" w:eastAsia="仿宋_GB2312"/>
          <w:kern w:val="32"/>
          <w:sz w:val="32"/>
        </w:rPr>
        <w:t>下辖21个市场监督管理所。</w:t>
      </w:r>
    </w:p>
    <w:p>
      <w:pPr>
        <w:pStyle w:val="5"/>
        <w:spacing w:line="360" w:lineRule="auto"/>
        <w:ind w:firstLine="640"/>
        <w:rPr>
          <w:rFonts w:hint="eastAsia" w:ascii="仿宋_GB2312" w:eastAsia="仿宋_GB2312"/>
          <w:kern w:val="32"/>
          <w:sz w:val="32"/>
        </w:rPr>
      </w:pPr>
      <w:r>
        <w:rPr>
          <w:rFonts w:hint="eastAsia" w:ascii="仿宋_GB2312" w:eastAsia="仿宋_GB2312"/>
          <w:kern w:val="32"/>
          <w:sz w:val="32"/>
        </w:rPr>
        <w:t>下辖3家全额拨款事业单位：北京市通州区食品药品安全监控中心、北京市通州区特种设备检测所、北京市通州区计量检测所。</w:t>
      </w:r>
    </w:p>
    <w:p>
      <w:pPr>
        <w:spacing w:line="360" w:lineRule="auto"/>
        <w:ind w:firstLine="480" w:firstLineChars="1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（二）部门整体绩效目标设立情况</w:t>
      </w:r>
    </w:p>
    <w:p>
      <w:pPr>
        <w:spacing w:line="360" w:lineRule="auto"/>
        <w:ind w:firstLine="480" w:firstLineChars="150"/>
        <w:rPr>
          <w:rFonts w:hint="eastAsia" w:ascii="仿宋_GB2312" w:eastAsia="仿宋_GB2312"/>
          <w:kern w:val="32"/>
          <w:sz w:val="32"/>
        </w:rPr>
      </w:pPr>
      <w:r>
        <w:rPr>
          <w:rFonts w:hint="eastAsia" w:ascii="仿宋_GB2312" w:eastAsia="仿宋_GB2312"/>
          <w:kern w:val="32"/>
          <w:sz w:val="32"/>
        </w:rPr>
        <w:t>北京市通州区市场监督管理局根据区委区政府有关工作要求，围绕城市副中心建设和市场监管重点工作，致力于提升执法效率与服务质量，全力推进通州区市场监管事业高质量发展。</w:t>
      </w:r>
    </w:p>
    <w:p>
      <w:pPr>
        <w:spacing w:line="360" w:lineRule="auto"/>
        <w:ind w:firstLine="480" w:firstLineChars="150"/>
        <w:rPr>
          <w:rFonts w:hint="eastAsia" w:ascii="仿宋_GB2312" w:eastAsia="仿宋_GB2312"/>
          <w:kern w:val="32"/>
          <w:sz w:val="32"/>
        </w:rPr>
      </w:pPr>
      <w:r>
        <w:rPr>
          <w:rFonts w:hint="eastAsia" w:ascii="仿宋_GB2312" w:eastAsia="仿宋_GB2312"/>
          <w:kern w:val="32"/>
          <w:sz w:val="32"/>
        </w:rPr>
        <w:t>我局设立的绩效目标与职责任务高度匹配。如在加强食品安全监管方面，将抽检次数、乡镇街道覆盖率等作为绩效目标，这与我局食品安全监管职责直接相关。</w:t>
      </w:r>
    </w:p>
    <w:p>
      <w:pPr>
        <w:spacing w:line="360" w:lineRule="auto"/>
        <w:ind w:firstLine="480" w:firstLineChars="150"/>
        <w:rPr>
          <w:rFonts w:hint="eastAsia" w:ascii="仿宋_GB2312" w:eastAsia="仿宋_GB2312"/>
          <w:kern w:val="32"/>
          <w:sz w:val="32"/>
        </w:rPr>
      </w:pPr>
      <w:r>
        <w:rPr>
          <w:rFonts w:hint="eastAsia" w:ascii="仿宋_GB2312" w:eastAsia="仿宋_GB2312"/>
          <w:kern w:val="32"/>
          <w:sz w:val="32"/>
        </w:rPr>
        <w:t>整体绩效目标具有较高的合理性。目标既具有一定的挑战性，又切实可行。如在提高执法办案质量方面，设定了行政复议有责撤销、行政诉讼有责败诉案件总数≤5的目标，这需要部门通过加强执法过程监督，提高执法人员业务水平等措施来实现，具有一定难度，但通过努力是可以达成的。</w:t>
      </w:r>
    </w:p>
    <w:p>
      <w:pPr>
        <w:spacing w:line="360" w:lineRule="auto"/>
        <w:ind w:firstLine="480" w:firstLineChars="15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当年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预算执行情况</w:t>
      </w:r>
    </w:p>
    <w:p>
      <w:pPr>
        <w:spacing w:line="360" w:lineRule="auto"/>
        <w:ind w:firstLine="480" w:firstLineChars="15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2024年</w:t>
      </w:r>
      <w:r>
        <w:rPr>
          <w:rFonts w:ascii="仿宋_GB2312" w:hAnsi="宋体" w:eastAsia="仿宋_GB2312" w:cs="宋体"/>
          <w:kern w:val="0"/>
          <w:sz w:val="32"/>
          <w:szCs w:val="32"/>
        </w:rPr>
        <w:t>全年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预算数</w:t>
      </w:r>
      <w:r>
        <w:rPr>
          <w:rFonts w:hint="eastAsia" w:ascii="仿宋_GB2312" w:eastAsia="仿宋_GB2312"/>
          <w:sz w:val="32"/>
          <w:szCs w:val="32"/>
        </w:rPr>
        <w:t>26778.65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  <w:r>
        <w:rPr>
          <w:rFonts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其中</w:t>
      </w:r>
      <w:r>
        <w:rPr>
          <w:rFonts w:ascii="仿宋_GB2312" w:hAnsi="宋体" w:eastAsia="仿宋_GB2312" w:cs="宋体"/>
          <w:kern w:val="0"/>
          <w:sz w:val="32"/>
          <w:szCs w:val="32"/>
        </w:rPr>
        <w:t>，基本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支出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</w:t>
      </w:r>
      <w:r>
        <w:rPr>
          <w:rFonts w:hint="eastAsia" w:ascii="仿宋_GB2312" w:eastAsia="仿宋_GB2312"/>
          <w:sz w:val="32"/>
          <w:szCs w:val="32"/>
        </w:rPr>
        <w:t>22464.55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项目支出预算数</w:t>
      </w:r>
      <w:r>
        <w:rPr>
          <w:rFonts w:hint="eastAsia" w:ascii="仿宋_GB2312" w:eastAsia="仿宋_GB2312"/>
          <w:sz w:val="32"/>
          <w:szCs w:val="32"/>
        </w:rPr>
        <w:t>4314.1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万元，其他支出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预算数0</w:t>
      </w:r>
      <w:r>
        <w:rPr>
          <w:rFonts w:ascii="仿宋_GB2312" w:hAnsi="宋体" w:eastAsia="仿宋_GB2312" w:cs="宋体"/>
          <w:kern w:val="0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  <w:r>
        <w:rPr>
          <w:rFonts w:ascii="仿宋_GB2312" w:hAnsi="宋体" w:eastAsia="仿宋_GB2312" w:cs="宋体"/>
          <w:kern w:val="0"/>
          <w:sz w:val="32"/>
          <w:szCs w:val="32"/>
        </w:rPr>
        <w:t>资金总体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支出</w:t>
      </w:r>
      <w:r>
        <w:rPr>
          <w:rFonts w:hint="eastAsia" w:ascii="仿宋_GB2312" w:eastAsia="仿宋_GB2312"/>
          <w:sz w:val="32"/>
          <w:szCs w:val="32"/>
        </w:rPr>
        <w:t>26778.65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万元，其中，基本支出</w:t>
      </w:r>
      <w:r>
        <w:rPr>
          <w:rFonts w:hint="eastAsia" w:ascii="仿宋_GB2312" w:eastAsia="仿宋_GB2312"/>
          <w:sz w:val="32"/>
          <w:szCs w:val="32"/>
        </w:rPr>
        <w:t>22464.55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万元，项目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支出</w:t>
      </w:r>
      <w:r>
        <w:rPr>
          <w:rFonts w:hint="eastAsia" w:ascii="仿宋_GB2312" w:eastAsia="仿宋_GB2312"/>
          <w:sz w:val="32"/>
          <w:szCs w:val="32"/>
        </w:rPr>
        <w:t>4314.1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万元，其他支出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</w:t>
      </w:r>
      <w:r>
        <w:rPr>
          <w:rFonts w:ascii="仿宋_GB2312" w:hAnsi="宋体" w:eastAsia="仿宋_GB2312" w:cs="宋体"/>
          <w:kern w:val="0"/>
          <w:sz w:val="32"/>
          <w:szCs w:val="32"/>
        </w:rPr>
        <w:t>万元。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预算</w:t>
      </w:r>
      <w:r>
        <w:rPr>
          <w:rFonts w:ascii="仿宋_GB2312" w:hAnsi="宋体" w:eastAsia="仿宋_GB2312" w:cs="宋体"/>
          <w:kern w:val="0"/>
          <w:sz w:val="32"/>
          <w:szCs w:val="32"/>
        </w:rPr>
        <w:t>执行率为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100%。</w:t>
      </w:r>
    </w:p>
    <w:p>
      <w:pPr>
        <w:spacing w:line="360" w:lineRule="auto"/>
        <w:ind w:firstLine="480" w:firstLineChars="15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三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、整体绩效目标实现情况</w:t>
      </w:r>
    </w:p>
    <w:p>
      <w:pPr>
        <w:spacing w:line="360" w:lineRule="auto"/>
        <w:ind w:firstLine="480" w:firstLineChars="15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（一）产出完成情况分析</w:t>
      </w:r>
    </w:p>
    <w:p>
      <w:pPr>
        <w:spacing w:line="360" w:lineRule="auto"/>
        <w:ind w:firstLine="480" w:firstLineChars="15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1.产出数量</w:t>
      </w:r>
    </w:p>
    <w:p>
      <w:pPr>
        <w:spacing w:line="360" w:lineRule="auto"/>
        <w:ind w:firstLine="480" w:firstLineChars="15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健全完善知识产权工作机制，完成专利预审备案审核297家、专利预审案件363件，受理商标服务申请1685件，开展知识产权咨询服务10385件次。</w:t>
      </w:r>
    </w:p>
    <w:p>
      <w:pPr>
        <w:spacing w:line="360" w:lineRule="auto"/>
        <w:ind w:firstLine="480" w:firstLineChars="15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大力解决接诉即办和退费纠纷，平均每日受理录入审核152件，平均每日编制报表1.03件；全年承办12345退费类工单27052件。</w:t>
      </w:r>
    </w:p>
    <w:p>
      <w:pPr>
        <w:spacing w:line="360" w:lineRule="auto"/>
        <w:ind w:firstLine="480" w:firstLineChars="15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加大综合执法力度，</w:t>
      </w:r>
      <w:r>
        <w:rPr>
          <w:rFonts w:hint="eastAsia" w:ascii="仿宋_GB2312" w:hAnsi="仿宋_GB2312" w:eastAsia="仿宋_GB2312" w:cs="仿宋_GB2312"/>
          <w:sz w:val="32"/>
          <w:szCs w:val="32"/>
        </w:rPr>
        <w:t>大力查处市场领域各类违法行为，全局共办理案件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3957件；加强普法宣传，制作“双打”宣传品10350件，宣传册6500册。</w:t>
      </w:r>
    </w:p>
    <w:p>
      <w:pPr>
        <w:spacing w:line="360" w:lineRule="auto"/>
        <w:ind w:firstLine="480" w:firstLineChars="15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加强产品质量和食品药品安全监管，完成产品质量抽检12种类别、18批次；完成药品抽检260批次；完成化妆品抽检70批次；完成食品监督抽检6500批次。</w:t>
      </w:r>
    </w:p>
    <w:p>
      <w:pPr>
        <w:spacing w:line="360" w:lineRule="auto"/>
        <w:ind w:firstLine="480" w:firstLineChars="15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强化特种设备安全监察和计量器具检定，完成特种设备检测检验20883.87个（台、套、件、辆、米），专用设备维保、检测91台/套；完成计量器具检定强检39797台件，计量汽车衡65台件。</w:t>
      </w:r>
    </w:p>
    <w:p>
      <w:pPr>
        <w:spacing w:line="360" w:lineRule="auto"/>
        <w:ind w:firstLine="480" w:firstLineChars="15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2.产出</w:t>
      </w:r>
      <w:r>
        <w:rPr>
          <w:rFonts w:ascii="仿宋_GB2312" w:hAnsi="仿宋" w:eastAsia="仿宋_GB2312" w:cs="仿宋"/>
          <w:sz w:val="32"/>
          <w:szCs w:val="32"/>
        </w:rPr>
        <w:t>质量</w:t>
      </w:r>
    </w:p>
    <w:p>
      <w:pPr>
        <w:spacing w:line="360" w:lineRule="auto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坚持依法行政，改革创新，大力提升区域内经营主体发展质量，促进</w:t>
      </w:r>
      <w:r>
        <w:rPr>
          <w:rFonts w:hint="eastAsia" w:ascii="仿宋_GB2312" w:hAnsi="仿宋" w:eastAsia="仿宋_GB2312" w:cs="仿宋"/>
          <w:sz w:val="32"/>
          <w:szCs w:val="32"/>
        </w:rPr>
        <w:t>接诉即办</w:t>
      </w:r>
      <w:r>
        <w:rPr>
          <w:rFonts w:hint="eastAsia" w:ascii="仿宋_GB2312" w:hAnsi="仿宋_GB2312" w:eastAsia="仿宋_GB2312" w:cs="仿宋_GB2312"/>
          <w:sz w:val="32"/>
          <w:szCs w:val="32"/>
        </w:rPr>
        <w:t>高效办理，</w:t>
      </w:r>
      <w:r>
        <w:rPr>
          <w:rFonts w:hint="eastAsia" w:ascii="仿宋_GB2312" w:hAnsi="仿宋" w:eastAsia="仿宋_GB2312" w:cs="仿宋"/>
          <w:sz w:val="32"/>
          <w:szCs w:val="32"/>
        </w:rPr>
        <w:t>全面强化知识产权保护，按时安质完成各类抽检任务，</w:t>
      </w:r>
      <w:r>
        <w:rPr>
          <w:rFonts w:hint="eastAsia" w:ascii="仿宋_GB2312" w:hAnsi="仿宋_GB2312" w:eastAsia="仿宋_GB2312" w:cs="仿宋_GB2312"/>
          <w:sz w:val="32"/>
          <w:szCs w:val="40"/>
        </w:rPr>
        <w:t>完善行政执法监督工作体系，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促进依法行政水平持续提升，</w:t>
      </w:r>
      <w:r>
        <w:rPr>
          <w:rFonts w:hint="eastAsia" w:ascii="仿宋_GB2312" w:hAnsi="仿宋" w:eastAsia="仿宋_GB2312" w:cs="仿宋"/>
          <w:sz w:val="32"/>
          <w:szCs w:val="32"/>
        </w:rPr>
        <w:t>发现问题立案率100%，无行政诉讼败诉案件。</w:t>
      </w:r>
    </w:p>
    <w:p>
      <w:pPr>
        <w:spacing w:line="360" w:lineRule="auto"/>
        <w:ind w:firstLine="480" w:firstLineChars="15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3.产出</w:t>
      </w:r>
      <w:r>
        <w:rPr>
          <w:rFonts w:ascii="仿宋_GB2312" w:hAnsi="仿宋" w:eastAsia="仿宋_GB2312" w:cs="仿宋"/>
          <w:sz w:val="32"/>
          <w:szCs w:val="32"/>
        </w:rPr>
        <w:t>进度</w:t>
      </w:r>
    </w:p>
    <w:p>
      <w:pPr>
        <w:spacing w:line="360" w:lineRule="auto"/>
        <w:ind w:firstLine="480" w:firstLineChars="15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在规定时间内完成服务内容。</w:t>
      </w:r>
    </w:p>
    <w:p>
      <w:pPr>
        <w:spacing w:line="360" w:lineRule="auto"/>
        <w:ind w:firstLine="480" w:firstLineChars="15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4.</w:t>
      </w:r>
      <w:r>
        <w:rPr>
          <w:rFonts w:hint="eastAsia" w:ascii="仿宋_GB2312" w:hAnsi="仿宋" w:eastAsia="仿宋_GB2312" w:cs="仿宋"/>
          <w:sz w:val="32"/>
          <w:szCs w:val="32"/>
        </w:rPr>
        <w:t>产出</w:t>
      </w:r>
      <w:r>
        <w:rPr>
          <w:rFonts w:ascii="仿宋_GB2312" w:hAnsi="仿宋" w:eastAsia="仿宋_GB2312" w:cs="仿宋"/>
          <w:sz w:val="32"/>
          <w:szCs w:val="32"/>
        </w:rPr>
        <w:t>成本</w:t>
      </w:r>
    </w:p>
    <w:p>
      <w:pPr>
        <w:spacing w:line="360" w:lineRule="auto"/>
        <w:ind w:firstLine="480" w:firstLineChars="150"/>
      </w:pPr>
      <w:r>
        <w:rPr>
          <w:rFonts w:hint="eastAsia" w:ascii="仿宋_GB2312" w:hAnsi="仿宋" w:eastAsia="仿宋_GB2312" w:cs="仿宋"/>
          <w:sz w:val="32"/>
          <w:szCs w:val="32"/>
        </w:rPr>
        <w:t>严格按照标准列支，支出不超出预算批复金额。</w:t>
      </w:r>
    </w:p>
    <w:p>
      <w:pPr>
        <w:spacing w:line="360" w:lineRule="auto"/>
        <w:ind w:firstLine="480" w:firstLineChars="15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（二）效果</w:t>
      </w:r>
      <w:r>
        <w:rPr>
          <w:rFonts w:ascii="楷体_GB2312" w:eastAsia="楷体_GB2312"/>
          <w:sz w:val="32"/>
          <w:szCs w:val="32"/>
        </w:rPr>
        <w:t>实现情况分析</w:t>
      </w:r>
    </w:p>
    <w:p>
      <w:pPr>
        <w:spacing w:line="360" w:lineRule="auto"/>
        <w:ind w:firstLine="480" w:firstLineChars="15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1.经济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效益</w:t>
      </w:r>
    </w:p>
    <w:p>
      <w:pPr>
        <w:spacing w:line="360" w:lineRule="auto"/>
        <w:ind w:firstLine="480" w:firstLineChars="15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无</w:t>
      </w:r>
    </w:p>
    <w:p>
      <w:pPr>
        <w:spacing w:line="360" w:lineRule="auto"/>
        <w:ind w:firstLine="480" w:firstLineChars="15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2.社会效益</w:t>
      </w:r>
    </w:p>
    <w:p>
      <w:pPr>
        <w:spacing w:line="360" w:lineRule="auto"/>
        <w:ind w:firstLine="480" w:firstLineChars="15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通过项目实施，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满足人民群众的需求，解决市场秩序的各类突出问题；及时发现和控制药品安全危害与风险，保障辖区药品质量安全；强化“退费纠纷”处置力度，至2024年底，累计为市民协调退费2700余万元，工作取得良好社会效应，得到群众的认可；</w:t>
      </w:r>
      <w:r>
        <w:rPr>
          <w:rFonts w:hint="eastAsia" w:ascii="仿宋_GB2312" w:hAnsi="仿宋" w:eastAsia="仿宋_GB2312" w:cs="仿宋"/>
          <w:sz w:val="32"/>
          <w:szCs w:val="32"/>
        </w:rPr>
        <w:t>维护了良好的市场秩序和营商环境，间接促进了区域经济的发展。</w:t>
      </w:r>
    </w:p>
    <w:p>
      <w:pPr>
        <w:spacing w:line="360" w:lineRule="auto"/>
        <w:ind w:firstLine="480" w:firstLineChars="15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3.环境效益</w:t>
      </w:r>
    </w:p>
    <w:p>
      <w:pPr>
        <w:spacing w:line="360" w:lineRule="auto"/>
        <w:ind w:firstLine="480" w:firstLineChars="15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无</w:t>
      </w:r>
    </w:p>
    <w:p>
      <w:pPr>
        <w:spacing w:line="360" w:lineRule="auto"/>
        <w:ind w:firstLine="480" w:firstLineChars="15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4.可持续</w:t>
      </w:r>
      <w:r>
        <w:rPr>
          <w:rFonts w:ascii="仿宋_GB2312" w:hAnsi="宋体" w:eastAsia="仿宋_GB2312" w:cs="宋体"/>
          <w:kern w:val="0"/>
          <w:sz w:val="32"/>
          <w:szCs w:val="32"/>
        </w:rPr>
        <w:t>性影响</w:t>
      </w:r>
    </w:p>
    <w:p>
      <w:pPr>
        <w:spacing w:line="360" w:lineRule="auto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立健全市场监管制度和长效机制，如优化审批服务，发布全国首套中英文双语版《外商投资公司登记注册办理指南》，数字服务平台（e窗通2.0）全面升级，线下实行“一窗受理”，线上实现“一网通办”，不断优化服务利企便民。印发《通州区国家知识产权强市建设试点城市工作方案》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实行</w:t>
      </w:r>
      <w:r>
        <w:rPr>
          <w:rFonts w:hint="eastAsia" w:ascii="仿宋_GB2312" w:hAnsi="仿宋_GB2312" w:eastAsia="仿宋_GB2312" w:cs="仿宋_GB2312"/>
          <w:sz w:val="32"/>
          <w:szCs w:val="32"/>
        </w:rPr>
        <w:t>知识产权全链条保护。出台《2024年通州区公平竞争审查工作要求》《通州区重大政策措施公平竞争审查会审工作暂行办法》，开展公平竞争宣传周系列活动，持续营造诚信经营、公平竞争的良好氛围。出台《投诉举报处置工作规范》《关于“12345”工单办理流程的工作指导》等制度机制，长效推动投诉举报处理全流程标准化规范化提升。</w:t>
      </w:r>
    </w:p>
    <w:p>
      <w:pPr>
        <w:spacing w:line="360" w:lineRule="auto"/>
        <w:ind w:firstLine="480" w:firstLineChars="15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5.服务对象</w:t>
      </w:r>
      <w:r>
        <w:rPr>
          <w:rFonts w:ascii="仿宋_GB2312" w:hAnsi="仿宋" w:eastAsia="仿宋_GB2312" w:cs="仿宋"/>
          <w:sz w:val="32"/>
          <w:szCs w:val="32"/>
        </w:rPr>
        <w:t>满意度</w:t>
      </w:r>
    </w:p>
    <w:p>
      <w:pPr>
        <w:spacing w:line="360" w:lineRule="auto"/>
        <w:ind w:firstLine="480" w:firstLineChars="15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2024年北京市通州区市场监督管理局</w:t>
      </w: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  <w:t>接诉即办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综合得分</w:t>
      </w:r>
      <w:r>
        <w:rPr>
          <w:rFonts w:hint="eastAsia" w:ascii="仿宋_GB2312" w:eastAsia="仿宋_GB2312" w:cs="仿宋_GB2312"/>
          <w:bCs/>
          <w:sz w:val="32"/>
          <w:szCs w:val="32"/>
        </w:rPr>
        <w:t>99.65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分，高于去年平均分</w:t>
      </w:r>
      <w:r>
        <w:rPr>
          <w:rFonts w:hint="eastAsia" w:ascii="仿宋_GB2312" w:eastAsia="仿宋_GB2312" w:cs="仿宋_GB2312"/>
          <w:bCs/>
          <w:sz w:val="32"/>
          <w:szCs w:val="32"/>
        </w:rPr>
        <w:t>0.87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分，比通州区平均成绩高2.68分，11个月行业考评满分。2024年消费者满意度达到83.22%。</w:t>
      </w:r>
      <w:r>
        <w:rPr>
          <w:rFonts w:hint="eastAsia" w:ascii="仿宋_GB2312" w:hAnsi="仿宋" w:eastAsia="仿宋_GB2312" w:cs="仿宋"/>
          <w:sz w:val="32"/>
          <w:szCs w:val="32"/>
        </w:rPr>
        <w:t>创建国家食品安全示范城市通过北京市初评，群众食品安全满意度90.61分。</w:t>
      </w:r>
    </w:p>
    <w:p>
      <w:pPr>
        <w:spacing w:line="360" w:lineRule="auto"/>
        <w:ind w:firstLine="480" w:firstLineChars="15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四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、预算管理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情况分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析</w:t>
      </w:r>
    </w:p>
    <w:p>
      <w:pPr>
        <w:spacing w:line="360" w:lineRule="auto"/>
        <w:ind w:firstLine="480" w:firstLineChars="15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（一）财务管理</w:t>
      </w:r>
    </w:p>
    <w:p>
      <w:pPr>
        <w:spacing w:line="360" w:lineRule="auto"/>
        <w:ind w:firstLine="480" w:firstLineChars="15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1.财务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管理制度健全性</w:t>
      </w:r>
    </w:p>
    <w:p>
      <w:pPr>
        <w:spacing w:line="360" w:lineRule="auto"/>
        <w:ind w:firstLine="480" w:firstLineChars="15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制定了《资金支付管理办法》等内部控制制度，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涵盖预算编制、预算执行、资金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支付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、资产管理、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政府采购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等各个方面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明确了财务工作的流程和规范，确保财务工作有章可循。</w:t>
      </w:r>
    </w:p>
    <w:p>
      <w:pPr>
        <w:spacing w:line="360" w:lineRule="auto"/>
        <w:ind w:firstLine="480" w:firstLineChars="15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2.资金使用合规性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和安全性</w:t>
      </w:r>
    </w:p>
    <w:p>
      <w:pPr>
        <w:spacing w:line="360" w:lineRule="auto"/>
        <w:ind w:firstLine="480" w:firstLineChars="15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在资金使用过程中，严格遵守国家法律法规和财务管理制度的规定，确保资金使用合规合法。</w:t>
      </w:r>
    </w:p>
    <w:p>
      <w:pPr>
        <w:spacing w:line="360" w:lineRule="auto"/>
        <w:ind w:firstLine="480" w:firstLineChars="15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会计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基础信息完善性</w:t>
      </w:r>
    </w:p>
    <w:p>
      <w:pPr>
        <w:spacing w:line="360" w:lineRule="auto"/>
        <w:ind w:firstLine="480" w:firstLineChars="15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会计核算规范，账目清晰，财务报表编制及时、准确、完整，会计基础信息真实可靠。</w:t>
      </w:r>
    </w:p>
    <w:p>
      <w:pPr>
        <w:spacing w:line="360" w:lineRule="auto"/>
        <w:ind w:firstLine="480" w:firstLineChars="1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（二）资产管理</w:t>
      </w:r>
    </w:p>
    <w:p>
      <w:pPr>
        <w:spacing w:line="360" w:lineRule="auto"/>
        <w:ind w:firstLine="480" w:firstLineChars="150"/>
        <w:rPr>
          <w:rFonts w:ascii="楷体_GB2312" w:eastAsia="楷体_GB2312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为了进一步规范实物资产管理，提高实物资产的使用效益，避免资产流失，区市场监管局制定了《固定资产管理办法（试行）》，明确了资产配置、保管、领用、调拨、处置、清查的方式。购置资产按财政申请采购指标，达到政府采购标准按政采流程执行采购，日常办公用品由综合服务中心负责领用登记和保管，其他固定资产由需求部门使用保管，严格领用手续，做好登记，待报废固定资产按处置流程做好评估并报区财政审批。2024年区市场监管局报废处置固定资产510件，</w:t>
      </w:r>
      <w:r>
        <w:rPr>
          <w:rFonts w:hint="eastAsia" w:ascii="仿宋_GB2312" w:hAnsi="仿宋_GB2312" w:eastAsia="仿宋_GB2312" w:cs="仿宋_GB2312"/>
          <w:sz w:val="32"/>
          <w:szCs w:val="32"/>
        </w:rPr>
        <w:t>账面原值627.63万元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</w:p>
    <w:p>
      <w:pPr>
        <w:spacing w:line="360" w:lineRule="auto"/>
        <w:ind w:firstLine="480" w:firstLineChars="1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（三）绩效</w:t>
      </w:r>
      <w:r>
        <w:rPr>
          <w:rFonts w:ascii="楷体_GB2312" w:eastAsia="楷体_GB2312"/>
          <w:sz w:val="32"/>
          <w:szCs w:val="32"/>
        </w:rPr>
        <w:t>管理</w:t>
      </w:r>
    </w:p>
    <w:p>
      <w:pPr>
        <w:spacing w:line="360" w:lineRule="auto"/>
        <w:ind w:firstLine="480" w:firstLineChars="150"/>
        <w:rPr>
          <w:rFonts w:ascii="楷体_GB2312" w:eastAsia="楷体_GB2312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为了加强预算绩效管理，强化支出责任，建立科学、合理的财政支出绩效监控机制，提高财政支出的使用效益，区市场监管局建立了科学合理的绩效管理制度，将绩效目标层层分解到各部门和岗位，明确了具体的考核标准和奖惩措施。绩效管理的牵头部门为科技与财务审计科，配合财政部门开展事前绩效评估工作，组织开展绩效自评工作，并配合区财政部门开展财政绩效评价工作；执行过程中严格按预期的绩效目标组织项目实施；有条件的情况下会聘请有资质的第三方中介协助参与绩效自评工作。依据绩效目标，按照统一的评价标准和原则，对预算支出效果和管理情况进行客观公正的衡量比较和综合评价。</w:t>
      </w:r>
    </w:p>
    <w:p>
      <w:pPr>
        <w:spacing w:line="360" w:lineRule="auto"/>
        <w:ind w:firstLine="480" w:firstLineChars="1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（四）结转结余率</w:t>
      </w:r>
    </w:p>
    <w:p>
      <w:pPr>
        <w:spacing w:line="360" w:lineRule="auto"/>
        <w:ind w:firstLine="480" w:firstLineChars="15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结转结余资金为0万元，结转结余率为0%。</w:t>
      </w:r>
    </w:p>
    <w:p>
      <w:pPr>
        <w:spacing w:line="360" w:lineRule="auto"/>
        <w:ind w:firstLine="480" w:firstLineChars="1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（五）部门</w:t>
      </w:r>
      <w:r>
        <w:rPr>
          <w:rFonts w:ascii="楷体_GB2312" w:eastAsia="楷体_GB2312"/>
          <w:sz w:val="32"/>
          <w:szCs w:val="32"/>
        </w:rPr>
        <w:t>预决算差异率</w:t>
      </w:r>
    </w:p>
    <w:p>
      <w:pPr>
        <w:spacing w:line="360" w:lineRule="auto"/>
        <w:ind w:firstLine="480" w:firstLineChars="150"/>
        <w:rPr>
          <w:rFonts w:ascii="楷体_GB2312" w:eastAsia="楷体_GB2312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部门预决算差异率为0%。</w:t>
      </w:r>
    </w:p>
    <w:p>
      <w:pPr>
        <w:spacing w:line="360" w:lineRule="auto"/>
        <w:ind w:firstLine="480" w:firstLineChars="15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五、总体</w:t>
      </w:r>
      <w:r>
        <w:rPr>
          <w:rFonts w:ascii="黑体" w:hAnsi="黑体" w:eastAsia="黑体"/>
          <w:sz w:val="32"/>
          <w:szCs w:val="32"/>
        </w:rPr>
        <w:t>评价结论</w:t>
      </w:r>
    </w:p>
    <w:p>
      <w:pPr>
        <w:spacing w:line="360" w:lineRule="auto"/>
        <w:ind w:firstLine="480" w:firstLineChars="1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（一）评价</w:t>
      </w:r>
      <w:r>
        <w:rPr>
          <w:rFonts w:ascii="楷体_GB2312" w:eastAsia="楷体_GB2312"/>
          <w:sz w:val="32"/>
          <w:szCs w:val="32"/>
        </w:rPr>
        <w:t>得分</w:t>
      </w:r>
      <w:r>
        <w:rPr>
          <w:rFonts w:hint="eastAsia" w:ascii="楷体_GB2312" w:eastAsia="楷体_GB2312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2024年度区市场监督管理局整体支出绩效评价综合得分94分，其中当年预算执行情况20分、整体绩效目标实现情况55分、预算管理情况19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分，绩效评定结论为“优”。具体情况详见下表：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03" w:hanging="103" w:hangingChars="32"/>
        <w:jc w:val="center"/>
        <w:textAlignment w:val="auto"/>
        <w:rPr>
          <w:rFonts w:ascii="楷体_GB2312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部门整体支出绩效评价结论一览表</w:t>
      </w:r>
    </w:p>
    <w:tbl>
      <w:tblPr>
        <w:tblStyle w:val="11"/>
        <w:tblpPr w:leftFromText="180" w:rightFromText="180" w:vertAnchor="text" w:horzAnchor="page" w:tblpX="1704" w:tblpY="326"/>
        <w:tblOverlap w:val="never"/>
        <w:tblW w:w="8485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shd w:val="clear" w:color="auto" w:fill="FFFFFF" w:themeFill="background1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3079"/>
        <w:gridCol w:w="2411"/>
        <w:gridCol w:w="2995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shd w:val="clear" w:color="auto" w:fill="FFFFFF" w:themeFill="background1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0" w:hRule="atLeast"/>
        </w:trPr>
        <w:tc>
          <w:tcPr>
            <w:tcW w:w="3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60"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评价内容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60"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分值</w:t>
            </w:r>
          </w:p>
        </w:tc>
        <w:tc>
          <w:tcPr>
            <w:tcW w:w="2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60"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评价得分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3" w:hRule="atLeast"/>
        </w:trPr>
        <w:tc>
          <w:tcPr>
            <w:tcW w:w="3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60" w:line="560" w:lineRule="exact"/>
              <w:ind w:firstLine="0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当年预算执行情况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20.00</w:t>
            </w:r>
          </w:p>
        </w:tc>
        <w:tc>
          <w:tcPr>
            <w:tcW w:w="2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3" w:hRule="atLeast"/>
        </w:trPr>
        <w:tc>
          <w:tcPr>
            <w:tcW w:w="3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60"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整体绩效目标实现情况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60.00</w:t>
            </w:r>
          </w:p>
        </w:tc>
        <w:tc>
          <w:tcPr>
            <w:tcW w:w="2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55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8" w:hRule="atLeast"/>
        </w:trPr>
        <w:tc>
          <w:tcPr>
            <w:tcW w:w="3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60"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预算管理情况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20.00</w:t>
            </w:r>
          </w:p>
        </w:tc>
        <w:tc>
          <w:tcPr>
            <w:tcW w:w="2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8" w:hRule="atLeast"/>
        </w:trPr>
        <w:tc>
          <w:tcPr>
            <w:tcW w:w="3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60"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综合得分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100.00</w:t>
            </w:r>
          </w:p>
        </w:tc>
        <w:tc>
          <w:tcPr>
            <w:tcW w:w="2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94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98" w:hRule="atLeast"/>
        </w:trPr>
        <w:tc>
          <w:tcPr>
            <w:tcW w:w="3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60"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绩效评定级别</w:t>
            </w:r>
          </w:p>
        </w:tc>
        <w:tc>
          <w:tcPr>
            <w:tcW w:w="54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优</w:t>
            </w:r>
          </w:p>
        </w:tc>
      </w:tr>
    </w:tbl>
    <w:p/>
    <w:p>
      <w:pPr>
        <w:spacing w:line="360" w:lineRule="auto"/>
        <w:ind w:firstLine="480" w:firstLineChars="1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（二）存在的问题及原因分析</w:t>
      </w:r>
    </w:p>
    <w:p>
      <w:pPr>
        <w:pStyle w:val="10"/>
        <w:spacing w:after="0" w:line="360" w:lineRule="auto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1.绩效评价指标有待进一步优化</w:t>
      </w:r>
    </w:p>
    <w:p>
      <w:pPr>
        <w:pStyle w:val="10"/>
        <w:spacing w:after="0"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一是部分绩效评价指标设置与实际工作结合不够紧密，未能全面、准确地反映工作的实际成效。二是对于一些创新性工作的评价指标不够细化，难以准确衡量其价值和影响。</w:t>
      </w:r>
    </w:p>
    <w:p>
      <w:pPr>
        <w:pStyle w:val="10"/>
        <w:spacing w:after="0" w:line="360" w:lineRule="auto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2.部分项目预算执行进度较慢</w:t>
      </w:r>
    </w:p>
    <w:p>
      <w:pPr>
        <w:pStyle w:val="10"/>
        <w:spacing w:after="0" w:line="360" w:lineRule="auto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部分项目由于资金下达较晚、前期准备工作不充分、招标流程耗时较长等原因，导致项目启动延迟，资金未能及时支出，使得预算执行进度滞后。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六、措施建议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1.优化绩效评价指标体系，合理反映项目绩效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深入研究各项工作的特点和目标，结合实际情况，进一步细化和完善绩效评价指标。增加对创新性工作的评价指标，注重评价指标的全面性、准确性和可操作性。加强对绩效评价指标的培训和宣传，提高项目责任部门对绩效评价工作的认识和理解，确保绩效评价工作的有效实施。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2.加强对项目全流程把控，确保项目预算执行进度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做好项目前期策划和准备工作，提前完善项目方案，优化招标流程，缩短项目启动时间。建立项目进度跟踪机制，定期对项目进展情况进行检查和督促，及时解决项目实施过程中遇到的问题，确保项目按计划推进，提高预算执行进度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文本框 2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2"/>
  </w:compat>
  <w:rsids>
    <w:rsidRoot w:val="5EDB0B63"/>
    <w:rsid w:val="000000C7"/>
    <w:rsid w:val="00001DC6"/>
    <w:rsid w:val="0000208B"/>
    <w:rsid w:val="00047BA6"/>
    <w:rsid w:val="000541C6"/>
    <w:rsid w:val="000D18E4"/>
    <w:rsid w:val="000D3804"/>
    <w:rsid w:val="000E7C87"/>
    <w:rsid w:val="000F7CA0"/>
    <w:rsid w:val="00110FD8"/>
    <w:rsid w:val="0013034D"/>
    <w:rsid w:val="001439BF"/>
    <w:rsid w:val="001741E4"/>
    <w:rsid w:val="00175BCE"/>
    <w:rsid w:val="001905F6"/>
    <w:rsid w:val="001C29B9"/>
    <w:rsid w:val="001D176C"/>
    <w:rsid w:val="001D5AAB"/>
    <w:rsid w:val="001D7A73"/>
    <w:rsid w:val="001E2CCB"/>
    <w:rsid w:val="001E6CF5"/>
    <w:rsid w:val="001F7630"/>
    <w:rsid w:val="00211A89"/>
    <w:rsid w:val="0022110E"/>
    <w:rsid w:val="00224A1C"/>
    <w:rsid w:val="00230736"/>
    <w:rsid w:val="00247454"/>
    <w:rsid w:val="00256E97"/>
    <w:rsid w:val="002572C4"/>
    <w:rsid w:val="0027055E"/>
    <w:rsid w:val="0027625D"/>
    <w:rsid w:val="0029799F"/>
    <w:rsid w:val="002B3E77"/>
    <w:rsid w:val="002C7B09"/>
    <w:rsid w:val="002E174B"/>
    <w:rsid w:val="002E1B96"/>
    <w:rsid w:val="002E2A2E"/>
    <w:rsid w:val="002F1385"/>
    <w:rsid w:val="00312946"/>
    <w:rsid w:val="00345240"/>
    <w:rsid w:val="00355141"/>
    <w:rsid w:val="00357F6D"/>
    <w:rsid w:val="003611E4"/>
    <w:rsid w:val="00377FAE"/>
    <w:rsid w:val="003A1C0C"/>
    <w:rsid w:val="003A4F47"/>
    <w:rsid w:val="003B0098"/>
    <w:rsid w:val="003B1CB4"/>
    <w:rsid w:val="003C397B"/>
    <w:rsid w:val="003D0357"/>
    <w:rsid w:val="00437499"/>
    <w:rsid w:val="0044549A"/>
    <w:rsid w:val="004524E0"/>
    <w:rsid w:val="004D369F"/>
    <w:rsid w:val="005051CF"/>
    <w:rsid w:val="0051549C"/>
    <w:rsid w:val="00525037"/>
    <w:rsid w:val="00542E5A"/>
    <w:rsid w:val="00553AC3"/>
    <w:rsid w:val="00592B7C"/>
    <w:rsid w:val="005B702E"/>
    <w:rsid w:val="005C1842"/>
    <w:rsid w:val="00603647"/>
    <w:rsid w:val="006048BB"/>
    <w:rsid w:val="00614A00"/>
    <w:rsid w:val="00614EF9"/>
    <w:rsid w:val="00617483"/>
    <w:rsid w:val="006340BC"/>
    <w:rsid w:val="00636890"/>
    <w:rsid w:val="00641CC0"/>
    <w:rsid w:val="00643888"/>
    <w:rsid w:val="00670DD6"/>
    <w:rsid w:val="00673903"/>
    <w:rsid w:val="00693943"/>
    <w:rsid w:val="006B1242"/>
    <w:rsid w:val="006E5F2F"/>
    <w:rsid w:val="0070222E"/>
    <w:rsid w:val="007033DE"/>
    <w:rsid w:val="00704756"/>
    <w:rsid w:val="00731C3E"/>
    <w:rsid w:val="00734899"/>
    <w:rsid w:val="0075686F"/>
    <w:rsid w:val="0079737F"/>
    <w:rsid w:val="007B24F6"/>
    <w:rsid w:val="008136CC"/>
    <w:rsid w:val="00824A84"/>
    <w:rsid w:val="00845720"/>
    <w:rsid w:val="00860FA0"/>
    <w:rsid w:val="00872EFB"/>
    <w:rsid w:val="00873A64"/>
    <w:rsid w:val="008944E6"/>
    <w:rsid w:val="008B1E9F"/>
    <w:rsid w:val="008B21F3"/>
    <w:rsid w:val="008C5A1B"/>
    <w:rsid w:val="008E63B2"/>
    <w:rsid w:val="00923446"/>
    <w:rsid w:val="009245D4"/>
    <w:rsid w:val="00931102"/>
    <w:rsid w:val="00964680"/>
    <w:rsid w:val="009747E4"/>
    <w:rsid w:val="00A17776"/>
    <w:rsid w:val="00A249EC"/>
    <w:rsid w:val="00A335D0"/>
    <w:rsid w:val="00AB5426"/>
    <w:rsid w:val="00AC7DEB"/>
    <w:rsid w:val="00AE41A1"/>
    <w:rsid w:val="00B31416"/>
    <w:rsid w:val="00B4324A"/>
    <w:rsid w:val="00B52D8F"/>
    <w:rsid w:val="00BA3DDB"/>
    <w:rsid w:val="00BB0205"/>
    <w:rsid w:val="00BD7683"/>
    <w:rsid w:val="00BE7EEA"/>
    <w:rsid w:val="00C157CB"/>
    <w:rsid w:val="00C3792B"/>
    <w:rsid w:val="00C466AE"/>
    <w:rsid w:val="00C65C57"/>
    <w:rsid w:val="00C66A3F"/>
    <w:rsid w:val="00C737CF"/>
    <w:rsid w:val="00C752E5"/>
    <w:rsid w:val="00CA0FDE"/>
    <w:rsid w:val="00CA2AFC"/>
    <w:rsid w:val="00D06DA2"/>
    <w:rsid w:val="00D20BD3"/>
    <w:rsid w:val="00D44121"/>
    <w:rsid w:val="00D52F54"/>
    <w:rsid w:val="00D5400D"/>
    <w:rsid w:val="00D736E0"/>
    <w:rsid w:val="00D94C50"/>
    <w:rsid w:val="00DB3E38"/>
    <w:rsid w:val="00DB4217"/>
    <w:rsid w:val="00DE32E0"/>
    <w:rsid w:val="00DE5777"/>
    <w:rsid w:val="00E375BB"/>
    <w:rsid w:val="00E630D9"/>
    <w:rsid w:val="00E6373C"/>
    <w:rsid w:val="00EB1B5B"/>
    <w:rsid w:val="00EC12FD"/>
    <w:rsid w:val="00EC150C"/>
    <w:rsid w:val="00EC4028"/>
    <w:rsid w:val="00F040E4"/>
    <w:rsid w:val="00F6272F"/>
    <w:rsid w:val="00F84B08"/>
    <w:rsid w:val="00FC50DD"/>
    <w:rsid w:val="00FE525B"/>
    <w:rsid w:val="00FE6041"/>
    <w:rsid w:val="00FF48BA"/>
    <w:rsid w:val="01534994"/>
    <w:rsid w:val="0C8165E0"/>
    <w:rsid w:val="1E943882"/>
    <w:rsid w:val="2CBF8107"/>
    <w:rsid w:val="2EB70209"/>
    <w:rsid w:val="30FF2B40"/>
    <w:rsid w:val="35D339CB"/>
    <w:rsid w:val="3FBA6729"/>
    <w:rsid w:val="3FF79B31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szCs w:val="22"/>
    </w:rPr>
  </w:style>
  <w:style w:type="paragraph" w:styleId="3">
    <w:name w:val="Body Text Indent"/>
    <w:basedOn w:val="1"/>
    <w:next w:val="2"/>
    <w:qFormat/>
    <w:uiPriority w:val="99"/>
    <w:pPr>
      <w:spacing w:after="120"/>
      <w:ind w:left="420" w:leftChars="200"/>
    </w:pPr>
  </w:style>
  <w:style w:type="paragraph" w:styleId="5">
    <w:name w:val="Normal Indent"/>
    <w:basedOn w:val="1"/>
    <w:next w:val="1"/>
    <w:qFormat/>
    <w:uiPriority w:val="0"/>
    <w:pPr>
      <w:ind w:firstLine="200" w:firstLineChars="200"/>
    </w:pPr>
  </w:style>
  <w:style w:type="paragraph" w:styleId="6">
    <w:name w:val="Body Text"/>
    <w:basedOn w:val="1"/>
    <w:next w:val="1"/>
    <w:link w:val="20"/>
    <w:qFormat/>
    <w:uiPriority w:val="0"/>
    <w:pPr>
      <w:spacing w:after="140" w:line="276" w:lineRule="auto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0">
    <w:name w:val="Body Text First Indent"/>
    <w:basedOn w:val="6"/>
    <w:link w:val="21"/>
    <w:qFormat/>
    <w:uiPriority w:val="0"/>
    <w:pPr>
      <w:spacing w:after="120" w:line="240" w:lineRule="auto"/>
      <w:ind w:firstLine="420" w:firstLineChars="100"/>
    </w:p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character" w:customStyle="1" w:styleId="14">
    <w:name w:val="font81"/>
    <w:basedOn w:val="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1"/>
    <w:basedOn w:val="12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61"/>
    <w:basedOn w:val="12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7">
    <w:name w:val="font71"/>
    <w:basedOn w:val="12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8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9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20">
    <w:name w:val="正文文本 Char"/>
    <w:basedOn w:val="12"/>
    <w:link w:val="6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1">
    <w:name w:val="正文首行缩进 Char"/>
    <w:basedOn w:val="20"/>
    <w:link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575</Words>
  <Characters>3279</Characters>
  <Lines>27</Lines>
  <Paragraphs>7</Paragraphs>
  <TotalTime>18</TotalTime>
  <ScaleCrop>false</ScaleCrop>
  <LinksUpToDate>false</LinksUpToDate>
  <CharactersWithSpaces>3847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2025-01-08T17:22:00Z</cp:lastPrinted>
  <dcterms:modified xsi:type="dcterms:W3CDTF">2025-10-09T07:45:49Z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