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F49" w:rsidRDefault="00291B7C">
      <w:pPr>
        <w:widowControl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附件3：</w:t>
      </w:r>
    </w:p>
    <w:p w:rsidR="00C92F49" w:rsidRDefault="002929D6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食品安全快速</w:t>
      </w:r>
      <w:r w:rsidR="005C29EC">
        <w:rPr>
          <w:rFonts w:ascii="方正小标宋简体" w:eastAsia="方正小标宋简体" w:hint="eastAsia"/>
          <w:sz w:val="36"/>
          <w:szCs w:val="36"/>
        </w:rPr>
        <w:t>检测</w:t>
      </w:r>
      <w:r w:rsidR="00291B7C">
        <w:rPr>
          <w:rFonts w:ascii="方正小标宋简体" w:eastAsia="方正小标宋简体" w:hint="eastAsia"/>
          <w:sz w:val="36"/>
          <w:szCs w:val="36"/>
        </w:rPr>
        <w:t>项目支出绩效评价报告</w:t>
      </w:r>
    </w:p>
    <w:p w:rsidR="00C92F49" w:rsidRDefault="00291B7C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一、基本情况</w:t>
      </w:r>
    </w:p>
    <w:p w:rsidR="005C29EC" w:rsidRDefault="00291B7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（一）项目概况。</w:t>
      </w:r>
    </w:p>
    <w:p w:rsidR="005C29EC" w:rsidRPr="00EE7187" w:rsidRDefault="005C29EC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 w:rsidRPr="00EE7187">
        <w:rPr>
          <w:rFonts w:ascii="仿宋_GB2312" w:eastAsia="仿宋_GB2312" w:hAnsi="楷体_GB2312" w:cs="楷体_GB2312" w:hint="eastAsia"/>
          <w:sz w:val="32"/>
          <w:szCs w:val="32"/>
        </w:rPr>
        <w:t>按照《北京市通州区市场监督管理局2024年食品安全监测计划》要求，2024</w:t>
      </w:r>
      <w:r w:rsidR="00656EA9" w:rsidRPr="00EE7187">
        <w:rPr>
          <w:rFonts w:ascii="仿宋_GB2312" w:eastAsia="仿宋_GB2312" w:hAnsi="楷体_GB2312" w:cs="楷体_GB2312" w:hint="eastAsia"/>
          <w:sz w:val="32"/>
          <w:szCs w:val="32"/>
        </w:rPr>
        <w:t>年</w:t>
      </w:r>
      <w:r w:rsidRPr="00EE7187">
        <w:rPr>
          <w:rFonts w:ascii="仿宋_GB2312" w:eastAsia="仿宋_GB2312" w:hAnsi="楷体_GB2312" w:cs="楷体_GB2312" w:hint="eastAsia"/>
          <w:sz w:val="32"/>
          <w:szCs w:val="32"/>
        </w:rPr>
        <w:t>开展食品安全抽检监测工作共</w:t>
      </w:r>
      <w:r w:rsidR="002929D6">
        <w:rPr>
          <w:rFonts w:ascii="仿宋_GB2312" w:eastAsia="仿宋_GB2312" w:hAnsi="楷体_GB2312" w:cs="楷体_GB2312"/>
          <w:sz w:val="32"/>
          <w:szCs w:val="32"/>
        </w:rPr>
        <w:t>15</w:t>
      </w:r>
      <w:r w:rsidRPr="00EE7187">
        <w:rPr>
          <w:rFonts w:ascii="仿宋_GB2312" w:eastAsia="仿宋_GB2312" w:hAnsi="楷体_GB2312" w:cs="楷体_GB2312" w:hint="eastAsia"/>
          <w:sz w:val="32"/>
          <w:szCs w:val="32"/>
        </w:rPr>
        <w:t>00批次。</w:t>
      </w:r>
    </w:p>
    <w:p w:rsidR="00C92F49" w:rsidRPr="00EE7187" w:rsidRDefault="00EE7187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 w:rsidRPr="00EE7187">
        <w:rPr>
          <w:rFonts w:ascii="仿宋_GB2312" w:eastAsia="仿宋_GB2312" w:hAnsi="楷体_GB2312" w:cs="楷体_GB2312" w:hint="eastAsia"/>
          <w:sz w:val="32"/>
          <w:szCs w:val="32"/>
        </w:rPr>
        <w:t>该项目</w:t>
      </w:r>
      <w:r w:rsidR="00291B7C" w:rsidRPr="00EE7187">
        <w:rPr>
          <w:rFonts w:ascii="仿宋_GB2312" w:eastAsia="仿宋_GB2312" w:hAnsi="楷体_GB2312" w:cs="楷体_GB2312" w:hint="eastAsia"/>
          <w:sz w:val="32"/>
          <w:szCs w:val="32"/>
        </w:rPr>
        <w:t>年初预算</w:t>
      </w:r>
      <w:r w:rsidR="002929D6">
        <w:rPr>
          <w:rFonts w:ascii="仿宋_GB2312" w:eastAsia="仿宋_GB2312" w:hAnsi="楷体_GB2312" w:cs="楷体_GB2312"/>
          <w:sz w:val="32"/>
          <w:szCs w:val="32"/>
        </w:rPr>
        <w:t>18</w:t>
      </w:r>
      <w:r w:rsidRPr="00EE7187">
        <w:rPr>
          <w:rFonts w:ascii="仿宋_GB2312" w:eastAsia="仿宋_GB2312" w:hAnsi="楷体_GB2312" w:cs="楷体_GB2312" w:hint="eastAsia"/>
          <w:sz w:val="32"/>
          <w:szCs w:val="32"/>
        </w:rPr>
        <w:t>.</w:t>
      </w:r>
      <w:r w:rsidR="002929D6">
        <w:rPr>
          <w:rFonts w:ascii="仿宋_GB2312" w:eastAsia="仿宋_GB2312" w:hAnsi="楷体_GB2312" w:cs="楷体_GB2312"/>
          <w:sz w:val="32"/>
          <w:szCs w:val="32"/>
        </w:rPr>
        <w:t>00</w:t>
      </w:r>
      <w:r w:rsidR="00291B7C" w:rsidRPr="00EE7187">
        <w:rPr>
          <w:rFonts w:ascii="仿宋_GB2312" w:eastAsia="仿宋_GB2312" w:hAnsi="楷体_GB2312" w:cs="楷体_GB2312" w:hint="eastAsia"/>
          <w:sz w:val="32"/>
          <w:szCs w:val="32"/>
        </w:rPr>
        <w:t>万元，全年预算执行</w:t>
      </w:r>
      <w:r w:rsidR="002929D6">
        <w:rPr>
          <w:rFonts w:ascii="仿宋_GB2312" w:eastAsia="仿宋_GB2312" w:hAnsi="楷体_GB2312" w:cs="楷体_GB2312"/>
          <w:sz w:val="32"/>
          <w:szCs w:val="32"/>
        </w:rPr>
        <w:t>6.771687</w:t>
      </w:r>
      <w:r w:rsidR="00291B7C" w:rsidRPr="00EE7187">
        <w:rPr>
          <w:rFonts w:ascii="仿宋_GB2312" w:eastAsia="仿宋_GB2312" w:hAnsi="楷体_GB2312" w:cs="楷体_GB2312" w:hint="eastAsia"/>
          <w:sz w:val="32"/>
          <w:szCs w:val="32"/>
        </w:rPr>
        <w:t>万元</w:t>
      </w:r>
    </w:p>
    <w:p w:rsidR="00C92F49" w:rsidRDefault="00291B7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（二）项目绩效目标。</w:t>
      </w:r>
    </w:p>
    <w:p w:rsidR="00007C1C" w:rsidRPr="00007C1C" w:rsidRDefault="009F6137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全年完成抽检</w:t>
      </w:r>
      <w:r w:rsidR="002929D6">
        <w:rPr>
          <w:rFonts w:ascii="仿宋_GB2312" w:eastAsia="仿宋_GB2312" w:hAnsi="楷体_GB2312" w:cs="楷体_GB2312"/>
          <w:sz w:val="32"/>
          <w:szCs w:val="32"/>
        </w:rPr>
        <w:t>18</w:t>
      </w:r>
      <w:r>
        <w:rPr>
          <w:rFonts w:ascii="仿宋_GB2312" w:eastAsia="仿宋_GB2312" w:hAnsi="楷体_GB2312" w:cs="楷体_GB2312"/>
          <w:sz w:val="32"/>
          <w:szCs w:val="32"/>
        </w:rPr>
        <w:t>00</w:t>
      </w:r>
      <w:r>
        <w:rPr>
          <w:rFonts w:ascii="仿宋_GB2312" w:eastAsia="仿宋_GB2312" w:hAnsi="楷体_GB2312" w:cs="楷体_GB2312" w:hint="eastAsia"/>
          <w:sz w:val="32"/>
          <w:szCs w:val="32"/>
        </w:rPr>
        <w:t>批次，半年完成率不低于4</w:t>
      </w:r>
      <w:r>
        <w:rPr>
          <w:rFonts w:ascii="仿宋_GB2312" w:eastAsia="仿宋_GB2312" w:hAnsi="楷体_GB2312" w:cs="楷体_GB2312"/>
          <w:sz w:val="32"/>
          <w:szCs w:val="32"/>
        </w:rPr>
        <w:t>5%</w:t>
      </w:r>
      <w:r>
        <w:rPr>
          <w:rFonts w:ascii="仿宋_GB2312" w:eastAsia="仿宋_GB2312" w:hAnsi="楷体_GB2312" w:cs="楷体_GB2312" w:hint="eastAsia"/>
          <w:sz w:val="32"/>
          <w:szCs w:val="32"/>
        </w:rPr>
        <w:t>，覆盖全区所有街道乡镇，被抽检单位对工作满意度不低于9</w:t>
      </w:r>
      <w:r>
        <w:rPr>
          <w:rFonts w:ascii="仿宋_GB2312" w:eastAsia="仿宋_GB2312" w:hAnsi="楷体_GB2312" w:cs="楷体_GB2312"/>
          <w:sz w:val="32"/>
          <w:szCs w:val="32"/>
        </w:rPr>
        <w:t>0%</w:t>
      </w:r>
      <w:r>
        <w:rPr>
          <w:rFonts w:ascii="仿宋_GB2312" w:eastAsia="仿宋_GB2312" w:hAnsi="楷体_GB2312" w:cs="楷体_GB2312" w:hint="eastAsia"/>
          <w:sz w:val="32"/>
          <w:szCs w:val="32"/>
        </w:rPr>
        <w:t>，充分发挥雷达作用，</w:t>
      </w:r>
      <w:r w:rsidR="002929D6">
        <w:rPr>
          <w:rFonts w:ascii="仿宋_GB2312" w:eastAsia="仿宋_GB2312" w:hAnsi="楷体_GB2312" w:cs="楷体_GB2312" w:hint="eastAsia"/>
          <w:sz w:val="32"/>
          <w:szCs w:val="32"/>
        </w:rPr>
        <w:t>全区重要活动会议食品安全事故零风险</w:t>
      </w:r>
      <w:r>
        <w:rPr>
          <w:rFonts w:ascii="仿宋_GB2312" w:eastAsia="仿宋_GB2312" w:hAnsi="楷体_GB2312" w:cs="楷体_GB2312" w:hint="eastAsia"/>
          <w:sz w:val="32"/>
          <w:szCs w:val="32"/>
        </w:rPr>
        <w:t>。</w:t>
      </w:r>
    </w:p>
    <w:p w:rsidR="00C92F49" w:rsidRDefault="00291B7C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二、绩效评价工作开展情况</w:t>
      </w:r>
    </w:p>
    <w:p w:rsidR="00C92F49" w:rsidRDefault="00291B7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（一）绩效评价目的、对象和范围。</w:t>
      </w:r>
    </w:p>
    <w:p w:rsidR="00BB01ED" w:rsidRDefault="000A413B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目的：</w:t>
      </w:r>
      <w:r w:rsidRPr="000A413B">
        <w:rPr>
          <w:rFonts w:ascii="仿宋_GB2312" w:eastAsia="仿宋_GB2312" w:hAnsi="楷体_GB2312" w:cs="楷体_GB2312" w:hint="eastAsia"/>
          <w:sz w:val="32"/>
          <w:szCs w:val="32"/>
        </w:rPr>
        <w:t>通过科学评价，检验项目实施效果，提升财政资源配置效率和使用效益</w:t>
      </w:r>
      <w:r>
        <w:rPr>
          <w:rFonts w:ascii="仿宋_GB2312" w:eastAsia="仿宋_GB2312" w:hAnsi="楷体_GB2312" w:cs="楷体_GB2312" w:hint="eastAsia"/>
          <w:sz w:val="32"/>
          <w:szCs w:val="32"/>
        </w:rPr>
        <w:t>。</w:t>
      </w:r>
    </w:p>
    <w:p w:rsidR="000A413B" w:rsidRDefault="000A413B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对象：</w:t>
      </w:r>
      <w:r w:rsidRPr="000A413B">
        <w:rPr>
          <w:rFonts w:ascii="仿宋_GB2312" w:eastAsia="仿宋_GB2312" w:hAnsi="楷体_GB2312" w:cs="楷体_GB2312" w:hint="eastAsia"/>
          <w:sz w:val="32"/>
          <w:szCs w:val="32"/>
        </w:rPr>
        <w:t>食品安全</w:t>
      </w:r>
      <w:r w:rsidR="002929D6">
        <w:rPr>
          <w:rFonts w:ascii="仿宋_GB2312" w:eastAsia="仿宋_GB2312" w:hAnsi="楷体_GB2312" w:cs="楷体_GB2312" w:hint="eastAsia"/>
          <w:sz w:val="32"/>
          <w:szCs w:val="32"/>
        </w:rPr>
        <w:t>快速</w:t>
      </w:r>
      <w:r w:rsidRPr="000A413B">
        <w:rPr>
          <w:rFonts w:ascii="仿宋_GB2312" w:eastAsia="仿宋_GB2312" w:hAnsi="楷体_GB2312" w:cs="楷体_GB2312" w:hint="eastAsia"/>
          <w:sz w:val="32"/>
          <w:szCs w:val="32"/>
        </w:rPr>
        <w:t>检测项目</w:t>
      </w:r>
      <w:r>
        <w:rPr>
          <w:rFonts w:ascii="仿宋_GB2312" w:eastAsia="仿宋_GB2312" w:hAnsi="楷体_GB2312" w:cs="楷体_GB2312" w:hint="eastAsia"/>
          <w:sz w:val="32"/>
          <w:szCs w:val="32"/>
        </w:rPr>
        <w:t>。</w:t>
      </w:r>
    </w:p>
    <w:p w:rsidR="000A413B" w:rsidRPr="00BB01ED" w:rsidRDefault="000A413B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范围：2</w:t>
      </w:r>
      <w:r>
        <w:rPr>
          <w:rFonts w:ascii="仿宋_GB2312" w:eastAsia="仿宋_GB2312" w:hAnsi="楷体_GB2312" w:cs="楷体_GB2312"/>
          <w:sz w:val="32"/>
          <w:szCs w:val="32"/>
        </w:rPr>
        <w:t>024</w:t>
      </w:r>
      <w:r>
        <w:rPr>
          <w:rFonts w:ascii="仿宋_GB2312" w:eastAsia="仿宋_GB2312" w:hAnsi="楷体_GB2312" w:cs="楷体_GB2312" w:hint="eastAsia"/>
          <w:sz w:val="32"/>
          <w:szCs w:val="32"/>
        </w:rPr>
        <w:t>年全年</w:t>
      </w:r>
    </w:p>
    <w:p w:rsidR="00C92F49" w:rsidRDefault="00291B7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（二）绩效评价原则、评价指标体系、评价方法、评价标准等。</w:t>
      </w:r>
    </w:p>
    <w:p w:rsidR="00BB01ED" w:rsidRDefault="00B9574D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原则：</w:t>
      </w:r>
      <w:r w:rsidRPr="00B9574D">
        <w:rPr>
          <w:rFonts w:ascii="仿宋_GB2312" w:eastAsia="仿宋_GB2312" w:hAnsi="楷体_GB2312" w:cs="楷体_GB2312" w:hint="eastAsia"/>
          <w:sz w:val="32"/>
          <w:szCs w:val="32"/>
        </w:rPr>
        <w:t>客观公正</w:t>
      </w:r>
      <w:r>
        <w:rPr>
          <w:rFonts w:ascii="仿宋_GB2312" w:eastAsia="仿宋_GB2312" w:hAnsi="楷体_GB2312" w:cs="楷体_GB2312" w:hint="eastAsia"/>
          <w:sz w:val="32"/>
          <w:szCs w:val="32"/>
        </w:rPr>
        <w:t>、</w:t>
      </w:r>
      <w:r w:rsidRPr="00B9574D">
        <w:rPr>
          <w:rFonts w:ascii="仿宋_GB2312" w:eastAsia="仿宋_GB2312" w:hAnsi="楷体_GB2312" w:cs="楷体_GB2312" w:hint="eastAsia"/>
          <w:sz w:val="32"/>
          <w:szCs w:val="32"/>
        </w:rPr>
        <w:t>科学系统</w:t>
      </w:r>
      <w:r>
        <w:rPr>
          <w:rFonts w:ascii="仿宋_GB2312" w:eastAsia="仿宋_GB2312" w:hAnsi="楷体_GB2312" w:cs="楷体_GB2312" w:hint="eastAsia"/>
          <w:sz w:val="32"/>
          <w:szCs w:val="32"/>
        </w:rPr>
        <w:t>、</w:t>
      </w:r>
      <w:r w:rsidRPr="00B9574D">
        <w:rPr>
          <w:rFonts w:ascii="仿宋_GB2312" w:eastAsia="仿宋_GB2312" w:hAnsi="楷体_GB2312" w:cs="楷体_GB2312" w:hint="eastAsia"/>
          <w:sz w:val="32"/>
          <w:szCs w:val="32"/>
        </w:rPr>
        <w:t>可操作性</w:t>
      </w:r>
      <w:r>
        <w:rPr>
          <w:rFonts w:ascii="仿宋_GB2312" w:eastAsia="仿宋_GB2312" w:hAnsi="楷体_GB2312" w:cs="楷体_GB2312" w:hint="eastAsia"/>
          <w:sz w:val="32"/>
          <w:szCs w:val="32"/>
        </w:rPr>
        <w:t>、</w:t>
      </w:r>
      <w:r w:rsidRPr="00B9574D">
        <w:rPr>
          <w:rFonts w:ascii="仿宋_GB2312" w:eastAsia="仿宋_GB2312" w:hAnsi="楷体_GB2312" w:cs="楷体_GB2312" w:hint="eastAsia"/>
          <w:sz w:val="32"/>
          <w:szCs w:val="32"/>
        </w:rPr>
        <w:t>动态调整</w:t>
      </w:r>
      <w:r>
        <w:rPr>
          <w:rFonts w:ascii="仿宋_GB2312" w:eastAsia="仿宋_GB2312" w:hAnsi="楷体_GB2312" w:cs="楷体_GB2312" w:hint="eastAsia"/>
          <w:sz w:val="32"/>
          <w:szCs w:val="32"/>
        </w:rPr>
        <w:t>。</w:t>
      </w:r>
    </w:p>
    <w:p w:rsidR="00B9574D" w:rsidRDefault="00B9574D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体系：一级指标分类、二级指标细化。</w:t>
      </w:r>
    </w:p>
    <w:p w:rsidR="00B9574D" w:rsidRDefault="00B9574D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lastRenderedPageBreak/>
        <w:t>方法：</w:t>
      </w:r>
      <w:r w:rsidRPr="00B9574D">
        <w:rPr>
          <w:rFonts w:ascii="仿宋_GB2312" w:eastAsia="仿宋_GB2312" w:hAnsi="楷体_GB2312" w:cs="楷体_GB2312" w:hint="eastAsia"/>
          <w:sz w:val="32"/>
          <w:szCs w:val="32"/>
        </w:rPr>
        <w:t>比较法</w:t>
      </w:r>
      <w:r>
        <w:rPr>
          <w:rFonts w:ascii="仿宋_GB2312" w:eastAsia="仿宋_GB2312" w:hAnsi="楷体_GB2312" w:cs="楷体_GB2312" w:hint="eastAsia"/>
          <w:sz w:val="32"/>
          <w:szCs w:val="32"/>
        </w:rPr>
        <w:t>、</w:t>
      </w:r>
      <w:r w:rsidRPr="00B9574D">
        <w:rPr>
          <w:rFonts w:ascii="仿宋_GB2312" w:eastAsia="仿宋_GB2312" w:hAnsi="楷体_GB2312" w:cs="楷体_GB2312" w:hint="eastAsia"/>
          <w:sz w:val="32"/>
          <w:szCs w:val="32"/>
        </w:rPr>
        <w:t>因素分析法</w:t>
      </w:r>
      <w:r>
        <w:rPr>
          <w:rFonts w:ascii="仿宋_GB2312" w:eastAsia="仿宋_GB2312" w:hAnsi="楷体_GB2312" w:cs="楷体_GB2312" w:hint="eastAsia"/>
          <w:sz w:val="32"/>
          <w:szCs w:val="32"/>
        </w:rPr>
        <w:t>、</w:t>
      </w:r>
      <w:r w:rsidRPr="00B9574D">
        <w:rPr>
          <w:rFonts w:ascii="仿宋_GB2312" w:eastAsia="仿宋_GB2312" w:hAnsi="楷体_GB2312" w:cs="楷体_GB2312" w:hint="eastAsia"/>
          <w:sz w:val="32"/>
          <w:szCs w:val="32"/>
        </w:rPr>
        <w:t>公众评判法</w:t>
      </w:r>
      <w:r>
        <w:rPr>
          <w:rFonts w:ascii="仿宋_GB2312" w:eastAsia="仿宋_GB2312" w:hAnsi="楷体_GB2312" w:cs="楷体_GB2312" w:hint="eastAsia"/>
          <w:sz w:val="32"/>
          <w:szCs w:val="32"/>
        </w:rPr>
        <w:t>。</w:t>
      </w:r>
    </w:p>
    <w:p w:rsidR="00B9574D" w:rsidRPr="00BB01ED" w:rsidRDefault="00B9574D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标准：</w:t>
      </w:r>
      <w:r w:rsidRPr="00B9574D">
        <w:rPr>
          <w:rFonts w:ascii="仿宋_GB2312" w:eastAsia="仿宋_GB2312" w:hAnsi="楷体_GB2312" w:cs="楷体_GB2312" w:hint="eastAsia"/>
          <w:sz w:val="32"/>
          <w:szCs w:val="32"/>
        </w:rPr>
        <w:t>计划标准</w:t>
      </w:r>
      <w:r>
        <w:rPr>
          <w:rFonts w:ascii="仿宋_GB2312" w:eastAsia="仿宋_GB2312" w:hAnsi="楷体_GB2312" w:cs="楷体_GB2312" w:hint="eastAsia"/>
          <w:sz w:val="32"/>
          <w:szCs w:val="32"/>
        </w:rPr>
        <w:t>、</w:t>
      </w:r>
      <w:r w:rsidRPr="00B9574D">
        <w:rPr>
          <w:rFonts w:ascii="仿宋_GB2312" w:eastAsia="仿宋_GB2312" w:hAnsi="楷体_GB2312" w:cs="楷体_GB2312" w:hint="eastAsia"/>
          <w:sz w:val="32"/>
          <w:szCs w:val="32"/>
        </w:rPr>
        <w:t>历史标准</w:t>
      </w:r>
      <w:r>
        <w:rPr>
          <w:rFonts w:ascii="仿宋_GB2312" w:eastAsia="仿宋_GB2312" w:hAnsi="楷体_GB2312" w:cs="楷体_GB2312" w:hint="eastAsia"/>
          <w:sz w:val="32"/>
          <w:szCs w:val="32"/>
        </w:rPr>
        <w:t>。</w:t>
      </w:r>
    </w:p>
    <w:p w:rsidR="00C92F49" w:rsidRDefault="00291B7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（三）绩效评价工作过程。</w:t>
      </w:r>
    </w:p>
    <w:p w:rsidR="00BB01ED" w:rsidRPr="00BB01ED" w:rsidRDefault="00D613E1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前期准备、组织实施、分析总结、持续改进。</w:t>
      </w:r>
    </w:p>
    <w:p w:rsidR="00C92F49" w:rsidRDefault="00291B7C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三、综合评价情况及评价结论</w:t>
      </w:r>
    </w:p>
    <w:p w:rsidR="00BB01ED" w:rsidRPr="00CB6014" w:rsidRDefault="00CB6014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 w:rsidRPr="00CB6014">
        <w:rPr>
          <w:rFonts w:ascii="仿宋_GB2312" w:eastAsia="仿宋_GB2312" w:hAnsi="楷体_GB2312" w:cs="楷体_GB2312" w:hint="eastAsia"/>
          <w:sz w:val="32"/>
          <w:szCs w:val="32"/>
        </w:rPr>
        <w:t>详见评分表。</w:t>
      </w:r>
    </w:p>
    <w:p w:rsidR="00C92F49" w:rsidRDefault="00291B7C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四、绩效评价指标分析</w:t>
      </w:r>
    </w:p>
    <w:p w:rsidR="00C92F49" w:rsidRDefault="00291B7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（一）项目决策情况。</w:t>
      </w:r>
    </w:p>
    <w:p w:rsidR="00BB01ED" w:rsidRPr="00BB01ED" w:rsidRDefault="00D2470F" w:rsidP="00D2470F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1月2</w:t>
      </w:r>
      <w:r>
        <w:rPr>
          <w:rFonts w:ascii="仿宋_GB2312" w:eastAsia="仿宋_GB2312" w:hAnsi="楷体_GB2312" w:cs="楷体_GB2312"/>
          <w:sz w:val="32"/>
          <w:szCs w:val="32"/>
        </w:rPr>
        <w:t>9</w:t>
      </w:r>
      <w:r>
        <w:rPr>
          <w:rFonts w:ascii="仿宋_GB2312" w:eastAsia="仿宋_GB2312" w:hAnsi="楷体_GB2312" w:cs="楷体_GB2312" w:hint="eastAsia"/>
          <w:sz w:val="32"/>
          <w:szCs w:val="32"/>
        </w:rPr>
        <w:t>日经</w:t>
      </w:r>
      <w:r w:rsidRPr="00D2470F">
        <w:rPr>
          <w:rFonts w:ascii="仿宋_GB2312" w:eastAsia="仿宋_GB2312" w:hAnsi="楷体_GB2312" w:cs="楷体_GB2312" w:hint="eastAsia"/>
          <w:sz w:val="32"/>
          <w:szCs w:val="32"/>
        </w:rPr>
        <w:t>局长办公会审议通过</w:t>
      </w:r>
      <w:r>
        <w:rPr>
          <w:rFonts w:ascii="仿宋_GB2312" w:eastAsia="仿宋_GB2312" w:hAnsi="楷体_GB2312" w:cs="楷体_GB2312" w:hint="eastAsia"/>
          <w:sz w:val="32"/>
          <w:szCs w:val="32"/>
        </w:rPr>
        <w:t>《</w:t>
      </w:r>
      <w:r w:rsidRPr="00D2470F">
        <w:rPr>
          <w:rFonts w:ascii="仿宋_GB2312" w:eastAsia="仿宋_GB2312" w:hAnsi="楷体_GB2312" w:cs="楷体_GB2312" w:hint="eastAsia"/>
          <w:sz w:val="32"/>
          <w:szCs w:val="32"/>
        </w:rPr>
        <w:t>2024年度食品安全抽检监测计划》</w:t>
      </w:r>
      <w:r>
        <w:rPr>
          <w:rFonts w:ascii="仿宋_GB2312" w:eastAsia="仿宋_GB2312" w:hAnsi="楷体_GB2312" w:cs="楷体_GB2312" w:hint="eastAsia"/>
          <w:sz w:val="32"/>
          <w:szCs w:val="32"/>
        </w:rPr>
        <w:t>。</w:t>
      </w:r>
    </w:p>
    <w:p w:rsidR="00C92F49" w:rsidRDefault="00291B7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（二）项目过程情况。</w:t>
      </w:r>
    </w:p>
    <w:p w:rsidR="00BB01ED" w:rsidRPr="00BB01ED" w:rsidRDefault="00395756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 w:rsidRPr="00395756">
        <w:rPr>
          <w:rFonts w:ascii="仿宋_GB2312" w:eastAsia="仿宋_GB2312" w:hAnsi="楷体_GB2312" w:cs="楷体_GB2312" w:hint="eastAsia"/>
          <w:sz w:val="32"/>
          <w:szCs w:val="32"/>
        </w:rPr>
        <w:t>2024年食品快速检测任务分两批进行，均由各市场监管所（分局）具体实施，第一批任务共1500批次为年初既定计划，集中到2月、3月、4月完成，按照局长办公会要求优先使用了上一年度结余未过期的试剂。同时为配合好中小学校园专项整治行动，追加第二批任务共380批次，集中到8月、9月、10月、11月完成。</w:t>
      </w:r>
    </w:p>
    <w:p w:rsidR="00C92F49" w:rsidRDefault="00291B7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（三）项目产出情况。</w:t>
      </w:r>
    </w:p>
    <w:p w:rsidR="00BB01ED" w:rsidRPr="00BB01ED" w:rsidRDefault="00395756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 w:rsidRPr="00395756">
        <w:rPr>
          <w:rFonts w:ascii="仿宋_GB2312" w:eastAsia="仿宋_GB2312" w:hAnsi="楷体_GB2312" w:cs="楷体_GB2312" w:hint="eastAsia"/>
          <w:sz w:val="32"/>
          <w:szCs w:val="32"/>
        </w:rPr>
        <w:t>全年任务已经全部完成，合格率100%。</w:t>
      </w:r>
    </w:p>
    <w:p w:rsidR="00C92F49" w:rsidRDefault="00291B7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（四）项目效益情况。</w:t>
      </w:r>
    </w:p>
    <w:p w:rsidR="00BB01ED" w:rsidRPr="00BB01ED" w:rsidRDefault="00291B7C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 w:rsidRPr="00291B7C">
        <w:rPr>
          <w:rFonts w:ascii="仿宋_GB2312" w:eastAsia="仿宋_GB2312" w:hAnsi="楷体_GB2312" w:cs="楷体_GB2312" w:hint="eastAsia"/>
          <w:sz w:val="32"/>
          <w:szCs w:val="32"/>
        </w:rPr>
        <w:t>2024年通州区</w:t>
      </w:r>
      <w:r w:rsidR="00395756">
        <w:rPr>
          <w:rFonts w:ascii="仿宋_GB2312" w:eastAsia="仿宋_GB2312" w:hAnsi="楷体_GB2312" w:cs="楷体_GB2312" w:hint="eastAsia"/>
          <w:sz w:val="32"/>
          <w:szCs w:val="32"/>
        </w:rPr>
        <w:t>举办多场重要活动会议，各项活动食品安全事故零发生，食品安全零风险，全区</w:t>
      </w:r>
      <w:bookmarkStart w:id="0" w:name="_GoBack"/>
      <w:bookmarkEnd w:id="0"/>
      <w:r w:rsidRPr="00291B7C">
        <w:rPr>
          <w:rFonts w:ascii="仿宋_GB2312" w:eastAsia="仿宋_GB2312" w:hAnsi="楷体_GB2312" w:cs="楷体_GB2312" w:hint="eastAsia"/>
          <w:sz w:val="32"/>
          <w:szCs w:val="32"/>
        </w:rPr>
        <w:t>食品安全形势稳定，秩序良好，未发生一般规模及以上食品安全突发事件</w:t>
      </w:r>
      <w:r>
        <w:rPr>
          <w:rFonts w:ascii="仿宋_GB2312" w:eastAsia="仿宋_GB2312" w:hAnsi="楷体_GB2312" w:cs="楷体_GB2312" w:hint="eastAsia"/>
          <w:sz w:val="32"/>
          <w:szCs w:val="32"/>
        </w:rPr>
        <w:t>。</w:t>
      </w:r>
    </w:p>
    <w:p w:rsidR="00C92F49" w:rsidRDefault="00291B7C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五、主要经验及做法、存在的问题及原因分析</w:t>
      </w:r>
    </w:p>
    <w:p w:rsidR="00BB01ED" w:rsidRPr="00BB01ED" w:rsidRDefault="00586625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无。</w:t>
      </w:r>
    </w:p>
    <w:p w:rsidR="00C92F49" w:rsidRDefault="00291B7C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六、有关建议</w:t>
      </w:r>
    </w:p>
    <w:p w:rsidR="00BB01ED" w:rsidRPr="00BB01ED" w:rsidRDefault="00586625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无。</w:t>
      </w:r>
    </w:p>
    <w:p w:rsidR="00C92F49" w:rsidRDefault="00291B7C" w:rsidP="005C29EC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七、其他需要说明的问题</w:t>
      </w:r>
    </w:p>
    <w:p w:rsidR="00BB01ED" w:rsidRPr="00BB01ED" w:rsidRDefault="00586625" w:rsidP="00BB01ED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无。</w:t>
      </w:r>
    </w:p>
    <w:sectPr w:rsidR="00BB01ED" w:rsidRPr="00BB01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35D0"/>
    <w:rsid w:val="00007C1C"/>
    <w:rsid w:val="000A413B"/>
    <w:rsid w:val="00155049"/>
    <w:rsid w:val="00276BD8"/>
    <w:rsid w:val="00291B7C"/>
    <w:rsid w:val="002929D6"/>
    <w:rsid w:val="002A580D"/>
    <w:rsid w:val="002E6C67"/>
    <w:rsid w:val="0031054A"/>
    <w:rsid w:val="00395756"/>
    <w:rsid w:val="004045A9"/>
    <w:rsid w:val="0046146B"/>
    <w:rsid w:val="004620F9"/>
    <w:rsid w:val="004B2AD3"/>
    <w:rsid w:val="00541EE7"/>
    <w:rsid w:val="005449E9"/>
    <w:rsid w:val="00586625"/>
    <w:rsid w:val="005B287D"/>
    <w:rsid w:val="005C29EC"/>
    <w:rsid w:val="00656EA9"/>
    <w:rsid w:val="00661B3A"/>
    <w:rsid w:val="006D08BF"/>
    <w:rsid w:val="006D265E"/>
    <w:rsid w:val="00791088"/>
    <w:rsid w:val="007E03D1"/>
    <w:rsid w:val="00831281"/>
    <w:rsid w:val="008A52E1"/>
    <w:rsid w:val="00990443"/>
    <w:rsid w:val="009F6137"/>
    <w:rsid w:val="00A327F9"/>
    <w:rsid w:val="00AA0F7A"/>
    <w:rsid w:val="00B402EB"/>
    <w:rsid w:val="00B44C61"/>
    <w:rsid w:val="00B61708"/>
    <w:rsid w:val="00B9574D"/>
    <w:rsid w:val="00BB01ED"/>
    <w:rsid w:val="00C10D9E"/>
    <w:rsid w:val="00C92F49"/>
    <w:rsid w:val="00CB6014"/>
    <w:rsid w:val="00D2470F"/>
    <w:rsid w:val="00D613E1"/>
    <w:rsid w:val="00D635D0"/>
    <w:rsid w:val="00E3728D"/>
    <w:rsid w:val="00EE0503"/>
    <w:rsid w:val="00EE7187"/>
    <w:rsid w:val="1816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0F073"/>
  <w15:docId w15:val="{AB314566-C76E-4039-8517-7CC6E47C4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128</Words>
  <Characters>733</Characters>
  <Application>Microsoft Office Word</Application>
  <DocSecurity>0</DocSecurity>
  <Lines>6</Lines>
  <Paragraphs>1</Paragraphs>
  <ScaleCrop>false</ScaleCrop>
  <Company>MS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波波并不维奇</cp:lastModifiedBy>
  <cp:revision>76</cp:revision>
  <dcterms:created xsi:type="dcterms:W3CDTF">2023-02-17T07:44:00Z</dcterms:created>
  <dcterms:modified xsi:type="dcterms:W3CDTF">2025-02-07T06:25:00Z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