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eastAsia="仿宋_GB2312"/>
          <w:sz w:val="32"/>
          <w:szCs w:val="32"/>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为切实有效提升我区公平竞争审查的有效性和权威性，按照《通州区培育和激发市场主体活力持续优化营商环境重点任务分工表》，区市场监管管理局负责建立第三方评估制度，对部分政策措施，借助外部专业力量集中论证。我局申请公平竞争审查专项资金10万元，用于聘请第三方机构对我区部分政策措施开展公平竞争审查第三方评估。</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对通州区公平竞争审查专项资金使用情况进行评价，根据年度资金使用状况，对比年初绩效目标表，逐项对比各目标完成情况，并根据实际完成情况与年初绩效目标间差异，在综合评估宣传效果实际差异的基础上，进行打分。原计划聘请第三方机构全年完成公平竞争审查160件，完成培训2次。绩效评价中发现，聘请第三方机构完成公平竞争审查192件，完成培训2次，完成既定目标。同时，绩效考评中发现公平竞争审查工作影响力仍有不足，所以酌情扣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绩效考评中发现公平竞争审查工作的社会影响力仍有不足，所以酌情扣分，最后得分97分。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按照《通州区培育和激发市场主体活力持续优化营商环境重点任务分工表》，区市场监管管理局负责建立第三方评估制度，对部分政策措施，借助外部专业力量集中论证。我局申请公平竞争审查专项资金10万元，用于聘请第三方机构对我区部分政策措施开展公平竞争审查第三方评估。</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根据我局《询价采购管理办法（修订）》第六条规定“对采购需求具有相对固定性、延续性且价格变化幅度小的项目，一年期的合同可以直接续签两次”。与</w:t>
      </w:r>
      <w:bookmarkStart w:id="0" w:name="_GoBack"/>
      <w:bookmarkEnd w:id="0"/>
      <w:r>
        <w:rPr>
          <w:rFonts w:hint="eastAsia" w:ascii="仿宋_GB2312" w:hAnsi="宋体" w:eastAsia="仿宋_GB2312"/>
          <w:sz w:val="32"/>
          <w:szCs w:val="32"/>
          <w:lang w:eastAsia="zh-CN"/>
        </w:rPr>
        <w:t>国家市场监管总局发展研究中心签订合同。经过前期反复沟通修改，完成相关工作。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完成公平竞争审查192件，完成培训2次。</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通过培训和文件抽查，有效提升了各政府部门公平竞争审查意识和审查能力。</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在公平竞争审查工作宣传中仍有不足。下一步继续加大宣传力度，采取更广泛的宣传方式。</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无</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numPr>
          <w:ilvl w:val="0"/>
          <w:numId w:val="0"/>
        </w:num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楷体_GB2312" w:hAnsi="楷体_GB2312" w:eastAsia="楷体_GB2312" w:cs="楷体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DB15C"/>
    <w:multiLevelType w:val="singleLevel"/>
    <w:tmpl w:val="1AADB15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C10D9E"/>
    <w:rsid w:val="00D635D0"/>
    <w:rsid w:val="0B502456"/>
    <w:rsid w:val="24F863C8"/>
    <w:rsid w:val="280A1CA6"/>
    <w:rsid w:val="33586B6F"/>
    <w:rsid w:val="3BFF472E"/>
    <w:rsid w:val="456B383F"/>
    <w:rsid w:val="4732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42</Words>
  <Characters>245</Characters>
  <Lines>2</Lines>
  <Paragraphs>1</Paragraphs>
  <TotalTime>9</TotalTime>
  <ScaleCrop>false</ScaleCrop>
  <LinksUpToDate>false</LinksUpToDate>
  <CharactersWithSpaces>286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sck913</cp:lastModifiedBy>
  <dcterms:modified xsi:type="dcterms:W3CDTF">2025-02-07T09:17:25Z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