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15" w:type="dxa"/>
        <w:jc w:val="center"/>
        <w:tblLayout w:type="fixed"/>
        <w:tblCellMar>
          <w:top w:w="0" w:type="dxa"/>
          <w:left w:w="108" w:type="dxa"/>
          <w:bottom w:w="0" w:type="dxa"/>
          <w:right w:w="108" w:type="dxa"/>
        </w:tblCellMar>
      </w:tblPr>
      <w:tblGrid>
        <w:gridCol w:w="578"/>
        <w:gridCol w:w="969"/>
        <w:gridCol w:w="1086"/>
        <w:gridCol w:w="718"/>
        <w:gridCol w:w="1114"/>
        <w:gridCol w:w="85"/>
        <w:gridCol w:w="1134"/>
        <w:gridCol w:w="1041"/>
        <w:gridCol w:w="581"/>
        <w:gridCol w:w="87"/>
        <w:gridCol w:w="513"/>
        <w:gridCol w:w="323"/>
        <w:gridCol w:w="1086"/>
      </w:tblGrid>
      <w:tr>
        <w:tblPrEx>
          <w:tblCellMar>
            <w:top w:w="0" w:type="dxa"/>
            <w:left w:w="108" w:type="dxa"/>
            <w:bottom w:w="0" w:type="dxa"/>
            <w:right w:w="108" w:type="dxa"/>
          </w:tblCellMar>
        </w:tblPrEx>
        <w:trPr>
          <w:trHeight w:val="440" w:hRule="exact"/>
          <w:jc w:val="center"/>
        </w:trPr>
        <w:tc>
          <w:tcPr>
            <w:tcW w:w="9315"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315"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default" w:ascii="宋体" w:hAnsi="宋体" w:cs="宋体"/>
                <w:color w:val="auto"/>
                <w:kern w:val="0"/>
                <w:sz w:val="22"/>
                <w:lang w:val="en-US"/>
              </w:rPr>
              <w:t>2024</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768"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科学技术普及</w:t>
            </w:r>
          </w:p>
        </w:tc>
      </w:tr>
      <w:tr>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595.4</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595.4</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600</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595.4</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595.4</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23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进一步贯彻落实《中华人民共和国科学技术普及法》《关于新时代进一步加强科学技术普及工作的意见》《北京市科学技术普及条例》《通州区全民科学素质行动规划纲要实施方案（2021-2025年）》等文件精神，科普展教资源进一步丰富、基层科普公共服务设施进一步完善、科技教育的基础条件更加便利、有特色、主题多元的科普惠民活动深入开展，科普传播的途径和方式更加多元，公民科学素质不断提升，服务我区科学技术普及工作高质量发展。</w:t>
            </w:r>
          </w:p>
        </w:tc>
        <w:tc>
          <w:tcPr>
            <w:tcW w:w="363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lang w:eastAsia="zh-CN"/>
              </w:rPr>
              <w:t>年内按照工作计划先后开展街镇社区村、学校等科普能力建设项目</w:t>
            </w:r>
            <w:r>
              <w:rPr>
                <w:rFonts w:hint="eastAsia" w:ascii="宋体" w:hAnsi="宋体" w:cs="宋体"/>
                <w:color w:val="auto"/>
                <w:kern w:val="0"/>
                <w:sz w:val="16"/>
                <w:szCs w:val="16"/>
                <w:lang w:val="en-US" w:eastAsia="zh-CN"/>
              </w:rPr>
              <w:t>，基层科普资源更加丰富；组织开展通州区科技活动周大型科普活动，在社区村广泛开展科普宣教，完成了预订目标，辖区科普能力进一步加强，科普氛围更加浓厚，受到市民好评</w:t>
            </w:r>
          </w:p>
        </w:tc>
      </w:tr>
      <w:tr>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1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77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指标1：开展街道乡镇社区村、学校等科普能力提升和资源建设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rPr>
            </w:pPr>
            <w:r>
              <w:rPr>
                <w:rFonts w:hint="default" w:ascii="宋体" w:hAnsi="宋体" w:cs="宋体"/>
                <w:color w:val="auto"/>
                <w:kern w:val="0"/>
                <w:sz w:val="16"/>
                <w:szCs w:val="16"/>
                <w:lang w:val="en-US"/>
              </w:rPr>
              <w:t>6</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支持</w:t>
            </w:r>
            <w:r>
              <w:rPr>
                <w:rFonts w:hint="default" w:ascii="宋体" w:hAnsi="宋体" w:cs="宋体"/>
                <w:color w:val="auto"/>
                <w:kern w:val="0"/>
                <w:sz w:val="16"/>
                <w:szCs w:val="16"/>
                <w:lang w:val="en-US"/>
              </w:rPr>
              <w:t>7</w:t>
            </w:r>
            <w:r>
              <w:rPr>
                <w:rFonts w:hint="eastAsia" w:ascii="宋体" w:hAnsi="宋体" w:cs="宋体"/>
                <w:color w:val="auto"/>
                <w:kern w:val="0"/>
                <w:sz w:val="16"/>
                <w:szCs w:val="16"/>
                <w:lang w:val="en-US" w:eastAsia="zh-CN"/>
              </w:rPr>
              <w:t>家单位进行科普能力提升</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20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cs="宋体"/>
                <w:color w:val="auto"/>
                <w:kern w:val="0"/>
                <w:sz w:val="16"/>
                <w:szCs w:val="16"/>
                <w:lang w:val="en-US"/>
              </w:rPr>
            </w:pPr>
            <w:r>
              <w:rPr>
                <w:rFonts w:hint="eastAsia" w:ascii="宋体" w:hAnsi="宋体" w:cs="宋体"/>
                <w:color w:val="auto"/>
                <w:kern w:val="0"/>
                <w:sz w:val="16"/>
                <w:szCs w:val="16"/>
              </w:rPr>
              <w:t>指标2：</w:t>
            </w:r>
            <w:r>
              <w:rPr>
                <w:rFonts w:hint="default" w:ascii="宋体" w:hAnsi="宋体" w:cs="宋体"/>
                <w:color w:val="auto"/>
                <w:kern w:val="0"/>
                <w:sz w:val="16"/>
                <w:szCs w:val="16"/>
                <w:lang w:val="en-US"/>
              </w:rPr>
              <w:t>组织开展大型科普活动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rPr>
            </w:pPr>
            <w:r>
              <w:rPr>
                <w:rFonts w:hint="default" w:ascii="宋体" w:hAnsi="宋体" w:cs="宋体"/>
                <w:color w:val="auto"/>
                <w:kern w:val="0"/>
                <w:sz w:val="16"/>
                <w:szCs w:val="16"/>
                <w:lang w:val="en-US"/>
              </w:rPr>
              <w:t>1</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组织通州区科技活动周大型活动1次</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20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lang w:eastAsia="zh-CN"/>
              </w:rPr>
              <w:t>指标</w:t>
            </w:r>
            <w:r>
              <w:rPr>
                <w:rFonts w:hint="eastAsia" w:ascii="宋体" w:hAnsi="宋体" w:cs="宋体"/>
                <w:color w:val="auto"/>
                <w:kern w:val="0"/>
                <w:sz w:val="16"/>
                <w:szCs w:val="16"/>
                <w:lang w:val="en-US" w:eastAsia="zh-CN"/>
              </w:rPr>
              <w:t>3：</w:t>
            </w:r>
            <w:r>
              <w:rPr>
                <w:rFonts w:hint="eastAsia" w:ascii="宋体" w:hAnsi="宋体" w:cs="宋体"/>
                <w:color w:val="auto"/>
                <w:kern w:val="0"/>
                <w:sz w:val="16"/>
                <w:szCs w:val="16"/>
              </w:rPr>
              <w:t>组织基层科普活动覆盖街道乡镇数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15</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开展基层科普活动覆盖20个街镇</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20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54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指标1：年内按计划完成任务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按预定计划完成全部任务</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完成全部任务</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指标1：完成立项、资金拨付和实施管理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lang w:val="en-US" w:eastAsia="zh-CN"/>
              </w:rPr>
              <w:t>12月前</w:t>
            </w:r>
            <w:r>
              <w:rPr>
                <w:rFonts w:hint="eastAsia" w:ascii="宋体" w:hAnsi="宋体" w:cs="宋体"/>
                <w:color w:val="auto"/>
                <w:kern w:val="0"/>
                <w:sz w:val="16"/>
                <w:szCs w:val="16"/>
              </w:rPr>
              <w:t>完成立项、资金拨付和实施管理</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已完成</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rPr>
              <w:t>指标1：</w:t>
            </w:r>
            <w:r>
              <w:rPr>
                <w:rFonts w:hint="eastAsia" w:ascii="宋体" w:hAnsi="宋体" w:cs="宋体"/>
                <w:color w:val="auto"/>
                <w:kern w:val="0"/>
                <w:sz w:val="16"/>
                <w:szCs w:val="16"/>
                <w:lang w:eastAsia="zh-CN"/>
              </w:rPr>
              <w:t>成本控制在</w:t>
            </w:r>
            <w:r>
              <w:rPr>
                <w:rFonts w:hint="eastAsia" w:ascii="宋体" w:hAnsi="宋体" w:cs="宋体"/>
                <w:color w:val="auto"/>
                <w:kern w:val="0"/>
                <w:sz w:val="16"/>
                <w:szCs w:val="16"/>
                <w:lang w:val="en-US" w:eastAsia="zh-CN"/>
              </w:rPr>
              <w:t>600万元内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600</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595.4</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trHeight w:val="21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指标1：科普服务能力、科普文化氛围</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通州区科普基地服务能力进一步提升，基层科普设施更加完善，全社会学科学、爱科学、用科学良好科普文化氛围更加浓厚。</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通州区科普基地服务能力进一步提升，基层科普设施更加完善，全社会学科学、爱科学、用科学良好科普文化氛围更加浓厚。</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全区科普能力、创新氛围仍需进一步加强</w:t>
            </w:r>
          </w:p>
        </w:tc>
      </w:tr>
      <w:tr>
        <w:trPr>
          <w:trHeight w:val="111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1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指标1：辖区公众对科普工作的认知度、满意度逐步提升，对科普工作开展满意度良好以上。</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良好</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居民满意度良好</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需进一步提高市民科普服务满意度</w:t>
            </w:r>
          </w:p>
        </w:tc>
      </w:tr>
      <w:tr>
        <w:tblPrEx>
          <w:tblCellMar>
            <w:top w:w="0" w:type="dxa"/>
            <w:left w:w="108" w:type="dxa"/>
            <w:bottom w:w="0" w:type="dxa"/>
            <w:right w:w="108" w:type="dxa"/>
          </w:tblCellMar>
        </w:tblPrEx>
        <w:trPr>
          <w:trHeight w:val="291" w:hRule="exact"/>
          <w:jc w:val="center"/>
        </w:trPr>
        <w:tc>
          <w:tcPr>
            <w:tcW w:w="672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81" w:type="dxa"/>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100</w:t>
            </w:r>
          </w:p>
        </w:tc>
        <w:tc>
          <w:tcPr>
            <w:tcW w:w="600"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72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
              </w:rPr>
            </w:pP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5"/>
        <w:rPr>
          <w:rFonts w:hint="eastAsia" w:ascii="宋体" w:hAnsi="宋体" w:eastAsia="宋体" w:cs="宋体"/>
          <w:color w:val="auto"/>
          <w:kern w:val="0"/>
          <w:sz w:val="22"/>
          <w:szCs w:val="24"/>
          <w:lang w:val="en-US" w:eastAsia="zh-CN" w:bidi="ar-SA"/>
        </w:rPr>
      </w:pPr>
    </w:p>
    <w:tbl>
      <w:tblPr>
        <w:tblStyle w:val="10"/>
        <w:tblW w:w="9315" w:type="dxa"/>
        <w:jc w:val="center"/>
        <w:tblLayout w:type="fixed"/>
        <w:tblCellMar>
          <w:top w:w="0" w:type="dxa"/>
          <w:left w:w="108" w:type="dxa"/>
          <w:bottom w:w="0" w:type="dxa"/>
          <w:right w:w="108" w:type="dxa"/>
        </w:tblCellMar>
      </w:tblPr>
      <w:tblGrid>
        <w:gridCol w:w="578"/>
        <w:gridCol w:w="971"/>
        <w:gridCol w:w="1190"/>
        <w:gridCol w:w="612"/>
        <w:gridCol w:w="1114"/>
        <w:gridCol w:w="85"/>
        <w:gridCol w:w="1134"/>
        <w:gridCol w:w="1041"/>
        <w:gridCol w:w="581"/>
        <w:gridCol w:w="87"/>
        <w:gridCol w:w="513"/>
        <w:gridCol w:w="323"/>
        <w:gridCol w:w="1086"/>
      </w:tblGrid>
      <w:tr>
        <w:tblPrEx>
          <w:tblCellMar>
            <w:top w:w="0" w:type="dxa"/>
            <w:left w:w="108" w:type="dxa"/>
            <w:bottom w:w="0" w:type="dxa"/>
            <w:right w:w="108" w:type="dxa"/>
          </w:tblCellMar>
        </w:tblPrEx>
        <w:trPr>
          <w:trHeight w:val="440" w:hRule="exact"/>
          <w:jc w:val="center"/>
        </w:trPr>
        <w:tc>
          <w:tcPr>
            <w:tcW w:w="9315"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9315"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default" w:ascii="宋体" w:hAnsi="宋体" w:cs="宋体"/>
                <w:color w:val="auto"/>
                <w:kern w:val="0"/>
                <w:sz w:val="22"/>
                <w:lang w:val="en-US"/>
              </w:rPr>
              <w:t>2024</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766"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科技创新资金</w:t>
            </w:r>
          </w:p>
        </w:tc>
      </w:tr>
      <w:tr>
        <w:tblPrEx>
          <w:tblCellMar>
            <w:top w:w="0" w:type="dxa"/>
            <w:left w:w="108" w:type="dxa"/>
            <w:bottom w:w="0" w:type="dxa"/>
            <w:right w:w="108" w:type="dxa"/>
          </w:tblCellMar>
        </w:tblPrEx>
        <w:trPr>
          <w:trHeight w:val="291" w:hRule="exac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3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r>
      <w:tr>
        <w:tblPrEx>
          <w:tblCellMar>
            <w:top w:w="0" w:type="dxa"/>
            <w:left w:w="108" w:type="dxa"/>
            <w:bottom w:w="0" w:type="dxa"/>
            <w:right w:w="108" w:type="dxa"/>
          </w:tblCellMar>
        </w:tblPrEx>
        <w:trPr>
          <w:trHeight w:val="559" w:hRule="exact"/>
          <w:jc w:val="center"/>
        </w:trPr>
        <w:tc>
          <w:tcPr>
            <w:tcW w:w="154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6860</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6860</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6860</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6860</w:t>
            </w: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6860</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6860</w:t>
            </w: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1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0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265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6"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 xml:space="preserve"> </w:t>
            </w:r>
            <w:r>
              <w:rPr>
                <w:rFonts w:hint="eastAsia" w:ascii="宋体" w:hAnsi="宋体" w:cs="宋体"/>
                <w:color w:val="auto"/>
                <w:kern w:val="0"/>
                <w:sz w:val="16"/>
                <w:szCs w:val="16"/>
                <w:lang w:val="en-US" w:eastAsia="zh-CN"/>
              </w:rPr>
              <w:t xml:space="preserve">   </w:t>
            </w:r>
            <w:r>
              <w:rPr>
                <w:rFonts w:hint="eastAsia" w:ascii="宋体" w:hAnsi="宋体" w:cs="宋体"/>
                <w:color w:val="auto"/>
                <w:kern w:val="0"/>
                <w:sz w:val="16"/>
                <w:szCs w:val="16"/>
              </w:rPr>
              <w:t>项目将围绕培育区内高质量创新主体，对创新主体给予支持；围绕促进副中心科技服务业发展，对创新创业及科技服务机构给予支持；围绕城市建设与管理，民生事业及产业发展，推动应用场景建设，聚焦设计小镇等重点区域，开展文化科技融合、新一代信息技术、生物医药工程、现代农业、装备制造与节能环保等方面开展科技支撑，促进产学研合作及成果转化，开展项目征集。评选出创新性强、技术含量高的科技研发、成果转化及公益服务类科技项目给予支持，为加快北京城市副中心建设、构建高精尖经济结构、促进区域经济社会协调发展提供科技支撑。围绕科技创新人才培养，对通州区优秀科技创新团队和杰出青年科技工作者进行奖励，推动区内人才集聚发展。</w:t>
            </w:r>
          </w:p>
        </w:tc>
        <w:tc>
          <w:tcPr>
            <w:tcW w:w="363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培育区内高质量创新主体，对</w:t>
            </w:r>
            <w:r>
              <w:rPr>
                <w:rFonts w:hint="eastAsia" w:ascii="宋体" w:hAnsi="宋体" w:cs="宋体"/>
                <w:color w:val="auto"/>
                <w:kern w:val="0"/>
                <w:sz w:val="16"/>
                <w:szCs w:val="16"/>
                <w:lang w:val="en-US" w:eastAsia="zh-CN"/>
              </w:rPr>
              <w:t>151</w:t>
            </w:r>
            <w:r>
              <w:rPr>
                <w:rFonts w:hint="eastAsia" w:ascii="宋体" w:hAnsi="宋体" w:cs="宋体"/>
                <w:color w:val="auto"/>
                <w:kern w:val="0"/>
                <w:sz w:val="16"/>
                <w:szCs w:val="16"/>
              </w:rPr>
              <w:t>个创新主体给予支持；围绕促进副中心科技服务业发展，对13家机构给予支持；围绕城市建设与管理，民生事业及产业发展，推动8个应用场景建设，聚焦设计小镇等重点区域，开展文化科技融合、新一代信息技术、生物医药工程、现代农业、装备制造与节能环保等方面开展科技支撑，促进产学研合作及成果转化，对创新性强、技术含量高的科技研发、成果转化及公益服务类87个科技项目给予支持，为加快北京城市副中心建设、构建高精尖经济结构、促进区域经济社会协调发展提供科技支撑。围绕科技创新人才培养，对</w:t>
            </w:r>
            <w:r>
              <w:rPr>
                <w:rFonts w:hint="eastAsia" w:ascii="宋体" w:hAnsi="宋体" w:cs="宋体"/>
                <w:color w:val="auto"/>
                <w:kern w:val="0"/>
                <w:sz w:val="16"/>
                <w:szCs w:val="16"/>
                <w:lang w:val="en-US" w:eastAsia="zh-CN"/>
              </w:rPr>
              <w:t>9个</w:t>
            </w:r>
            <w:r>
              <w:rPr>
                <w:rFonts w:hint="eastAsia" w:ascii="宋体" w:hAnsi="宋体" w:cs="宋体"/>
                <w:color w:val="auto"/>
                <w:kern w:val="0"/>
                <w:sz w:val="16"/>
                <w:szCs w:val="16"/>
              </w:rPr>
              <w:t>通州区优秀科技创新团队和</w:t>
            </w:r>
            <w:r>
              <w:rPr>
                <w:rFonts w:hint="eastAsia" w:ascii="宋体" w:hAnsi="宋体" w:cs="宋体"/>
                <w:color w:val="auto"/>
                <w:kern w:val="0"/>
                <w:sz w:val="16"/>
                <w:szCs w:val="16"/>
                <w:lang w:val="en-US" w:eastAsia="zh-CN"/>
              </w:rPr>
              <w:t>30名</w:t>
            </w:r>
            <w:r>
              <w:rPr>
                <w:rFonts w:hint="eastAsia" w:ascii="宋体" w:hAnsi="宋体" w:cs="宋体"/>
                <w:color w:val="auto"/>
                <w:kern w:val="0"/>
                <w:sz w:val="16"/>
                <w:szCs w:val="16"/>
              </w:rPr>
              <w:t>杰出青年科技工作者进行</w:t>
            </w:r>
            <w:r>
              <w:rPr>
                <w:rFonts w:hint="eastAsia" w:ascii="宋体" w:hAnsi="宋体" w:cs="宋体"/>
                <w:color w:val="auto"/>
                <w:kern w:val="0"/>
                <w:sz w:val="16"/>
                <w:szCs w:val="16"/>
                <w:lang w:eastAsia="zh-CN"/>
              </w:rPr>
              <w:t>项目支持</w:t>
            </w:r>
            <w:r>
              <w:rPr>
                <w:rFonts w:hint="eastAsia" w:ascii="宋体" w:hAnsi="宋体" w:cs="宋体"/>
                <w:color w:val="auto"/>
                <w:kern w:val="0"/>
                <w:sz w:val="16"/>
                <w:szCs w:val="16"/>
              </w:rPr>
              <w:t>，推动区内人才集聚发展。</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1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1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41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19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指标1：培育高质量创新主体</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default" w:ascii="宋体" w:hAnsi="宋体" w:cs="宋体"/>
                <w:color w:val="auto"/>
                <w:kern w:val="0"/>
                <w:sz w:val="16"/>
                <w:szCs w:val="16"/>
                <w:lang w:val="en-US"/>
              </w:rPr>
              <w:t>≥</w:t>
            </w:r>
            <w:r>
              <w:rPr>
                <w:rFonts w:hint="eastAsia" w:ascii="宋体" w:hAnsi="宋体" w:cs="宋体"/>
                <w:color w:val="auto"/>
                <w:kern w:val="0"/>
                <w:sz w:val="16"/>
                <w:szCs w:val="16"/>
                <w:lang w:val="en-US" w:eastAsia="zh-CN"/>
              </w:rPr>
              <w:t>100家</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151家</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cs="宋体"/>
                <w:color w:val="auto"/>
                <w:kern w:val="0"/>
                <w:sz w:val="16"/>
                <w:szCs w:val="16"/>
                <w:lang w:val="en-US"/>
              </w:rPr>
            </w:pPr>
            <w:r>
              <w:rPr>
                <w:rFonts w:hint="eastAsia" w:ascii="宋体" w:hAnsi="宋体" w:cs="宋体"/>
                <w:color w:val="auto"/>
                <w:kern w:val="0"/>
                <w:sz w:val="16"/>
                <w:szCs w:val="16"/>
              </w:rPr>
              <w:t>指标2：</w:t>
            </w:r>
            <w:r>
              <w:rPr>
                <w:rFonts w:hint="default" w:ascii="宋体" w:hAnsi="宋体" w:cs="宋体"/>
                <w:color w:val="auto"/>
                <w:kern w:val="0"/>
                <w:sz w:val="16"/>
                <w:szCs w:val="16"/>
                <w:lang w:val="en-US"/>
              </w:rPr>
              <w:t>支持技术合同交易额前10名单位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10家</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10家</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lang w:eastAsia="zh-CN"/>
              </w:rPr>
              <w:t>指标</w:t>
            </w:r>
            <w:r>
              <w:rPr>
                <w:rFonts w:hint="eastAsia" w:ascii="宋体" w:hAnsi="宋体" w:cs="宋体"/>
                <w:color w:val="auto"/>
                <w:kern w:val="0"/>
                <w:sz w:val="16"/>
                <w:szCs w:val="16"/>
                <w:lang w:val="en-US" w:eastAsia="zh-CN"/>
              </w:rPr>
              <w:t>3：</w:t>
            </w:r>
            <w:r>
              <w:rPr>
                <w:rFonts w:hint="eastAsia" w:ascii="宋体" w:hAnsi="宋体" w:cs="宋体"/>
                <w:color w:val="auto"/>
                <w:kern w:val="0"/>
                <w:sz w:val="16"/>
                <w:szCs w:val="16"/>
              </w:rPr>
              <w:t>加快科技服务业发展，支持相关企业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auto"/>
                <w:kern w:val="0"/>
                <w:sz w:val="16"/>
                <w:szCs w:val="16"/>
                <w:lang w:val="en-US" w:eastAsia="zh-CN"/>
              </w:rPr>
            </w:pPr>
            <w:r>
              <w:rPr>
                <w:rFonts w:hint="default" w:ascii="宋体" w:hAnsi="宋体" w:cs="宋体"/>
                <w:color w:val="auto"/>
                <w:kern w:val="0"/>
                <w:sz w:val="16"/>
                <w:szCs w:val="16"/>
                <w:lang w:val="en-US"/>
              </w:rPr>
              <w:t>≥</w:t>
            </w:r>
            <w:r>
              <w:rPr>
                <w:rFonts w:hint="eastAsia" w:ascii="宋体" w:hAnsi="宋体" w:cs="宋体"/>
                <w:color w:val="auto"/>
                <w:kern w:val="0"/>
                <w:sz w:val="16"/>
                <w:szCs w:val="16"/>
                <w:lang w:val="en-US" w:eastAsia="zh-CN"/>
              </w:rPr>
              <w:t>10家</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13家</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42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eastAsia="zh-CN"/>
              </w:rPr>
              <w:t>指标</w:t>
            </w:r>
            <w:r>
              <w:rPr>
                <w:rFonts w:hint="eastAsia" w:ascii="宋体" w:hAnsi="宋体" w:cs="宋体"/>
                <w:color w:val="auto"/>
                <w:kern w:val="0"/>
                <w:sz w:val="16"/>
                <w:szCs w:val="16"/>
                <w:lang w:val="en-US" w:eastAsia="zh-CN"/>
              </w:rPr>
              <w:t>4：支持科技项目数量</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rPr>
            </w:pPr>
            <w:r>
              <w:rPr>
                <w:rFonts w:hint="default" w:ascii="宋体" w:hAnsi="宋体" w:cs="宋体"/>
                <w:color w:val="auto"/>
                <w:kern w:val="0"/>
                <w:sz w:val="16"/>
                <w:szCs w:val="16"/>
                <w:lang w:val="en-US"/>
              </w:rPr>
              <w:t>≥</w:t>
            </w:r>
            <w:r>
              <w:rPr>
                <w:rFonts w:hint="eastAsia" w:ascii="宋体" w:hAnsi="宋体" w:cs="宋体"/>
                <w:color w:val="auto"/>
                <w:kern w:val="0"/>
                <w:sz w:val="16"/>
                <w:szCs w:val="16"/>
                <w:lang w:val="en-US" w:eastAsia="zh-CN"/>
              </w:rPr>
              <w:t>100项</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134项</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20</w:t>
            </w:r>
          </w:p>
        </w:tc>
        <w:tc>
          <w:tcPr>
            <w:tcW w:w="6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20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74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指标1：符合副中心新场景建设、产业发展规划、政府工作报告等文件明确的发展方向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ind w:firstLine="160" w:firstLineChars="100"/>
              <w:jc w:val="left"/>
              <w:textAlignment w:val="auto"/>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定性</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符合</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112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指标2：项目管理过程清晰</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符合通州区科技计划项目管理办法规定，项目管理流程清晰。</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符合通州区科技计划项目管理办法规定，项目管理流程清晰。</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58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lang w:eastAsia="zh-CN"/>
              </w:rPr>
              <w:t>指标</w:t>
            </w:r>
            <w:r>
              <w:rPr>
                <w:rFonts w:hint="eastAsia" w:ascii="宋体" w:hAnsi="宋体" w:cs="宋体"/>
                <w:color w:val="auto"/>
                <w:kern w:val="0"/>
                <w:sz w:val="16"/>
                <w:szCs w:val="16"/>
                <w:lang w:val="en-US" w:eastAsia="zh-CN"/>
              </w:rPr>
              <w:t>3：</w:t>
            </w:r>
            <w:r>
              <w:rPr>
                <w:rFonts w:hint="eastAsia" w:ascii="宋体" w:hAnsi="宋体" w:cs="宋体"/>
                <w:color w:val="auto"/>
                <w:kern w:val="0"/>
                <w:sz w:val="16"/>
                <w:szCs w:val="16"/>
              </w:rPr>
              <w:t>项目确定原则明确</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rPr>
            </w:pPr>
            <w:r>
              <w:rPr>
                <w:rFonts w:hint="eastAsia" w:ascii="宋体" w:hAnsi="宋体" w:cs="宋体"/>
                <w:color w:val="auto"/>
                <w:kern w:val="0"/>
                <w:sz w:val="16"/>
                <w:szCs w:val="16"/>
              </w:rPr>
              <w:t>依据专家论证意见及党组会决策。</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项目均有专家论证及党组会决策。</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6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5</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125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19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指标1：提升通州区企业科技研发能力，培育新技术新产品应用示范环境。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通过项目实施，营造区域良好创新氛围，提升科技创新主体技术能力。</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通过项目实施，营造区域良好创新氛围，提升科技创新主体技术能力。</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通过项目实施，营造了区域良好创新氛围，但在科技创新主体技术能力方面还有进一步提升空间。</w:t>
            </w:r>
          </w:p>
        </w:tc>
      </w:tr>
      <w:tr>
        <w:tblPrEx>
          <w:tblCellMar>
            <w:top w:w="0" w:type="dxa"/>
            <w:left w:w="108" w:type="dxa"/>
            <w:bottom w:w="0" w:type="dxa"/>
            <w:right w:w="108" w:type="dxa"/>
          </w:tblCellMar>
        </w:tblPrEx>
        <w:trPr>
          <w:trHeight w:val="73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1"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hAnsi="宋体" w:cs="宋体"/>
                <w:color w:val="auto"/>
                <w:kern w:val="0"/>
                <w:sz w:val="16"/>
                <w:szCs w:val="16"/>
              </w:rPr>
            </w:pPr>
            <w:r>
              <w:rPr>
                <w:rFonts w:hint="eastAsia" w:ascii="宋体" w:hAnsi="宋体" w:cs="宋体"/>
                <w:color w:val="auto"/>
                <w:kern w:val="0"/>
                <w:sz w:val="16"/>
                <w:szCs w:val="16"/>
              </w:rPr>
              <w:t>指标1：服务对象满意度指标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宋体" w:hAnsi="宋体" w:cs="宋体"/>
                <w:color w:val="auto"/>
                <w:kern w:val="0"/>
                <w:sz w:val="16"/>
                <w:szCs w:val="16"/>
                <w:lang w:val="en-US"/>
              </w:rPr>
            </w:pPr>
            <w:r>
              <w:rPr>
                <w:rFonts w:hint="default" w:ascii="宋体" w:hAnsi="宋体" w:cs="宋体"/>
                <w:color w:val="auto"/>
                <w:kern w:val="0"/>
                <w:sz w:val="16"/>
                <w:szCs w:val="16"/>
                <w:lang w:val="en-US"/>
              </w:rPr>
              <w:t>项目单位满意度≥</w:t>
            </w:r>
            <w:r>
              <w:rPr>
                <w:rFonts w:hint="eastAsia" w:ascii="宋体" w:hAnsi="宋体" w:cs="宋体"/>
                <w:color w:val="auto"/>
                <w:kern w:val="0"/>
                <w:sz w:val="16"/>
                <w:szCs w:val="16"/>
                <w:lang w:val="en-US" w:eastAsia="zh-CN"/>
              </w:rPr>
              <w:t>90%</w:t>
            </w:r>
          </w:p>
        </w:tc>
        <w:tc>
          <w:tcPr>
            <w:tcW w:w="1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宋体" w:hAnsi="宋体" w:cs="宋体"/>
                <w:color w:val="auto"/>
                <w:kern w:val="0"/>
                <w:sz w:val="16"/>
                <w:szCs w:val="16"/>
                <w:lang w:val="en-US" w:eastAsia="zh-CN"/>
              </w:rPr>
            </w:pPr>
            <w:r>
              <w:rPr>
                <w:rFonts w:hint="default" w:ascii="宋体" w:hAnsi="宋体" w:cs="宋体"/>
                <w:color w:val="auto"/>
                <w:kern w:val="0"/>
                <w:sz w:val="16"/>
                <w:szCs w:val="16"/>
                <w:lang w:val="en-US" w:eastAsia="zh-CN"/>
              </w:rPr>
              <w:t>单位满意度</w:t>
            </w:r>
            <w:r>
              <w:rPr>
                <w:rFonts w:hint="eastAsia" w:ascii="宋体" w:hAnsi="宋体" w:cs="宋体"/>
                <w:color w:val="auto"/>
                <w:kern w:val="0"/>
                <w:sz w:val="16"/>
                <w:szCs w:val="16"/>
                <w:lang w:val="en-US" w:eastAsia="zh-CN"/>
              </w:rPr>
              <w:t>100%</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6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4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无</w:t>
            </w:r>
          </w:p>
        </w:tc>
      </w:tr>
      <w:tr>
        <w:tblPrEx>
          <w:tblCellMar>
            <w:top w:w="0" w:type="dxa"/>
            <w:left w:w="108" w:type="dxa"/>
            <w:bottom w:w="0" w:type="dxa"/>
            <w:right w:w="108" w:type="dxa"/>
          </w:tblCellMar>
        </w:tblPrEx>
        <w:trPr>
          <w:trHeight w:val="291" w:hRule="exact"/>
          <w:jc w:val="center"/>
        </w:trPr>
        <w:tc>
          <w:tcPr>
            <w:tcW w:w="672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9"/>
        <w:rPr>
          <w:rFonts w:hint="eastAsia" w:ascii="宋体" w:hAnsi="宋体" w:eastAsia="宋体" w:cs="宋体"/>
          <w:color w:val="auto"/>
          <w:kern w:val="0"/>
          <w:sz w:val="22"/>
          <w:szCs w:val="24"/>
          <w:lang w:val="en-US" w:eastAsia="zh-CN" w:bidi="ar-SA"/>
        </w:rPr>
      </w:pPr>
    </w:p>
    <w:p>
      <w:pPr>
        <w:rPr>
          <w:rFonts w:hint="eastAsia"/>
          <w:lang w:val="en-US" w:eastAsia="zh-CN"/>
        </w:rPr>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244"/>
        <w:gridCol w:w="863"/>
        <w:gridCol w:w="976"/>
        <w:gridCol w:w="74"/>
        <w:gridCol w:w="635"/>
        <w:gridCol w:w="136"/>
        <w:gridCol w:w="573"/>
        <w:gridCol w:w="263"/>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（2024年度）</w:t>
            </w:r>
          </w:p>
        </w:tc>
      </w:tr>
      <w:tr>
        <w:tblPrEx>
          <w:tblCellMar>
            <w:top w:w="0" w:type="dxa"/>
            <w:left w:w="108" w:type="dxa"/>
            <w:bottom w:w="0" w:type="dxa"/>
            <w:right w:w="108" w:type="dxa"/>
          </w:tblCellMar>
        </w:tblPrEx>
        <w:trPr>
          <w:trHeight w:val="42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京津冀创新中心通州中心运营经费</w:t>
            </w:r>
          </w:p>
        </w:tc>
      </w:tr>
      <w:tr>
        <w:trPr>
          <w:trHeight w:val="559"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北京市通州区科学技术委员会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北京市通州区科学技术委员会</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rPr>
          <w:trHeight w:val="397"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86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1.持续建设技术创新中心人才队伍：全职高级项目经理团队规模达到8人。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2.推进技术成果转移转化落地：推动建立并运行技术，年度至少投资2个项目；吸引5家创新型企业迁移或注册到通州，推动重大科技成果在通州转移转化8-10项。</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3.推动京津冀协同创新：与燕郊中心团队联动，至少推动一个项目在通州和燕郊联动落地；与燕郊联合举办创新创业活动不少于2场；完善体系建设，筹建并运行医疗器械孵化器（医疗器械产业技术创新中心）。</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4.服务通州区科技创新：面向通州属地机构挖掘优质项目并向京津冀国家技术创新中心管理的科技部颠覆性技术专项推荐至少3项；与通州区3家以上机构达成合作意向。</w:t>
            </w:r>
          </w:p>
        </w:tc>
        <w:tc>
          <w:tcPr>
            <w:tcW w:w="3356" w:type="dxa"/>
            <w:gridSpan w:val="7"/>
            <w:tcBorders>
              <w:top w:val="single" w:color="auto" w:sz="4" w:space="0"/>
              <w:left w:val="nil"/>
              <w:bottom w:val="single" w:color="auto" w:sz="4" w:space="0"/>
              <w:right w:val="single" w:color="auto" w:sz="4" w:space="0"/>
            </w:tcBorders>
            <w:vAlign w:val="center"/>
          </w:tcPr>
          <w:p>
            <w:pPr>
              <w:pStyle w:val="19"/>
              <w:widowControl/>
              <w:kinsoku w:val="0"/>
              <w:overflowPunct w:val="0"/>
              <w:adjustRightInd w:val="0"/>
              <w:snapToGrid w:val="0"/>
              <w:ind w:firstLine="0"/>
              <w:textAlignment w:val="baseline"/>
              <w:rPr>
                <w:rFonts w:ascii="宋体" w:hAnsi="宋体" w:cs="宋体"/>
                <w:kern w:val="0"/>
                <w:sz w:val="18"/>
                <w:szCs w:val="18"/>
              </w:rPr>
            </w:pPr>
            <w:r>
              <w:rPr>
                <w:rFonts w:hint="eastAsia" w:ascii="宋体" w:hAnsi="宋体" w:cs="宋体"/>
                <w:kern w:val="0"/>
                <w:sz w:val="18"/>
                <w:szCs w:val="18"/>
              </w:rPr>
              <w:t>1.已组建8人高级项目经理团队。</w:t>
            </w:r>
          </w:p>
          <w:p>
            <w:pPr>
              <w:pStyle w:val="19"/>
              <w:widowControl/>
              <w:kinsoku w:val="0"/>
              <w:overflowPunct w:val="0"/>
              <w:adjustRightInd w:val="0"/>
              <w:snapToGrid w:val="0"/>
              <w:ind w:firstLine="0"/>
              <w:textAlignment w:val="baseline"/>
              <w:rPr>
                <w:rFonts w:ascii="宋体" w:hAnsi="宋体" w:cs="宋体"/>
                <w:kern w:val="0"/>
                <w:sz w:val="18"/>
                <w:szCs w:val="18"/>
              </w:rPr>
            </w:pPr>
            <w:r>
              <w:rPr>
                <w:rFonts w:hint="eastAsia" w:ascii="宋体" w:hAnsi="宋体" w:cs="宋体"/>
                <w:kern w:val="0"/>
                <w:sz w:val="18"/>
                <w:szCs w:val="18"/>
              </w:rPr>
              <w:t>2.成果转移转化加速基金—通政创新（北京）股权投资基金合伙企业（有限合伙）注册成立，完成基金业协会备案，基金规模2200万，已向2个项目发送投资意向书；已牵引创新型企业落地8家；已完成重大科技成果转移转化9项。</w:t>
            </w:r>
          </w:p>
          <w:p>
            <w:pPr>
              <w:pStyle w:val="19"/>
              <w:widowControl/>
              <w:kinsoku w:val="0"/>
              <w:overflowPunct w:val="0"/>
              <w:adjustRightInd w:val="0"/>
              <w:snapToGrid w:val="0"/>
              <w:ind w:firstLine="0"/>
              <w:textAlignment w:val="baseline"/>
              <w:rPr>
                <w:rFonts w:ascii="宋体" w:hAnsi="宋体" w:cs="宋体"/>
                <w:kern w:val="0"/>
                <w:sz w:val="18"/>
                <w:szCs w:val="18"/>
              </w:rPr>
            </w:pPr>
            <w:r>
              <w:rPr>
                <w:rFonts w:hint="eastAsia" w:ascii="宋体" w:hAnsi="宋体" w:cs="宋体"/>
                <w:kern w:val="0"/>
                <w:sz w:val="18"/>
                <w:szCs w:val="18"/>
              </w:rPr>
              <w:t>3.完成黑鲸能源在通州和燕郊联动落地；与燕郊联合举办2场创新创业活动；已完成孵化器筹建，注册资金为1800万元人民币，股东出资已到位，孵化器已组建6人团队。</w:t>
            </w:r>
          </w:p>
          <w:p>
            <w:pPr>
              <w:pStyle w:val="19"/>
              <w:widowControl/>
              <w:kinsoku w:val="0"/>
              <w:overflowPunct w:val="0"/>
              <w:adjustRightInd w:val="0"/>
              <w:snapToGrid w:val="0"/>
              <w:ind w:firstLine="0"/>
              <w:textAlignment w:val="baseline"/>
              <w:rPr>
                <w:rFonts w:ascii="宋体" w:hAnsi="宋体" w:cs="宋体"/>
                <w:kern w:val="0"/>
                <w:sz w:val="18"/>
                <w:szCs w:val="18"/>
              </w:rPr>
            </w:pPr>
            <w:r>
              <w:rPr>
                <w:rFonts w:hint="eastAsia" w:ascii="宋体" w:hAnsi="宋体" w:cs="宋体"/>
                <w:kern w:val="0"/>
                <w:sz w:val="18"/>
                <w:szCs w:val="18"/>
              </w:rPr>
              <w:t>4.已向中心推荐通州属地颠覆性项目21项；已与春立正达、潞河医院、友谊医院通州院区、安贞医院通州院区等机构达成实质性合作。</w:t>
            </w:r>
          </w:p>
        </w:tc>
      </w:tr>
      <w:tr>
        <w:trPr>
          <w:trHeight w:val="790"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7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13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数量指标</w:t>
            </w:r>
          </w:p>
        </w:tc>
        <w:tc>
          <w:tcPr>
            <w:tcW w:w="207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18"/>
                <w:szCs w:val="18"/>
              </w:rPr>
            </w:pPr>
            <w:r>
              <w:rPr>
                <w:rFonts w:hint="eastAsia"/>
                <w:color w:val="000000"/>
                <w:sz w:val="18"/>
                <w:szCs w:val="18"/>
              </w:rPr>
              <w:t>京津冀中心增加专职工作人员数量至10人以上，形成工作报告。</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已有10名专职工作人员</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olor w:val="000000"/>
                <w:sz w:val="18"/>
                <w:szCs w:val="18"/>
              </w:rPr>
              <w:t>20</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6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r>
      <w:tr>
        <w:trPr>
          <w:trHeight w:val="17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数量指标</w:t>
            </w:r>
          </w:p>
        </w:tc>
        <w:tc>
          <w:tcPr>
            <w:tcW w:w="207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color w:val="000000"/>
                <w:sz w:val="18"/>
                <w:szCs w:val="18"/>
              </w:rPr>
              <w:t>推动5家以上创新型企业落地，与通州区主要创新型龙头企业建立合作关系，与通州区创新平台建立统筹协同机制。</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9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已完成8家创新型企业落地，与春立正达等建立实质性合作</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olor w:val="00000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9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社会效益指标</w:t>
            </w:r>
          </w:p>
        </w:tc>
        <w:tc>
          <w:tcPr>
            <w:tcW w:w="207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color w:val="000000"/>
                <w:sz w:val="18"/>
                <w:szCs w:val="18"/>
                <w:highlight w:val="none"/>
              </w:rPr>
              <w:t>积极引入国家资源，重点锚定国家颠覆性技术专项等，力争推动20项以上具有核心竞争能力的科技成果在通州落地，与北三县等区域实现</w:t>
            </w:r>
            <w:r>
              <w:rPr>
                <w:color w:val="000000"/>
                <w:sz w:val="18"/>
                <w:szCs w:val="18"/>
                <w:highlight w:val="none"/>
              </w:rPr>
              <w:t>…</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挖掘通州属地颠覆性技术21项申报专项，并同步推动项目在通州落地。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olor w:val="00000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rPr>
          <w:trHeight w:val="24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社会效益指标</w:t>
            </w:r>
          </w:p>
        </w:tc>
        <w:tc>
          <w:tcPr>
            <w:tcW w:w="207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color w:val="000000"/>
                <w:sz w:val="18"/>
                <w:szCs w:val="18"/>
              </w:rPr>
              <w:t>督促推动技术成果转移转化加速基金运营，推动共建产业技术创新中心</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9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已督促推动6次。现基金已完成设立；孵化器（产业技术创新中心）已完成筹建。</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olor w:val="00000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2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olor w:val="000000"/>
                <w:sz w:val="18"/>
                <w:szCs w:val="18"/>
              </w:rPr>
              <w:t>满意度指标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color w:val="000000"/>
                <w:sz w:val="18"/>
                <w:szCs w:val="18"/>
              </w:rPr>
              <w:t>服务对象满意度指标</w:t>
            </w:r>
          </w:p>
        </w:tc>
        <w:tc>
          <w:tcPr>
            <w:tcW w:w="207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color w:val="000000"/>
                <w:sz w:val="18"/>
                <w:szCs w:val="18"/>
              </w:rPr>
              <w:t>服务对象满意度指标</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良好以上</w:t>
            </w:r>
          </w:p>
        </w:tc>
        <w:tc>
          <w:tcPr>
            <w:tcW w:w="9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专家组绩效评价为通过年度绩效考评</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olor w:val="00000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rPr>
          <w:trHeight w:val="491" w:hRule="exact"/>
          <w:jc w:val="center"/>
        </w:trPr>
        <w:tc>
          <w:tcPr>
            <w:tcW w:w="654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lang w:val="en-US" w:eastAsia="zh-CN"/>
        </w:rPr>
      </w:pPr>
    </w:p>
    <w:p>
      <w:pPr>
        <w:pStyle w:val="2"/>
        <w:ind w:left="0" w:leftChars="0" w:firstLine="0" w:firstLineChars="0"/>
        <w:rPr>
          <w:rFonts w:hint="eastAsia" w:ascii="仿宋_GB2312" w:hAnsi="宋体" w:eastAsia="仿宋_GB2312" w:cs="宋体"/>
          <w:b w:val="0"/>
          <w:bCs w:val="0"/>
          <w:color w:val="000000"/>
          <w:kern w:val="0"/>
          <w:sz w:val="32"/>
          <w:szCs w:val="32"/>
        </w:rPr>
        <w:sectPr>
          <w:pgSz w:w="11906" w:h="16838"/>
          <w:pgMar w:top="1911" w:right="1474" w:bottom="1418" w:left="1588" w:header="851" w:footer="992" w:gutter="0"/>
          <w:pgNumType w:fmt="numberInDash"/>
          <w:cols w:space="720" w:num="1"/>
          <w:docGrid w:type="lines" w:linePitch="312" w:charSpace="0"/>
        </w:sectPr>
      </w:pPr>
    </w:p>
    <w:tbl>
      <w:tblPr>
        <w:tblStyle w:val="10"/>
        <w:tblpPr w:leftFromText="180" w:rightFromText="180" w:vertAnchor="text" w:horzAnchor="page" w:tblpX="1594" w:tblpY="537"/>
        <w:tblOverlap w:val="never"/>
        <w:tblW w:w="8928" w:type="dxa"/>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trPr>
        <w:tc>
          <w:tcPr>
            <w:tcW w:w="8928" w:type="dxa"/>
            <w:gridSpan w:val="14"/>
            <w:tcBorders>
              <w:top w:val="nil"/>
              <w:left w:val="nil"/>
              <w:bottom w:val="nil"/>
              <w:right w:val="nil"/>
            </w:tcBorders>
            <w:vAlign w:val="center"/>
          </w:tcPr>
          <w:p>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trPr>
        <w:tc>
          <w:tcPr>
            <w:tcW w:w="8928" w:type="dxa"/>
            <w:gridSpan w:val="14"/>
            <w:tcBorders>
              <w:top w:val="nil"/>
              <w:left w:val="nil"/>
              <w:bottom w:val="nil"/>
              <w:right w:val="nil"/>
            </w:tcBorders>
          </w:tcPr>
          <w:p>
            <w:pPr>
              <w:widowControl/>
              <w:jc w:val="center"/>
              <w:rPr>
                <w:rFonts w:hint="eastAsia" w:ascii="宋体" w:hAnsi="宋体" w:cs="宋体"/>
                <w:kern w:val="0"/>
                <w:sz w:val="22"/>
              </w:rPr>
            </w:pPr>
            <w:r>
              <w:rPr>
                <w:rFonts w:hint="eastAsia" w:ascii="宋体" w:hAnsi="宋体" w:cs="宋体"/>
                <w:kern w:val="0"/>
                <w:sz w:val="22"/>
              </w:rPr>
              <w:t>（2024年度）</w:t>
            </w:r>
          </w:p>
        </w:tc>
      </w:tr>
      <w:tr>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医产协同活动服务</w:t>
            </w:r>
          </w:p>
        </w:tc>
      </w:tr>
      <w:tr>
        <w:trPr>
          <w:trHeight w:val="523"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北京市通州区科学技术委员会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北京市通州区科学技术委员会</w:t>
            </w:r>
          </w:p>
        </w:tc>
      </w:tr>
      <w:tr>
        <w:tblPrEx>
          <w:tblCellMar>
            <w:top w:w="0" w:type="dxa"/>
            <w:left w:w="108" w:type="dxa"/>
            <w:bottom w:w="0" w:type="dxa"/>
            <w:right w:w="108" w:type="dxa"/>
          </w:tblCellMar>
        </w:tblPrEx>
        <w:trPr>
          <w:trHeight w:val="559"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219.50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219.50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219.50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219.50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892" w:hRule="exact"/>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活动按时按质按量举办，促进医产互动交流，提升副中心医药健康产业生态吸引力。推进“医产协同活动平台”建设，促进医产资源整合和产业生态运营，抢占“医产协同”话语权，树立区域产业品牌，提升副中心医药健康产业影响力，助力实现副中心医药健康产业集聚发展。</w:t>
            </w:r>
          </w:p>
        </w:tc>
        <w:tc>
          <w:tcPr>
            <w:tcW w:w="3356" w:type="dxa"/>
            <w:gridSpan w:val="7"/>
            <w:tcBorders>
              <w:top w:val="single" w:color="auto" w:sz="4" w:space="0"/>
              <w:left w:val="nil"/>
              <w:bottom w:val="single" w:color="auto" w:sz="4" w:space="0"/>
              <w:right w:val="single" w:color="auto" w:sz="4" w:space="0"/>
            </w:tcBorders>
            <w:vAlign w:val="center"/>
          </w:tcPr>
          <w:p>
            <w:pPr>
              <w:adjustRightInd w:val="0"/>
              <w:snapToGrid w:val="0"/>
              <w:rPr>
                <w:rFonts w:hint="eastAsia" w:ascii="宋体" w:hAnsi="宋体" w:cs="宋体"/>
                <w:kern w:val="0"/>
                <w:sz w:val="18"/>
                <w:szCs w:val="18"/>
              </w:rPr>
            </w:pPr>
            <w:r>
              <w:rPr>
                <w:rFonts w:hint="eastAsia" w:ascii="宋体" w:hAnsi="宋体" w:cs="宋体"/>
                <w:kern w:val="0"/>
                <w:sz w:val="18"/>
                <w:szCs w:val="18"/>
              </w:rPr>
              <w:t>按时按质按量举办了活动，启动了医产协同生态平台，开展了前瞻性学术交流，展示了医疗科技创新成果，推动了医药健康项目落地，大幅提升了副中心医产协同影响力，推动了副中心医药健康产业集聚发展。</w:t>
            </w:r>
          </w:p>
        </w:tc>
      </w:tr>
      <w:tr>
        <w:trPr>
          <w:trHeight w:val="517" w:hRule="exact"/>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7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举办活动，参会人员规模300人以上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569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3"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1个签约仪式，6个以上项目展示</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≥7</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48"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举办一个以“医产协同”为主题的高质量活动，安排10个以上细分专题的研讨</w:t>
            </w:r>
          </w:p>
        </w:tc>
        <w:tc>
          <w:tcPr>
            <w:tcW w:w="938" w:type="dxa"/>
            <w:tcBorders>
              <w:top w:val="nil"/>
              <w:left w:val="nil"/>
              <w:bottom w:val="single" w:color="auto" w:sz="4" w:space="0"/>
              <w:right w:val="single" w:color="auto" w:sz="4" w:space="0"/>
            </w:tcBorders>
            <w:vAlign w:val="center"/>
          </w:tcPr>
          <w:p>
            <w:pPr>
              <w:widowControl/>
              <w:tabs>
                <w:tab w:val="left" w:pos="319"/>
              </w:tabs>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660"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2024年9月底之前，完成活动举办</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2024年9月底之前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9月7日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98"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成本控制在预算资金220万以内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219.5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8"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挖掘10个以上潜在招商项目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02"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活动举办，吸引10家以上大型三甲医院参与，促进医产协同</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3579"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活动本着绿色环保方针举办，做到低碳无污染，对北京城市副中心医药健康产业生态有显著提升。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活动本着绿色环保方针举办，做到低碳无污染，对北京城市副中心医药健康产业生态有显著提升。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活动本着绿色环保方针举办，做到低碳无污染，对北京城市副中心医药健康产业生态有显著提升。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60" w:hRule="exact"/>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活动举办，为发展联盟积累医院和企业20家以上潜在成员单位，促进资源集聚何产业可持续发展</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29</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41"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活动举办，吸引20家以上媒体报道，中长期内都有利于增强本区域医药健康产业知名度，具有可持续影响</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360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97" w:hRule="exact"/>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项目启动后，主办方和协办方紧密配合，协调推进，满意程度高</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95</w:t>
            </w:r>
            <w:r>
              <w:rPr>
                <w:rFonts w:hint="eastAsia" w:ascii="宋体" w:hAnsi="宋体" w:cs="宋体"/>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471" w:hRule="exact"/>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bl>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rPr>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hint="eastAsia" w:ascii="宋体" w:hAnsi="宋体" w:cs="宋体"/>
                <w:kern w:val="0"/>
                <w:sz w:val="22"/>
              </w:rPr>
            </w:pPr>
            <w:r>
              <w:rPr>
                <w:rFonts w:hint="eastAsia" w:ascii="宋体" w:hAnsi="宋体" w:cs="宋体"/>
                <w:kern w:val="0"/>
                <w:sz w:val="22"/>
              </w:rPr>
              <w:t>（2024年度）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医药健康产业咨询服务</w:t>
            </w:r>
          </w:p>
        </w:tc>
      </w:tr>
      <w:tr>
        <w:trPr>
          <w:trHeight w:val="523"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北京市通州区科学技术委员会</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北京市通州区科学技术委员会</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89.50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89.50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实际完成情况</w:t>
            </w:r>
          </w:p>
        </w:tc>
      </w:tr>
      <w:tr>
        <w:tblPrEx>
          <w:tblCellMar>
            <w:top w:w="0" w:type="dxa"/>
            <w:left w:w="108" w:type="dxa"/>
            <w:bottom w:w="0" w:type="dxa"/>
            <w:right w:w="108" w:type="dxa"/>
          </w:tblCellMar>
        </w:tblPrEx>
        <w:trPr>
          <w:trHeight w:val="163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作为搭建医产协同“4个平台”之一，即产业服务支撑平台的主要构成部分，动态化研究产业细分领域，常态化支撑政府项目决策，对北京市医药健康产业及主要发展区域跟踪研究，系统化提升医产协同话语权，整合专业力量，围绕“医产协同”主题，促进提升医药健康产业生态能级和产业集聚发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按时按质按量完成了项目，提交并通过验收了项目成果，</w:t>
            </w:r>
            <w:r>
              <w:rPr>
                <w:rFonts w:hint="eastAsia" w:ascii="宋体" w:hAnsi="宋体" w:cs="宋体"/>
                <w:kern w:val="0"/>
                <w:sz w:val="18"/>
                <w:szCs w:val="18"/>
              </w:rPr>
              <w:t>动态化研究了产业细分领域，常态化支撑了政府项目决策，系统化提升医产协同话语权，整合专业力量，促进提升了医药健康产业生态能级和产业集聚发展。</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34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完成提交“AI+医疗健康”、动物实验、医疗器械检验检测、合成生物+医药健康”4个子行业研究。</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5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拟定1本《医产协同发展白皮书（2024）》</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对提交的成果，制定专家评审方案，组织专家评审，并通过专家评审。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通过评审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通过评审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2024年11月30日之前完成</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2024年11月30日之前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2024年10月25日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成本控制在预算范围内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89.5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7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梳理出10个以上潜在招商项目，促进产业集聚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吸引5家以上大型三甲医院参与本区医产协同合作，促进医产协同资源集聚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咨询服务工作，绿色环保方针，无污染</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无污染</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绿色环保，无污染</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42"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子行业研究，梳理出100家以上潜在招商对象，有利于针对性招商和可持续发展</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225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rPr>
          <w:trHeight w:val="12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《白皮书》发布，吸引20家以上媒体报道，中长期内都有利于增强本区域医药健康产业知名度，具有可持续影响</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委托单位满意度高</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bl>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rPr>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通州生物医药产业咨询服务</w:t>
            </w:r>
          </w:p>
        </w:tc>
      </w:tr>
      <w:tr>
        <w:trPr>
          <w:trHeight w:val="52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r>
      <w:tr>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rPr>
          <w:trHeight w:val="4208"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（1）开展北京城市副中心医药健康产业图谱绘制。形成链主企业、潜力企业、创新资源3份清单，为开展重点企业常态化联络服务、管家解决诉求提供支撑。</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（2）编制通州区生物医药和大健康产业报告。系统分析通州生物医药产业发展规模、重点企业发展情况、通北协同发展情况、当前产业发展的优劣势，并为下一步发展提出措施及建议，形成产业报告1份。</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3）组织开展相关领域行业调研与交流服务。对不少于50家医药企业、高校院所、医疗机构等进行调研走访，了解其在新技术研发及产业化、新产品应用、产学研合作、科技创新人才等方面的现状及诉求，为政策制定和调整提供支撑。</w:t>
            </w:r>
          </w:p>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4）开展对标先进标杆分析。跟踪国内各省市医药健康产业新政策发布情况，调查研究和深入学习国内外推动生物医药、合成生物等创新和产业发展典型案例和实践经验，梳理务实管用、可复制推广的政策举措或经验做法不少于10项。</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1.完成</w:t>
            </w:r>
            <w:r>
              <w:rPr>
                <w:rFonts w:hint="eastAsia" w:ascii="宋体" w:hAnsi="宋体" w:cs="宋体"/>
                <w:color w:val="auto"/>
                <w:kern w:val="0"/>
                <w:sz w:val="18"/>
                <w:szCs w:val="18"/>
              </w:rPr>
              <w:t>北京城市副中心医药健康产业图谱绘制</w:t>
            </w:r>
            <w:r>
              <w:rPr>
                <w:rFonts w:hint="eastAsia" w:ascii="宋体" w:hAnsi="宋体" w:cs="宋体"/>
                <w:color w:val="auto"/>
                <w:kern w:val="0"/>
                <w:sz w:val="18"/>
                <w:szCs w:val="18"/>
                <w:lang w:val="en-US" w:eastAsia="zh-CN"/>
              </w:rPr>
              <w:t>并形成</w:t>
            </w:r>
            <w:r>
              <w:rPr>
                <w:rFonts w:hint="eastAsia" w:ascii="宋体" w:hAnsi="宋体" w:cs="宋体"/>
                <w:color w:val="auto"/>
                <w:kern w:val="0"/>
                <w:sz w:val="18"/>
                <w:szCs w:val="18"/>
              </w:rPr>
              <w:t>链主企业、潜力企业、创新资源3份清单</w:t>
            </w:r>
            <w:r>
              <w:rPr>
                <w:rFonts w:hint="eastAsia" w:ascii="宋体" w:hAnsi="宋体" w:cs="宋体"/>
                <w:color w:val="auto"/>
                <w:kern w:val="0"/>
                <w:sz w:val="18"/>
                <w:szCs w:val="18"/>
                <w:lang w:eastAsia="zh-CN"/>
              </w:rPr>
              <w:t>；</w:t>
            </w:r>
          </w:p>
          <w:p>
            <w:pPr>
              <w:widowControl/>
              <w:spacing w:line="240" w:lineRule="exact"/>
              <w:jc w:val="both"/>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2.完成</w:t>
            </w:r>
            <w:r>
              <w:rPr>
                <w:rFonts w:hint="eastAsia" w:ascii="宋体" w:hAnsi="宋体" w:cs="宋体"/>
                <w:color w:val="auto"/>
                <w:kern w:val="0"/>
                <w:sz w:val="18"/>
                <w:szCs w:val="18"/>
              </w:rPr>
              <w:t>通州区生物医药和大健康产业报告</w:t>
            </w:r>
            <w:r>
              <w:rPr>
                <w:rFonts w:hint="eastAsia" w:ascii="宋体" w:hAnsi="宋体" w:cs="宋体"/>
                <w:color w:val="auto"/>
                <w:kern w:val="0"/>
                <w:sz w:val="18"/>
                <w:szCs w:val="18"/>
                <w:lang w:val="en-US" w:eastAsia="zh-CN"/>
              </w:rPr>
              <w:t>编制；</w:t>
            </w:r>
          </w:p>
          <w:p>
            <w:pPr>
              <w:widowControl/>
              <w:spacing w:line="240" w:lineRule="exact"/>
              <w:jc w:val="both"/>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3.已开展62家</w:t>
            </w:r>
            <w:r>
              <w:rPr>
                <w:rFonts w:hint="eastAsia" w:ascii="宋体" w:hAnsi="宋体" w:cs="宋体"/>
                <w:color w:val="auto"/>
                <w:kern w:val="0"/>
                <w:sz w:val="18"/>
                <w:szCs w:val="18"/>
              </w:rPr>
              <w:t>医药企业、高校院所、医疗机构等进行调研走访</w:t>
            </w:r>
            <w:r>
              <w:rPr>
                <w:rFonts w:hint="eastAsia" w:ascii="宋体" w:hAnsi="宋体" w:cs="宋体"/>
                <w:color w:val="auto"/>
                <w:kern w:val="0"/>
                <w:sz w:val="18"/>
                <w:szCs w:val="18"/>
                <w:lang w:eastAsia="zh-CN"/>
              </w:rPr>
              <w:t>；</w:t>
            </w:r>
          </w:p>
          <w:p>
            <w:pPr>
              <w:widowControl/>
              <w:spacing w:line="240" w:lineRule="exact"/>
              <w:jc w:val="both"/>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梳理务实管用、可复制推广的政策举措或经验做法</w:t>
            </w:r>
            <w:r>
              <w:rPr>
                <w:rFonts w:hint="eastAsia" w:ascii="宋体" w:hAnsi="宋体" w:cs="宋体"/>
                <w:color w:val="auto"/>
                <w:kern w:val="0"/>
                <w:sz w:val="18"/>
                <w:szCs w:val="18"/>
                <w:lang w:val="en-US" w:eastAsia="zh-CN"/>
              </w:rPr>
              <w:t>12条。</w:t>
            </w:r>
          </w:p>
        </w:tc>
      </w:tr>
      <w:tr>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产业报告1份。</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对不少于50家医药企业、高校院所、医疗机构等进行调研走访</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梳理政策举措或经验做法不少于10项。</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形成链主企业、潜力企业、创新资源3份清单。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55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成本控制在预算资金52.4万以内</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52.4</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委托单位满意度90%以上</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rPr>
      </w:pPr>
    </w:p>
    <w:p>
      <w:pPr>
        <w:pStyle w:val="2"/>
        <w:rPr>
          <w:rFonts w:hint="eastAsia" w:ascii="宋体" w:hAnsi="宋体" w:eastAsia="宋体" w:cs="宋体"/>
          <w:b/>
          <w:bCs/>
          <w:color w:val="auto"/>
          <w:kern w:val="0"/>
          <w:sz w:val="32"/>
          <w:szCs w:val="32"/>
        </w:rPr>
      </w:pPr>
    </w:p>
    <w:p>
      <w:pPr>
        <w:rPr>
          <w:rFonts w:hint="eastAsia"/>
        </w:rPr>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医药健康产业专项资金</w:t>
            </w:r>
          </w:p>
        </w:tc>
      </w:tr>
      <w:tr>
        <w:trPr>
          <w:trHeight w:val="523"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北京市通州区科学技术委员会</w:t>
            </w:r>
          </w:p>
        </w:tc>
      </w:tr>
      <w:tr>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6141.87</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6141.87</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6141.87</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6141.87</w:t>
            </w:r>
          </w:p>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6141.87</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6141.87</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rPr>
          <w:trHeight w:val="1906"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支持不少于50个医药健康产业项目，20个单位，支持不少于2个I类新药拿到I期临床批件，支持医药企业研发完成不少于2个全国首仿药，支持医药企业获批不少于30个三类医疗器械注册证。</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支持</w:t>
            </w:r>
            <w:r>
              <w:rPr>
                <w:rFonts w:hint="eastAsia" w:ascii="宋体" w:hAnsi="宋体" w:cs="宋体"/>
                <w:color w:val="auto"/>
                <w:kern w:val="0"/>
                <w:sz w:val="18"/>
                <w:szCs w:val="18"/>
                <w:lang w:val="en-US" w:eastAsia="zh-CN"/>
              </w:rPr>
              <w:t>57</w:t>
            </w:r>
            <w:r>
              <w:rPr>
                <w:rFonts w:hint="eastAsia" w:ascii="宋体" w:hAnsi="宋体" w:cs="宋体"/>
                <w:color w:val="auto"/>
                <w:kern w:val="0"/>
                <w:sz w:val="18"/>
                <w:szCs w:val="18"/>
              </w:rPr>
              <w:t>个医药健康产业项目</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个单位，</w:t>
            </w:r>
            <w:r>
              <w:rPr>
                <w:rFonts w:hint="eastAsia" w:ascii="宋体" w:hAnsi="宋体" w:cs="宋体"/>
                <w:color w:val="auto"/>
                <w:kern w:val="0"/>
                <w:sz w:val="18"/>
                <w:szCs w:val="18"/>
                <w:lang w:eastAsia="zh-CN"/>
              </w:rPr>
              <w:t>支持3个I类新药拿到I期临床批件，支持企业研发完成4个全国首仿药，支持34个医疗器械产品获批三类医疗器械注册证，支持成果转化项目2项、临床试验合作11项。</w:t>
            </w:r>
          </w:p>
        </w:tc>
      </w:tr>
      <w:tr>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rPr>
          <w:trHeight w:val="55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eastAsia="zh-CN"/>
              </w:rPr>
              <w:t>支持医药健康产业项目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57</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支持单位</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26</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eastAsia="zh-CN"/>
              </w:rPr>
              <w:t>支持I类新药拿到I期临床批件</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3</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65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lang w:eastAsia="zh-CN"/>
              </w:rPr>
              <w:t>支持医药企业</w:t>
            </w:r>
            <w:r>
              <w:rPr>
                <w:rFonts w:hint="eastAsia" w:ascii="宋体" w:hAnsi="宋体" w:cs="宋体"/>
                <w:color w:val="auto"/>
                <w:kern w:val="0"/>
                <w:sz w:val="18"/>
                <w:szCs w:val="18"/>
              </w:rPr>
              <w:t>研发完成全国首仿药</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4</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default" w:ascii="宋体" w:hAnsi="宋体" w:cs="宋体"/>
                <w:color w:val="auto"/>
                <w:kern w:val="0"/>
                <w:sz w:val="18"/>
                <w:szCs w:val="18"/>
                <w:lang w:val="en-US"/>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63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支持医药企业获批三类医疗器械注册证</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rPr>
          <w:rFonts w:hint="eastAsia"/>
          <w:lang w:val="en-US" w:eastAsia="zh-CN"/>
        </w:rPr>
      </w:pPr>
    </w:p>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rPr>
      </w:pPr>
    </w:p>
    <w:tbl>
      <w:tblPr>
        <w:tblStyle w:val="10"/>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1036"/>
        <w:gridCol w:w="878"/>
        <w:gridCol w:w="74"/>
        <w:gridCol w:w="494"/>
        <w:gridCol w:w="525"/>
        <w:gridCol w:w="588"/>
        <w:gridCol w:w="699"/>
      </w:tblGrid>
      <w:tr>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11011222T000000406993-科学事业费</w:t>
            </w:r>
          </w:p>
        </w:tc>
      </w:tr>
      <w:tr>
        <w:trPr>
          <w:trHeight w:val="539"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206-北京市通州区科学技术委员会</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206-北京市通州区科学技术委员会</w:t>
            </w:r>
          </w:p>
        </w:tc>
      </w:tr>
      <w:tr>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kern w:val="0"/>
                <w:sz w:val="18"/>
                <w:szCs w:val="18"/>
                <w:highlight w:val="none"/>
              </w:rPr>
              <w:t>执行数</w:t>
            </w:r>
          </w:p>
        </w:tc>
        <w:tc>
          <w:tcPr>
            <w:tcW w:w="10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99.56</w:t>
            </w:r>
          </w:p>
        </w:tc>
        <w:tc>
          <w:tcPr>
            <w:tcW w:w="12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74.99</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74.99</w:t>
            </w:r>
          </w:p>
        </w:tc>
        <w:tc>
          <w:tcPr>
            <w:tcW w:w="10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99.56</w:t>
            </w:r>
          </w:p>
        </w:tc>
        <w:tc>
          <w:tcPr>
            <w:tcW w:w="12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74.99</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74.99</w:t>
            </w:r>
          </w:p>
        </w:tc>
        <w:tc>
          <w:tcPr>
            <w:tcW w:w="10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yellow"/>
              </w:rPr>
            </w:pPr>
          </w:p>
        </w:tc>
        <w:tc>
          <w:tcPr>
            <w:tcW w:w="10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yellow"/>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20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95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yellow"/>
              </w:rPr>
            </w:pPr>
          </w:p>
        </w:tc>
        <w:tc>
          <w:tcPr>
            <w:tcW w:w="10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5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yellow"/>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2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CellMar>
            <w:top w:w="0" w:type="dxa"/>
            <w:left w:w="108" w:type="dxa"/>
            <w:bottom w:w="0" w:type="dxa"/>
            <w:right w:w="108" w:type="dxa"/>
          </w:tblCellMar>
        </w:tblPrEx>
        <w:trPr>
          <w:trHeight w:val="192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092"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开展专家顾问咨询、召开专题研讨会，进行专项论证、评审。加强科技干部队伍建设，开展科技大讲堂培训。聘请法律顾问和资金审计，保证科技评审的公平、公正。做好项目管理系统维护。开展档案数字化等相关工作。</w:t>
            </w:r>
          </w:p>
        </w:tc>
        <w:tc>
          <w:tcPr>
            <w:tcW w:w="325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开展专家顾问咨询、召开专题研讨会，进行专项论证、评审</w:t>
            </w:r>
            <w:r>
              <w:rPr>
                <w:rFonts w:hint="eastAsia" w:ascii="宋体" w:hAnsi="宋体" w:cs="宋体"/>
                <w:color w:val="auto"/>
                <w:kern w:val="0"/>
                <w:sz w:val="18"/>
                <w:szCs w:val="18"/>
                <w:lang w:val="en-US" w:eastAsia="zh-CN"/>
              </w:rPr>
              <w:t>139人次</w:t>
            </w:r>
            <w:r>
              <w:rPr>
                <w:rFonts w:hint="eastAsia" w:ascii="宋体" w:hAnsi="宋体" w:cs="宋体"/>
                <w:color w:val="auto"/>
                <w:kern w:val="0"/>
                <w:sz w:val="18"/>
                <w:szCs w:val="18"/>
              </w:rPr>
              <w:t>。聘请法律顾问和资金审计，保证科技评审的公平、公正。做好项目管理系统维护。开展档案数字化等相关工作。</w:t>
            </w:r>
          </w:p>
        </w:tc>
      </w:tr>
      <w:tr>
        <w:trPr>
          <w:trHeight w:val="625"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CellMar>
            <w:top w:w="0" w:type="dxa"/>
            <w:left w:w="108" w:type="dxa"/>
            <w:bottom w:w="0" w:type="dxa"/>
            <w:right w:w="108" w:type="dxa"/>
          </w:tblCellMar>
        </w:tblPrEx>
        <w:trPr>
          <w:trHeight w:val="9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指标1：邀请专家对科技项目进行咨询、评审、论证。</w:t>
            </w:r>
          </w:p>
        </w:tc>
        <w:tc>
          <w:tcPr>
            <w:tcW w:w="1036" w:type="dxa"/>
            <w:tcBorders>
              <w:top w:val="nil"/>
              <w:left w:val="nil"/>
              <w:bottom w:val="single" w:color="auto" w:sz="4" w:space="0"/>
              <w:right w:val="single" w:color="auto" w:sz="4" w:space="0"/>
            </w:tcBorders>
            <w:vAlign w:val="center"/>
          </w:tcPr>
          <w:p>
            <w:pPr>
              <w:widowControl/>
              <w:tabs>
                <w:tab w:val="left" w:pos="268"/>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85</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139</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5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指标2：聘请律师为常年法律顾问</w:t>
            </w:r>
            <w:r>
              <w:rPr>
                <w:rFonts w:hint="eastAsia" w:ascii="宋体" w:hAnsi="宋体" w:cs="宋体"/>
                <w:color w:val="auto"/>
                <w:kern w:val="0"/>
                <w:sz w:val="18"/>
                <w:szCs w:val="18"/>
                <w:lang w:eastAsia="zh-CN"/>
              </w:rPr>
              <w:t>。</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：对机关文书档案、科技奖励档案、科技计划、科技创新等项目档案进行数字化</w:t>
            </w:r>
            <w:r>
              <w:rPr>
                <w:rFonts w:hint="eastAsia" w:ascii="宋体" w:hAnsi="宋体" w:cs="宋体"/>
                <w:color w:val="auto"/>
                <w:kern w:val="0"/>
                <w:sz w:val="18"/>
                <w:szCs w:val="18"/>
                <w:lang w:eastAsia="zh-CN"/>
              </w:rPr>
              <w:t>。</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≥8.4</w:t>
            </w:r>
            <w:r>
              <w:rPr>
                <w:rFonts w:hint="eastAsia" w:ascii="宋体" w:hAnsi="宋体" w:cs="宋体"/>
                <w:color w:val="auto"/>
                <w:kern w:val="0"/>
                <w:sz w:val="18"/>
                <w:szCs w:val="18"/>
                <w:lang w:val="en-US" w:eastAsia="zh-CN"/>
              </w:rPr>
              <w:t>万页</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11余万页</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rPr>
          <w:trHeight w:val="130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：以专家授课、参观学习等多种形式开展培训，提升科委干部队伍理论水平和履职能力。</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2次</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：邀请专家开展高新企业认定评审,评审申报材料数量。</w:t>
            </w:r>
          </w:p>
        </w:tc>
        <w:tc>
          <w:tcPr>
            <w:tcW w:w="1036" w:type="dxa"/>
            <w:tcBorders>
              <w:top w:val="nil"/>
              <w:left w:val="nil"/>
              <w:bottom w:val="single" w:color="auto" w:sz="4" w:space="0"/>
              <w:right w:val="single" w:color="auto" w:sz="4" w:space="0"/>
            </w:tcBorders>
            <w:vAlign w:val="center"/>
          </w:tcPr>
          <w:p>
            <w:pPr>
              <w:widowControl/>
              <w:tabs>
                <w:tab w:val="left" w:pos="289"/>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200件</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385</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63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指标1：对区科委项目申报平台统进行运维。</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对系统内功能、数据进行维护，保障系统运行和数据安全，提升科技项目评审工作质效。</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5"/>
                <w:szCs w:val="15"/>
              </w:rPr>
            </w:pPr>
            <w:r>
              <w:rPr>
                <w:rFonts w:hint="eastAsia" w:ascii="宋体" w:hAnsi="宋体" w:cs="宋体"/>
                <w:color w:val="auto"/>
                <w:kern w:val="0"/>
                <w:sz w:val="15"/>
                <w:szCs w:val="15"/>
              </w:rPr>
              <w:t>对系统内功能、数据进行维护，保障系统运行和数据安全，提升科技项目评审工作质效。</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7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指标1：按时完成全年支出进度。</w:t>
            </w:r>
          </w:p>
        </w:tc>
        <w:tc>
          <w:tcPr>
            <w:tcW w:w="1036" w:type="dxa"/>
            <w:tcBorders>
              <w:top w:val="nil"/>
              <w:left w:val="nil"/>
              <w:bottom w:val="single" w:color="auto" w:sz="4" w:space="0"/>
              <w:right w:val="single" w:color="auto" w:sz="4" w:space="0"/>
            </w:tcBorders>
            <w:vAlign w:val="center"/>
          </w:tcPr>
          <w:p>
            <w:pPr>
              <w:widowControl/>
              <w:tabs>
                <w:tab w:val="left" w:pos="418"/>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12月</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rPr>
          <w:trHeight w:val="19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指标1：充分发挥专家意见对行政决策的作用。</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依据专家论证意见及党组会决策，提升项目评审的公平公正性。</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rPr>
              <w:t>依据专家论证意见及党组会决策，提升项目评审的公平公正性。</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4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指标2：充分发挥法律顾问在参与决策、办理处罚案件中的作用。</w:t>
            </w:r>
          </w:p>
        </w:tc>
        <w:tc>
          <w:tcPr>
            <w:tcW w:w="10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在合同签订、文件合法性审查等工作中，积极听取法律顾问意见，做到事前、事中、事后均有法律顾问全程参与。</w:t>
            </w:r>
          </w:p>
        </w:tc>
        <w:tc>
          <w:tcPr>
            <w:tcW w:w="8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3"/>
                <w:szCs w:val="13"/>
              </w:rPr>
            </w:pPr>
            <w:r>
              <w:rPr>
                <w:rFonts w:hint="eastAsia" w:ascii="宋体" w:hAnsi="宋体" w:cs="宋体"/>
                <w:color w:val="auto"/>
                <w:kern w:val="0"/>
                <w:sz w:val="13"/>
                <w:szCs w:val="13"/>
              </w:rPr>
              <w:t>在合同签订、文件合法性审查等工作中，积极听取法律顾问意见，做到事前、事中、事后均有法律顾问全程参与，全年共出具法律意见书100件，代理民事案件2件，提供法律咨询20余次。</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91" w:hRule="exact"/>
          <w:jc w:val="center"/>
        </w:trPr>
        <w:tc>
          <w:tcPr>
            <w:tcW w:w="654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ascii="宋体" w:hAnsi="宋体" w:eastAsia="宋体" w:cs="宋体"/>
          <w:b/>
          <w:bCs/>
          <w:color w:val="auto"/>
          <w:kern w:val="0"/>
          <w:sz w:val="32"/>
          <w:szCs w:val="32"/>
        </w:rPr>
      </w:pPr>
    </w:p>
    <w:p>
      <w:pPr>
        <w:pStyle w:val="2"/>
        <w:rPr>
          <w:rFonts w:hint="eastAsia" w:ascii="宋体" w:hAnsi="宋体" w:eastAsia="宋体" w:cs="宋体"/>
          <w:b/>
          <w:bCs/>
          <w:color w:val="auto"/>
          <w:kern w:val="0"/>
          <w:sz w:val="32"/>
          <w:szCs w:val="32"/>
        </w:rPr>
      </w:pPr>
    </w:p>
    <w:p>
      <w:pPr>
        <w:rPr>
          <w:rFonts w:hint="eastAsia"/>
        </w:rPr>
      </w:pPr>
      <w:bookmarkStart w:id="0" w:name="_GoBack"/>
      <w:bookmarkEnd w:id="0"/>
    </w:p>
    <w:p>
      <w:pPr>
        <w:widowControl/>
        <w:spacing w:line="360" w:lineRule="auto"/>
        <w:ind w:firstLine="0" w:firstLineChars="0"/>
        <w:jc w:val="center"/>
        <w:outlineLvl w:val="9"/>
        <w:rPr>
          <w:rFonts w:hint="eastAsia" w:ascii="宋体" w:hAnsi="宋体" w:eastAsia="宋体" w:cs="宋体"/>
          <w:b/>
          <w:bCs/>
          <w:color w:val="auto"/>
          <w:kern w:val="0"/>
          <w:sz w:val="32"/>
          <w:szCs w:val="32"/>
        </w:rPr>
      </w:pPr>
    </w:p>
    <w:p>
      <w:pPr>
        <w:widowControl/>
        <w:spacing w:line="360" w:lineRule="auto"/>
        <w:ind w:firstLine="0" w:firstLineChars="0"/>
        <w:jc w:val="both"/>
        <w:outlineLvl w:val="9"/>
        <w:rPr>
          <w:rFonts w:hint="eastAsia" w:ascii="宋体" w:hAnsi="宋体" w:eastAsia="宋体" w:cs="宋体"/>
          <w:b/>
          <w:bCs/>
          <w:color w:val="auto"/>
          <w:kern w:val="0"/>
          <w:sz w:val="32"/>
          <w:szCs w:val="32"/>
        </w:rPr>
      </w:pPr>
    </w:p>
    <w:p>
      <w:pPr>
        <w:widowControl/>
        <w:spacing w:line="360" w:lineRule="auto"/>
        <w:ind w:firstLine="0" w:firstLineChars="0"/>
        <w:jc w:val="center"/>
        <w:outlineLvl w:val="9"/>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自评项目汇总表</w:t>
      </w:r>
    </w:p>
    <w:p>
      <w:pPr>
        <w:widowControl/>
        <w:spacing w:line="360" w:lineRule="auto"/>
        <w:ind w:firstLine="0" w:firstLineChars="0"/>
        <w:jc w:val="left"/>
        <w:outlineLvl w:val="9"/>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部门名称：</w:t>
      </w:r>
    </w:p>
    <w:tbl>
      <w:tblPr>
        <w:tblStyle w:val="1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70"/>
        <w:gridCol w:w="1365"/>
        <w:gridCol w:w="915"/>
        <w:gridCol w:w="810"/>
        <w:gridCol w:w="855"/>
        <w:gridCol w:w="85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5" w:type="dxa"/>
            <w:vMerge w:val="restart"/>
            <w:noWrap w:val="0"/>
            <w:vAlign w:val="top"/>
          </w:tcPr>
          <w:p>
            <w:pPr>
              <w:spacing w:line="300" w:lineRule="exact"/>
              <w:ind w:left="0" w:firstLine="0" w:firstLineChars="0"/>
              <w:jc w:val="center"/>
              <w:outlineLvl w:val="0"/>
              <w:rPr>
                <w:rFonts w:hint="eastAsia" w:ascii="宋体" w:hAnsi="宋体" w:eastAsia="宋体" w:cs="宋体"/>
                <w:color w:val="auto"/>
                <w:kern w:val="0"/>
                <w:sz w:val="15"/>
                <w:szCs w:val="16"/>
              </w:rPr>
            </w:pPr>
          </w:p>
          <w:p>
            <w:pPr>
              <w:spacing w:line="300" w:lineRule="exact"/>
              <w:ind w:left="0"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序号</w:t>
            </w:r>
          </w:p>
        </w:tc>
        <w:tc>
          <w:tcPr>
            <w:tcW w:w="2070" w:type="dxa"/>
            <w:vMerge w:val="restart"/>
            <w:noWrap w:val="0"/>
            <w:vAlign w:val="top"/>
          </w:tcPr>
          <w:p>
            <w:pPr>
              <w:spacing w:line="300" w:lineRule="exact"/>
              <w:ind w:left="0" w:firstLine="0" w:firstLineChars="0"/>
              <w:jc w:val="both"/>
              <w:outlineLvl w:val="0"/>
              <w:rPr>
                <w:rFonts w:hint="eastAsia" w:ascii="宋体" w:hAnsi="宋体" w:eastAsia="宋体" w:cs="宋体"/>
                <w:color w:val="auto"/>
                <w:kern w:val="0"/>
                <w:sz w:val="22"/>
                <w:szCs w:val="24"/>
              </w:rPr>
            </w:pPr>
          </w:p>
          <w:p>
            <w:pPr>
              <w:spacing w:line="300" w:lineRule="exact"/>
              <w:ind w:left="0"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项目名称</w:t>
            </w:r>
          </w:p>
        </w:tc>
        <w:tc>
          <w:tcPr>
            <w:tcW w:w="1365" w:type="dxa"/>
            <w:vMerge w:val="restart"/>
            <w:noWrap w:val="0"/>
            <w:vAlign w:val="top"/>
          </w:tcPr>
          <w:p>
            <w:pPr>
              <w:spacing w:line="44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项目金额(万元)</w:t>
            </w:r>
          </w:p>
        </w:tc>
        <w:tc>
          <w:tcPr>
            <w:tcW w:w="3435" w:type="dxa"/>
            <w:gridSpan w:val="4"/>
            <w:noWrap w:val="0"/>
            <w:vAlign w:val="top"/>
          </w:tcPr>
          <w:p>
            <w:pPr>
              <w:spacing w:line="36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评价结果</w:t>
            </w:r>
          </w:p>
        </w:tc>
        <w:tc>
          <w:tcPr>
            <w:tcW w:w="1465" w:type="dxa"/>
            <w:vMerge w:val="restart"/>
            <w:noWrap w:val="0"/>
            <w:vAlign w:val="top"/>
          </w:tcPr>
          <w:p>
            <w:pPr>
              <w:spacing w:line="320" w:lineRule="exact"/>
              <w:ind w:firstLine="660" w:firstLineChars="300"/>
              <w:jc w:val="both"/>
              <w:outlineLvl w:val="0"/>
              <w:rPr>
                <w:rFonts w:hint="eastAsia" w:ascii="宋体" w:hAnsi="宋体" w:eastAsia="宋体" w:cs="宋体"/>
                <w:color w:val="auto"/>
                <w:kern w:val="0"/>
                <w:sz w:val="22"/>
                <w:szCs w:val="24"/>
              </w:rPr>
            </w:pPr>
          </w:p>
          <w:p>
            <w:pPr>
              <w:spacing w:line="320" w:lineRule="exact"/>
              <w:ind w:firstLine="440" w:firstLineChars="200"/>
              <w:jc w:val="both"/>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5" w:type="dxa"/>
            <w:vMerge w:val="continue"/>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2070" w:type="dxa"/>
            <w:vMerge w:val="continue"/>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365" w:type="dxa"/>
            <w:vMerge w:val="continue"/>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915" w:type="dxa"/>
            <w:noWrap w:val="0"/>
            <w:vAlign w:val="top"/>
          </w:tcPr>
          <w:p>
            <w:pPr>
              <w:spacing w:line="40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优</w:t>
            </w:r>
          </w:p>
        </w:tc>
        <w:tc>
          <w:tcPr>
            <w:tcW w:w="810" w:type="dxa"/>
            <w:noWrap w:val="0"/>
            <w:vAlign w:val="top"/>
          </w:tcPr>
          <w:p>
            <w:pPr>
              <w:spacing w:line="40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良</w:t>
            </w:r>
          </w:p>
        </w:tc>
        <w:tc>
          <w:tcPr>
            <w:tcW w:w="855" w:type="dxa"/>
            <w:noWrap w:val="0"/>
            <w:vAlign w:val="top"/>
          </w:tcPr>
          <w:p>
            <w:pPr>
              <w:spacing w:line="400" w:lineRule="exact"/>
              <w:ind w:firstLine="0" w:firstLineChars="0"/>
              <w:jc w:val="center"/>
              <w:outlineLvl w:val="0"/>
              <w:rPr>
                <w:rFonts w:hint="eastAsia" w:ascii="宋体" w:hAnsi="宋体" w:eastAsia="宋体" w:cs="宋体"/>
                <w:color w:val="auto"/>
                <w:kern w:val="0"/>
                <w:sz w:val="22"/>
                <w:szCs w:val="24"/>
                <w:lang w:eastAsia="zh-CN"/>
              </w:rPr>
            </w:pPr>
            <w:r>
              <w:rPr>
                <w:rFonts w:hint="eastAsia" w:ascii="宋体" w:hAnsi="宋体" w:cs="宋体"/>
                <w:color w:val="auto"/>
                <w:kern w:val="0"/>
                <w:sz w:val="22"/>
                <w:szCs w:val="24"/>
                <w:lang w:eastAsia="zh-CN"/>
              </w:rPr>
              <w:t>中</w:t>
            </w:r>
          </w:p>
        </w:tc>
        <w:tc>
          <w:tcPr>
            <w:tcW w:w="855" w:type="dxa"/>
            <w:noWrap w:val="0"/>
            <w:vAlign w:val="top"/>
          </w:tcPr>
          <w:p>
            <w:pPr>
              <w:spacing w:line="40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差</w:t>
            </w:r>
          </w:p>
        </w:tc>
        <w:tc>
          <w:tcPr>
            <w:tcW w:w="1465" w:type="dxa"/>
            <w:vMerge w:val="continue"/>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1</w:t>
            </w:r>
          </w:p>
        </w:tc>
        <w:tc>
          <w:tcPr>
            <w:tcW w:w="2070" w:type="dxa"/>
            <w:noWrap w:val="0"/>
            <w:vAlign w:val="top"/>
          </w:tcPr>
          <w:p>
            <w:pPr>
              <w:spacing w:line="600" w:lineRule="exact"/>
              <w:jc w:val="left"/>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eastAsia="zh-CN"/>
              </w:rPr>
              <w:t>科学技术普及</w:t>
            </w:r>
          </w:p>
        </w:tc>
        <w:tc>
          <w:tcPr>
            <w:tcW w:w="1365" w:type="dxa"/>
            <w:noWrap w:val="0"/>
            <w:vAlign w:val="top"/>
          </w:tcPr>
          <w:p>
            <w:pPr>
              <w:spacing w:line="600" w:lineRule="exact"/>
              <w:jc w:val="left"/>
              <w:outlineLvl w:val="0"/>
              <w:rPr>
                <w:rFonts w:hint="default" w:ascii="宋体" w:hAnsi="宋体" w:eastAsia="宋体" w:cs="宋体"/>
                <w:color w:val="auto"/>
                <w:kern w:val="0"/>
                <w:sz w:val="22"/>
                <w:szCs w:val="24"/>
                <w:lang w:val="en-US"/>
              </w:rPr>
            </w:pPr>
            <w:r>
              <w:rPr>
                <w:rFonts w:hint="eastAsia" w:ascii="宋体" w:hAnsi="宋体" w:eastAsia="宋体" w:cs="宋体"/>
                <w:color w:val="auto"/>
                <w:kern w:val="0"/>
                <w:sz w:val="22"/>
                <w:szCs w:val="24"/>
              </w:rPr>
              <w:t>595.4</w:t>
            </w:r>
          </w:p>
        </w:tc>
        <w:tc>
          <w:tcPr>
            <w:tcW w:w="915" w:type="dxa"/>
            <w:noWrap w:val="0"/>
            <w:vAlign w:val="top"/>
          </w:tcPr>
          <w:p>
            <w:pPr>
              <w:spacing w:line="600" w:lineRule="exact"/>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98</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240" w:lineRule="auto"/>
              <w:jc w:val="both"/>
              <w:outlineLvl w:val="0"/>
              <w:rPr>
                <w:rFonts w:hint="default"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bidi="ar-SA"/>
              </w:rPr>
              <w:t>部门重点自评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2</w:t>
            </w:r>
          </w:p>
        </w:tc>
        <w:tc>
          <w:tcPr>
            <w:tcW w:w="2070" w:type="dxa"/>
            <w:noWrap w:val="0"/>
            <w:vAlign w:val="top"/>
          </w:tcPr>
          <w:p>
            <w:pPr>
              <w:spacing w:line="440" w:lineRule="exact"/>
              <w:ind w:firstLine="0" w:firstLineChars="0"/>
              <w:jc w:val="left"/>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lang w:eastAsia="zh-CN"/>
              </w:rPr>
              <w:t>科技创新资金</w:t>
            </w:r>
          </w:p>
        </w:tc>
        <w:tc>
          <w:tcPr>
            <w:tcW w:w="1365" w:type="dxa"/>
            <w:noWrap w:val="0"/>
            <w:vAlign w:val="top"/>
          </w:tcPr>
          <w:p>
            <w:pPr>
              <w:spacing w:line="600" w:lineRule="exact"/>
              <w:jc w:val="left"/>
              <w:outlineLvl w:val="0"/>
              <w:rPr>
                <w:rFonts w:hint="default" w:ascii="宋体" w:hAnsi="宋体" w:eastAsia="宋体" w:cs="宋体"/>
                <w:color w:val="auto"/>
                <w:kern w:val="0"/>
                <w:sz w:val="22"/>
                <w:szCs w:val="24"/>
                <w:lang w:val="en-US"/>
              </w:rPr>
            </w:pPr>
            <w:r>
              <w:rPr>
                <w:rFonts w:hint="eastAsia" w:ascii="宋体" w:hAnsi="宋体" w:cs="宋体"/>
                <w:color w:val="auto"/>
                <w:kern w:val="0"/>
                <w:sz w:val="22"/>
                <w:szCs w:val="24"/>
                <w:lang w:val="en-US" w:eastAsia="zh-CN"/>
              </w:rPr>
              <w:t>6860</w:t>
            </w:r>
          </w:p>
        </w:tc>
        <w:tc>
          <w:tcPr>
            <w:tcW w:w="915" w:type="dxa"/>
            <w:noWrap w:val="0"/>
            <w:vAlign w:val="top"/>
          </w:tcPr>
          <w:p>
            <w:pPr>
              <w:spacing w:line="600" w:lineRule="exact"/>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98</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3</w:t>
            </w:r>
          </w:p>
        </w:tc>
        <w:tc>
          <w:tcPr>
            <w:tcW w:w="2070" w:type="dxa"/>
            <w:noWrap w:val="0"/>
            <w:vAlign w:val="top"/>
          </w:tcPr>
          <w:p>
            <w:pPr>
              <w:spacing w:line="600" w:lineRule="exact"/>
              <w:jc w:val="left"/>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eastAsia="zh-CN"/>
              </w:rPr>
              <w:t>京津冀创新中心通州中心运营经费</w:t>
            </w:r>
          </w:p>
        </w:tc>
        <w:tc>
          <w:tcPr>
            <w:tcW w:w="1365" w:type="dxa"/>
            <w:noWrap w:val="0"/>
            <w:vAlign w:val="top"/>
          </w:tcPr>
          <w:p>
            <w:pPr>
              <w:spacing w:line="600" w:lineRule="exact"/>
              <w:jc w:val="left"/>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800</w:t>
            </w:r>
          </w:p>
        </w:tc>
        <w:tc>
          <w:tcPr>
            <w:tcW w:w="915" w:type="dxa"/>
            <w:noWrap w:val="0"/>
            <w:vAlign w:val="top"/>
          </w:tcPr>
          <w:p>
            <w:pPr>
              <w:spacing w:line="600" w:lineRule="exact"/>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rPr>
            </w:pPr>
            <w:r>
              <w:rPr>
                <w:rFonts w:hint="eastAsia" w:ascii="宋体" w:hAnsi="宋体" w:cs="宋体"/>
                <w:color w:val="auto"/>
                <w:kern w:val="0"/>
                <w:sz w:val="22"/>
                <w:szCs w:val="24"/>
                <w:lang w:val="en-US" w:eastAsia="zh-CN"/>
              </w:rPr>
              <w:t>4</w:t>
            </w:r>
          </w:p>
        </w:tc>
        <w:tc>
          <w:tcPr>
            <w:tcW w:w="2070" w:type="dxa"/>
            <w:noWrap w:val="0"/>
            <w:vAlign w:val="top"/>
          </w:tcPr>
          <w:p>
            <w:pPr>
              <w:spacing w:line="600" w:lineRule="exact"/>
              <w:jc w:val="left"/>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医产协同活动服务</w:t>
            </w:r>
          </w:p>
        </w:tc>
        <w:tc>
          <w:tcPr>
            <w:tcW w:w="1365" w:type="dxa"/>
            <w:noWrap w:val="0"/>
            <w:vAlign w:val="top"/>
          </w:tcPr>
          <w:p>
            <w:pPr>
              <w:spacing w:line="600" w:lineRule="exact"/>
              <w:jc w:val="left"/>
              <w:outlineLvl w:val="0"/>
              <w:rPr>
                <w:rFonts w:hint="default" w:ascii="宋体" w:hAnsi="宋体" w:eastAsia="宋体" w:cs="宋体"/>
                <w:color w:val="auto"/>
                <w:kern w:val="0"/>
                <w:sz w:val="22"/>
                <w:szCs w:val="24"/>
                <w:lang w:val="en-US"/>
              </w:rPr>
            </w:pPr>
            <w:r>
              <w:rPr>
                <w:rFonts w:hint="eastAsia" w:ascii="宋体" w:hAnsi="宋体" w:cs="宋体"/>
                <w:color w:val="auto"/>
                <w:kern w:val="0"/>
                <w:sz w:val="22"/>
                <w:szCs w:val="24"/>
                <w:lang w:val="en-US" w:eastAsia="zh-CN"/>
              </w:rPr>
              <w:t>219.5</w:t>
            </w:r>
          </w:p>
        </w:tc>
        <w:tc>
          <w:tcPr>
            <w:tcW w:w="915" w:type="dxa"/>
            <w:noWrap w:val="0"/>
            <w:vAlign w:val="top"/>
          </w:tcPr>
          <w:p>
            <w:pPr>
              <w:spacing w:line="600" w:lineRule="exact"/>
              <w:jc w:val="center"/>
              <w:outlineLvl w:val="0"/>
              <w:rPr>
                <w:rFonts w:hint="default" w:ascii="宋体" w:hAnsi="宋体" w:eastAsia="宋体" w:cs="宋体"/>
                <w:color w:val="auto"/>
                <w:kern w:val="0"/>
                <w:sz w:val="22"/>
                <w:szCs w:val="24"/>
                <w:lang w:val="en-US" w:eastAsia="zh-CN"/>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rPr>
              <w:t>5</w:t>
            </w:r>
          </w:p>
        </w:tc>
        <w:tc>
          <w:tcPr>
            <w:tcW w:w="2070" w:type="dxa"/>
            <w:noWrap w:val="0"/>
            <w:vAlign w:val="top"/>
          </w:tcPr>
          <w:p>
            <w:pPr>
              <w:spacing w:line="600" w:lineRule="exact"/>
              <w:jc w:val="left"/>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医药健康产业咨询服务</w:t>
            </w:r>
          </w:p>
        </w:tc>
        <w:tc>
          <w:tcPr>
            <w:tcW w:w="1365" w:type="dxa"/>
            <w:noWrap w:val="0"/>
            <w:vAlign w:val="top"/>
          </w:tcPr>
          <w:p>
            <w:pPr>
              <w:spacing w:line="600" w:lineRule="exact"/>
              <w:jc w:val="left"/>
              <w:outlineLvl w:val="0"/>
              <w:rPr>
                <w:rFonts w:hint="default" w:ascii="宋体" w:hAnsi="宋体" w:eastAsia="宋体" w:cs="宋体"/>
                <w:color w:val="auto"/>
                <w:kern w:val="0"/>
                <w:sz w:val="22"/>
                <w:szCs w:val="24"/>
                <w:lang w:val="en-US" w:eastAsia="zh-CN"/>
              </w:rPr>
            </w:pPr>
            <w:r>
              <w:rPr>
                <w:rFonts w:hint="eastAsia" w:ascii="宋体" w:hAnsi="宋体" w:eastAsia="宋体" w:cs="宋体"/>
                <w:color w:val="auto"/>
                <w:kern w:val="0"/>
                <w:sz w:val="22"/>
                <w:szCs w:val="24"/>
                <w:lang w:val="en-US" w:eastAsia="zh-CN"/>
              </w:rPr>
              <w:t>89.5</w:t>
            </w:r>
          </w:p>
        </w:tc>
        <w:tc>
          <w:tcPr>
            <w:tcW w:w="915" w:type="dxa"/>
            <w:noWrap w:val="0"/>
            <w:vAlign w:val="top"/>
          </w:tcPr>
          <w:p>
            <w:pPr>
              <w:spacing w:line="600" w:lineRule="exact"/>
              <w:ind w:firstLine="220" w:firstLineChars="100"/>
              <w:outlineLvl w:val="0"/>
              <w:rPr>
                <w:rFonts w:hint="default" w:ascii="宋体" w:hAnsi="宋体" w:eastAsia="宋体" w:cs="宋体"/>
                <w:color w:val="auto"/>
                <w:kern w:val="0"/>
                <w:sz w:val="22"/>
                <w:szCs w:val="24"/>
                <w:lang w:val="en-US" w:eastAsia="zh-CN"/>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lang w:eastAsia="zh-CN"/>
              </w:rPr>
            </w:pPr>
            <w:r>
              <w:rPr>
                <w:rFonts w:hint="eastAsia" w:ascii="宋体" w:hAnsi="宋体" w:cs="宋体"/>
                <w:color w:val="auto"/>
                <w:kern w:val="0"/>
                <w:sz w:val="22"/>
                <w:szCs w:val="24"/>
                <w:lang w:val="en-US" w:eastAsia="zh-CN"/>
              </w:rPr>
              <w:t>6</w:t>
            </w:r>
          </w:p>
        </w:tc>
        <w:tc>
          <w:tcPr>
            <w:tcW w:w="2070" w:type="dxa"/>
            <w:noWrap w:val="0"/>
            <w:vAlign w:val="top"/>
          </w:tcPr>
          <w:p>
            <w:pPr>
              <w:spacing w:line="440" w:lineRule="exact"/>
              <w:ind w:firstLine="0" w:firstLineChars="0"/>
              <w:jc w:val="left"/>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通州生物医药产业咨询服务</w:t>
            </w:r>
          </w:p>
        </w:tc>
        <w:tc>
          <w:tcPr>
            <w:tcW w:w="1365" w:type="dxa"/>
            <w:noWrap w:val="0"/>
            <w:vAlign w:val="top"/>
          </w:tcPr>
          <w:p>
            <w:pPr>
              <w:spacing w:line="600" w:lineRule="exact"/>
              <w:jc w:val="left"/>
              <w:outlineLvl w:val="0"/>
              <w:rPr>
                <w:rFonts w:hint="default" w:ascii="宋体" w:hAnsi="宋体" w:eastAsia="宋体" w:cs="宋体"/>
                <w:color w:val="auto"/>
                <w:kern w:val="0"/>
                <w:sz w:val="22"/>
                <w:szCs w:val="24"/>
                <w:lang w:val="en-US"/>
              </w:rPr>
            </w:pPr>
            <w:r>
              <w:rPr>
                <w:rFonts w:hint="eastAsia" w:ascii="宋体" w:hAnsi="宋体" w:cs="宋体"/>
                <w:color w:val="auto"/>
                <w:kern w:val="0"/>
                <w:sz w:val="22"/>
                <w:szCs w:val="24"/>
                <w:lang w:val="en-US" w:eastAsia="zh-CN"/>
              </w:rPr>
              <w:t>52.4</w:t>
            </w:r>
          </w:p>
        </w:tc>
        <w:tc>
          <w:tcPr>
            <w:tcW w:w="915" w:type="dxa"/>
            <w:noWrap w:val="0"/>
            <w:vAlign w:val="top"/>
          </w:tcPr>
          <w:p>
            <w:pPr>
              <w:spacing w:line="600" w:lineRule="exact"/>
              <w:jc w:val="center"/>
              <w:outlineLvl w:val="0"/>
              <w:rPr>
                <w:rFonts w:hint="default" w:ascii="宋体" w:hAnsi="宋体" w:eastAsia="宋体" w:cs="宋体"/>
                <w:color w:val="auto"/>
                <w:kern w:val="0"/>
                <w:sz w:val="22"/>
                <w:szCs w:val="24"/>
                <w:lang w:val="en-US" w:eastAsia="zh-CN"/>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eastAsia" w:ascii="宋体" w:hAnsi="宋体" w:eastAsia="宋体" w:cs="宋体"/>
                <w:color w:val="auto"/>
                <w:kern w:val="0"/>
                <w:sz w:val="22"/>
                <w:szCs w:val="24"/>
                <w:lang w:val="en-US" w:eastAsia="zh-CN"/>
              </w:rPr>
            </w:pPr>
            <w:r>
              <w:rPr>
                <w:rFonts w:hint="eastAsia" w:ascii="宋体" w:hAnsi="宋体" w:cs="宋体"/>
                <w:color w:val="auto"/>
                <w:kern w:val="0"/>
                <w:sz w:val="22"/>
                <w:szCs w:val="24"/>
                <w:lang w:val="en-US" w:eastAsia="zh-CN"/>
              </w:rPr>
              <w:t>7</w:t>
            </w:r>
          </w:p>
        </w:tc>
        <w:tc>
          <w:tcPr>
            <w:tcW w:w="2070" w:type="dxa"/>
            <w:noWrap w:val="0"/>
            <w:vAlign w:val="top"/>
          </w:tcPr>
          <w:p>
            <w:pPr>
              <w:spacing w:line="600" w:lineRule="exact"/>
              <w:jc w:val="left"/>
              <w:outlineLvl w:val="0"/>
              <w:rPr>
                <w:rFonts w:hint="eastAsia" w:ascii="宋体" w:hAnsi="宋体" w:eastAsia="宋体" w:cs="宋体"/>
                <w:color w:val="auto"/>
                <w:kern w:val="0"/>
                <w:sz w:val="22"/>
                <w:szCs w:val="24"/>
                <w:lang w:eastAsia="zh-CN"/>
              </w:rPr>
            </w:pPr>
            <w:r>
              <w:rPr>
                <w:rFonts w:hint="eastAsia" w:ascii="宋体" w:hAnsi="宋体" w:eastAsia="宋体" w:cs="宋体"/>
                <w:color w:val="auto"/>
                <w:kern w:val="0"/>
                <w:sz w:val="22"/>
                <w:szCs w:val="24"/>
                <w:lang w:eastAsia="zh-CN"/>
              </w:rPr>
              <w:t>医药健康产业专项资金</w:t>
            </w:r>
          </w:p>
        </w:tc>
        <w:tc>
          <w:tcPr>
            <w:tcW w:w="1365" w:type="dxa"/>
            <w:noWrap w:val="0"/>
            <w:vAlign w:val="top"/>
          </w:tcPr>
          <w:p>
            <w:pPr>
              <w:spacing w:line="600" w:lineRule="exact"/>
              <w:jc w:val="left"/>
              <w:outlineLvl w:val="0"/>
              <w:rPr>
                <w:rFonts w:hint="default" w:ascii="宋体" w:hAnsi="宋体" w:cs="宋体"/>
                <w:color w:val="auto"/>
                <w:kern w:val="0"/>
                <w:sz w:val="22"/>
                <w:szCs w:val="24"/>
                <w:lang w:val="en-US" w:eastAsia="zh-CN"/>
              </w:rPr>
            </w:pPr>
            <w:r>
              <w:rPr>
                <w:rFonts w:hint="eastAsia" w:ascii="宋体" w:hAnsi="宋体" w:cs="宋体"/>
                <w:color w:val="auto"/>
                <w:kern w:val="0"/>
                <w:sz w:val="22"/>
                <w:szCs w:val="24"/>
                <w:lang w:val="en-US" w:eastAsia="zh-CN"/>
              </w:rPr>
              <w:t>6141.87</w:t>
            </w:r>
          </w:p>
        </w:tc>
        <w:tc>
          <w:tcPr>
            <w:tcW w:w="915" w:type="dxa"/>
            <w:noWrap w:val="0"/>
            <w:vAlign w:val="top"/>
          </w:tcPr>
          <w:p>
            <w:pPr>
              <w:spacing w:line="600" w:lineRule="exact"/>
              <w:jc w:val="center"/>
              <w:outlineLvl w:val="0"/>
              <w:rPr>
                <w:rFonts w:hint="default" w:ascii="宋体" w:hAnsi="宋体" w:cs="宋体"/>
                <w:color w:val="auto"/>
                <w:kern w:val="0"/>
                <w:sz w:val="22"/>
                <w:szCs w:val="24"/>
                <w:lang w:val="en-US" w:eastAsia="zh-CN"/>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5" w:type="dxa"/>
            <w:noWrap w:val="0"/>
            <w:vAlign w:val="top"/>
          </w:tcPr>
          <w:p>
            <w:pPr>
              <w:spacing w:line="440" w:lineRule="exact"/>
              <w:ind w:firstLine="0" w:firstLineChars="0"/>
              <w:jc w:val="center"/>
              <w:outlineLvl w:val="0"/>
              <w:rPr>
                <w:rFonts w:hint="default" w:ascii="宋体" w:hAnsi="宋体" w:eastAsia="宋体" w:cs="宋体"/>
                <w:color w:val="auto"/>
                <w:kern w:val="0"/>
                <w:sz w:val="22"/>
                <w:szCs w:val="24"/>
                <w:lang w:val="en-US" w:eastAsia="zh-CN"/>
              </w:rPr>
            </w:pPr>
            <w:r>
              <w:rPr>
                <w:rFonts w:hint="eastAsia" w:ascii="宋体" w:hAnsi="宋体" w:cs="宋体"/>
                <w:color w:val="auto"/>
                <w:kern w:val="0"/>
                <w:sz w:val="22"/>
                <w:szCs w:val="24"/>
                <w:lang w:val="en-US" w:eastAsia="zh-CN"/>
              </w:rPr>
              <w:t>8</w:t>
            </w:r>
          </w:p>
        </w:tc>
        <w:tc>
          <w:tcPr>
            <w:tcW w:w="2070" w:type="dxa"/>
            <w:noWrap w:val="0"/>
            <w:vAlign w:val="top"/>
          </w:tcPr>
          <w:p>
            <w:pPr>
              <w:spacing w:line="600" w:lineRule="exact"/>
              <w:jc w:val="left"/>
              <w:outlineLvl w:val="0"/>
              <w:rPr>
                <w:rFonts w:hint="eastAsia" w:ascii="宋体" w:hAnsi="宋体" w:cs="宋体"/>
                <w:color w:val="auto"/>
                <w:kern w:val="0"/>
                <w:sz w:val="22"/>
                <w:szCs w:val="24"/>
                <w:lang w:eastAsia="zh-CN"/>
              </w:rPr>
            </w:pPr>
            <w:r>
              <w:rPr>
                <w:rFonts w:hint="eastAsia" w:ascii="宋体" w:hAnsi="宋体" w:cs="宋体"/>
                <w:color w:val="auto"/>
                <w:kern w:val="0"/>
                <w:sz w:val="22"/>
                <w:szCs w:val="24"/>
                <w:lang w:eastAsia="zh-CN"/>
              </w:rPr>
              <w:t>科学事业费</w:t>
            </w:r>
          </w:p>
        </w:tc>
        <w:tc>
          <w:tcPr>
            <w:tcW w:w="1365" w:type="dxa"/>
            <w:noWrap w:val="0"/>
            <w:vAlign w:val="top"/>
          </w:tcPr>
          <w:p>
            <w:pPr>
              <w:spacing w:line="600" w:lineRule="exact"/>
              <w:jc w:val="left"/>
              <w:outlineLvl w:val="0"/>
              <w:rPr>
                <w:rFonts w:hint="default" w:ascii="宋体" w:hAnsi="宋体" w:cs="宋体"/>
                <w:color w:val="auto"/>
                <w:kern w:val="0"/>
                <w:sz w:val="22"/>
                <w:szCs w:val="24"/>
                <w:lang w:val="en-US" w:eastAsia="zh-CN"/>
              </w:rPr>
            </w:pPr>
            <w:r>
              <w:rPr>
                <w:rFonts w:hint="eastAsia" w:ascii="宋体" w:hAnsi="宋体" w:cs="宋体"/>
                <w:color w:val="auto"/>
                <w:kern w:val="0"/>
                <w:sz w:val="22"/>
                <w:szCs w:val="24"/>
                <w:lang w:val="en-US" w:eastAsia="zh-CN"/>
              </w:rPr>
              <w:t>74.99</w:t>
            </w:r>
          </w:p>
        </w:tc>
        <w:tc>
          <w:tcPr>
            <w:tcW w:w="915" w:type="dxa"/>
            <w:noWrap w:val="0"/>
            <w:vAlign w:val="top"/>
          </w:tcPr>
          <w:p>
            <w:pPr>
              <w:spacing w:line="600" w:lineRule="exact"/>
              <w:jc w:val="center"/>
              <w:outlineLvl w:val="0"/>
              <w:rPr>
                <w:rFonts w:hint="default" w:ascii="宋体" w:hAnsi="宋体" w:cs="宋体"/>
                <w:color w:val="auto"/>
                <w:kern w:val="0"/>
                <w:sz w:val="22"/>
                <w:szCs w:val="24"/>
                <w:lang w:val="en-US" w:eastAsia="zh-CN"/>
              </w:rPr>
            </w:pPr>
            <w:r>
              <w:rPr>
                <w:rFonts w:hint="eastAsia" w:ascii="宋体" w:hAnsi="宋体" w:cs="宋体"/>
                <w:color w:val="auto"/>
                <w:kern w:val="0"/>
                <w:sz w:val="22"/>
                <w:szCs w:val="24"/>
                <w:lang w:val="en-US" w:eastAsia="zh-CN"/>
              </w:rPr>
              <w:t>100</w:t>
            </w:r>
          </w:p>
        </w:tc>
        <w:tc>
          <w:tcPr>
            <w:tcW w:w="810"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85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c>
          <w:tcPr>
            <w:tcW w:w="1465" w:type="dxa"/>
            <w:noWrap w:val="0"/>
            <w:vAlign w:val="top"/>
          </w:tcPr>
          <w:p>
            <w:pPr>
              <w:spacing w:line="600" w:lineRule="exact"/>
              <w:ind w:firstLine="440" w:firstLineChars="200"/>
              <w:outlineLvl w:val="0"/>
              <w:rPr>
                <w:rFonts w:hint="eastAsia" w:ascii="宋体" w:hAnsi="宋体" w:eastAsia="宋体" w:cs="宋体"/>
                <w:color w:val="auto"/>
                <w:kern w:val="0"/>
                <w:sz w:val="22"/>
                <w:szCs w:val="24"/>
              </w:rPr>
            </w:pPr>
          </w:p>
        </w:tc>
      </w:tr>
    </w:tbl>
    <w:p>
      <w:pPr>
        <w:spacing w:line="600" w:lineRule="exact"/>
        <w:ind w:firstLine="0" w:firstLineChars="0"/>
        <w:outlineLvl w:val="0"/>
        <w:rPr>
          <w:rFonts w:hint="eastAsia" w:ascii="宋体" w:hAnsi="宋体" w:eastAsia="宋体" w:cs="宋体"/>
          <w:b w:val="0"/>
          <w:color w:val="auto"/>
          <w:kern w:val="0"/>
          <w:sz w:val="22"/>
          <w:szCs w:val="24"/>
        </w:rPr>
      </w:pP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outlineLvl w:val="0"/>
        <w:rPr>
          <w:rFonts w:hint="eastAsia" w:ascii="宋体" w:hAnsi="宋体" w:eastAsia="宋体" w:cs="宋体"/>
          <w:color w:val="auto"/>
          <w:kern w:val="0"/>
          <w:sz w:val="22"/>
          <w:szCs w:val="24"/>
        </w:rPr>
      </w:pPr>
      <w:r>
        <w:rPr>
          <w:rFonts w:hint="eastAsia" w:ascii="宋体" w:hAnsi="宋体" w:eastAsia="宋体" w:cs="宋体"/>
          <w:color w:val="auto"/>
          <w:kern w:val="0"/>
          <w:sz w:val="22"/>
          <w:szCs w:val="24"/>
        </w:rPr>
        <w:t>注：</w:t>
      </w:r>
      <w:r>
        <w:rPr>
          <w:rFonts w:hint="eastAsia" w:ascii="宋体" w:hAnsi="宋体" w:eastAsia="宋体" w:cs="宋体"/>
          <w:color w:val="auto"/>
          <w:kern w:val="0"/>
          <w:sz w:val="22"/>
          <w:szCs w:val="24"/>
          <w:lang w:val="en-US" w:eastAsia="zh-CN"/>
        </w:rPr>
        <w:t>1.</w:t>
      </w:r>
      <w:r>
        <w:rPr>
          <w:rFonts w:hint="eastAsia" w:ascii="宋体" w:hAnsi="宋体" w:eastAsia="宋体" w:cs="宋体"/>
          <w:color w:val="auto"/>
          <w:kern w:val="0"/>
          <w:sz w:val="22"/>
          <w:szCs w:val="24"/>
        </w:rPr>
        <w:t>绩效</w:t>
      </w:r>
      <w:r>
        <w:rPr>
          <w:rFonts w:hint="eastAsia" w:ascii="宋体" w:hAnsi="宋体" w:eastAsia="宋体" w:cs="宋体"/>
          <w:color w:val="auto"/>
          <w:kern w:val="0"/>
          <w:sz w:val="22"/>
          <w:szCs w:val="24"/>
          <w:lang w:val="en-US" w:eastAsia="zh-CN"/>
        </w:rPr>
        <w:t>自评</w:t>
      </w:r>
      <w:r>
        <w:rPr>
          <w:rFonts w:hint="eastAsia" w:ascii="宋体" w:hAnsi="宋体" w:eastAsia="宋体" w:cs="宋体"/>
          <w:color w:val="auto"/>
          <w:kern w:val="0"/>
          <w:sz w:val="22"/>
          <w:szCs w:val="24"/>
        </w:rPr>
        <w:t>实施百分制和四级分类。四个级别分别是：优（90（含）分-100分）、良（</w:t>
      </w:r>
      <w:r>
        <w:rPr>
          <w:rFonts w:hint="eastAsia" w:ascii="宋体" w:hAnsi="宋体" w:eastAsia="宋体" w:cs="宋体"/>
          <w:color w:val="auto"/>
          <w:kern w:val="0"/>
          <w:sz w:val="22"/>
          <w:szCs w:val="24"/>
          <w:lang w:val="en-US" w:eastAsia="zh-CN"/>
        </w:rPr>
        <w:t>80</w:t>
      </w:r>
      <w:r>
        <w:rPr>
          <w:rFonts w:hint="eastAsia" w:ascii="宋体" w:hAnsi="宋体" w:eastAsia="宋体" w:cs="宋体"/>
          <w:color w:val="auto"/>
          <w:kern w:val="0"/>
          <w:sz w:val="22"/>
          <w:szCs w:val="24"/>
        </w:rPr>
        <w:t>（含）分-90分）、</w:t>
      </w:r>
      <w:r>
        <w:rPr>
          <w:rFonts w:hint="eastAsia" w:ascii="宋体" w:hAnsi="宋体" w:cs="宋体"/>
          <w:color w:val="auto"/>
          <w:kern w:val="0"/>
          <w:sz w:val="22"/>
          <w:szCs w:val="24"/>
          <w:lang w:eastAsia="zh-CN"/>
        </w:rPr>
        <w:t>中</w:t>
      </w:r>
      <w:r>
        <w:rPr>
          <w:rFonts w:hint="eastAsia" w:ascii="宋体" w:hAnsi="宋体" w:eastAsia="宋体" w:cs="宋体"/>
          <w:color w:val="auto"/>
          <w:kern w:val="0"/>
          <w:sz w:val="22"/>
          <w:szCs w:val="24"/>
        </w:rPr>
        <w:t>（60（含）分-</w:t>
      </w:r>
      <w:r>
        <w:rPr>
          <w:rFonts w:hint="eastAsia" w:ascii="宋体" w:hAnsi="宋体" w:eastAsia="宋体" w:cs="宋体"/>
          <w:color w:val="auto"/>
          <w:kern w:val="0"/>
          <w:sz w:val="22"/>
          <w:szCs w:val="24"/>
          <w:lang w:val="en-US" w:eastAsia="zh-CN"/>
        </w:rPr>
        <w:t>80</w:t>
      </w:r>
      <w:r>
        <w:rPr>
          <w:rFonts w:hint="eastAsia" w:ascii="宋体" w:hAnsi="宋体" w:eastAsia="宋体" w:cs="宋体"/>
          <w:color w:val="auto"/>
          <w:kern w:val="0"/>
          <w:sz w:val="22"/>
          <w:szCs w:val="24"/>
        </w:rPr>
        <w:t>分）、差（60（不含）分以下）。</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t xml:space="preserve">    2.部门重点自评项目请在备注栏填写“部门重点自评”。</w:t>
      </w:r>
    </w:p>
    <w:p>
      <w:pPr>
        <w:rPr>
          <w:rFonts w:hint="eastAsia"/>
          <w:lang w:val="en-US" w:eastAsia="zh-CN"/>
        </w:rPr>
      </w:pPr>
    </w:p>
    <w:p>
      <w:pPr>
        <w:rPr>
          <w:rFonts w:hint="eastAsia"/>
          <w:lang w:val="en-US" w:eastAsia="zh-CN"/>
        </w:rPr>
      </w:pPr>
    </w:p>
    <w:sectPr>
      <w:footerReference r:id="rId3" w:type="default"/>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B0B63"/>
    <w:rsid w:val="01534994"/>
    <w:rsid w:val="0C8165E0"/>
    <w:rsid w:val="11FE4776"/>
    <w:rsid w:val="2CBF8107"/>
    <w:rsid w:val="2EB70209"/>
    <w:rsid w:val="30FF2B40"/>
    <w:rsid w:val="35D339CB"/>
    <w:rsid w:val="3AAF4DF0"/>
    <w:rsid w:val="3FF79B31"/>
    <w:rsid w:val="4BA31FDB"/>
    <w:rsid w:val="4BFF9656"/>
    <w:rsid w:val="537A1457"/>
    <w:rsid w:val="537B9DA3"/>
    <w:rsid w:val="577FC547"/>
    <w:rsid w:val="5A474F5C"/>
    <w:rsid w:val="5DDF52D1"/>
    <w:rsid w:val="5EDB0B63"/>
    <w:rsid w:val="5F9F33EB"/>
    <w:rsid w:val="6AC7B1A3"/>
    <w:rsid w:val="6B77FB6F"/>
    <w:rsid w:val="6EE9A86C"/>
    <w:rsid w:val="6FD43E60"/>
    <w:rsid w:val="71DB912D"/>
    <w:rsid w:val="763E871D"/>
    <w:rsid w:val="79EBFCAD"/>
    <w:rsid w:val="7BBD97BD"/>
    <w:rsid w:val="7BED256C"/>
    <w:rsid w:val="7BFE4A5B"/>
    <w:rsid w:val="7BFFEC6B"/>
    <w:rsid w:val="7DBF4FBB"/>
    <w:rsid w:val="7DCD9330"/>
    <w:rsid w:val="7DD758A1"/>
    <w:rsid w:val="7DDF6CE4"/>
    <w:rsid w:val="7E562264"/>
    <w:rsid w:val="7E5EB5A1"/>
    <w:rsid w:val="7F2773F9"/>
    <w:rsid w:val="7F3909BD"/>
    <w:rsid w:val="7F7C49BA"/>
    <w:rsid w:val="7FBF70D0"/>
    <w:rsid w:val="7FF719AD"/>
    <w:rsid w:val="9BFD2FEF"/>
    <w:rsid w:val="AA5E3CAD"/>
    <w:rsid w:val="AFDDEFDC"/>
    <w:rsid w:val="B2DFF942"/>
    <w:rsid w:val="B5FC34C6"/>
    <w:rsid w:val="BAEFCA12"/>
    <w:rsid w:val="BD5D8A02"/>
    <w:rsid w:val="D4CEDA1A"/>
    <w:rsid w:val="D5A31DC0"/>
    <w:rsid w:val="D7FF1616"/>
    <w:rsid w:val="DFEAA56F"/>
    <w:rsid w:val="E6922BE3"/>
    <w:rsid w:val="EB5BB730"/>
    <w:rsid w:val="EDFF835A"/>
    <w:rsid w:val="EEBB59E1"/>
    <w:rsid w:val="EFCF022D"/>
    <w:rsid w:val="F37B3AB2"/>
    <w:rsid w:val="F6FF4047"/>
    <w:rsid w:val="F7E365DE"/>
    <w:rsid w:val="FA5A168B"/>
    <w:rsid w:val="FD3F40DC"/>
    <w:rsid w:val="FD8E962E"/>
    <w:rsid w:val="FEF8056D"/>
    <w:rsid w:val="FEF82787"/>
    <w:rsid w:val="FEFA54AC"/>
    <w:rsid w:val="FEFD3F0E"/>
    <w:rsid w:val="FFBDE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w:basedOn w:val="1"/>
    <w:next w:val="1"/>
    <w:qFormat/>
    <w:uiPriority w:val="0"/>
    <w:pPr>
      <w:spacing w:before="0" w:after="140" w:line="276" w:lineRule="auto"/>
    </w:pPr>
  </w:style>
  <w:style w:type="paragraph" w:styleId="5">
    <w:name w:val="Plain Text"/>
    <w:basedOn w:val="1"/>
    <w:next w:val="1"/>
    <w:unhideWhenUsed/>
    <w:qFormat/>
    <w:uiPriority w:val="99"/>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index 1"/>
    <w:basedOn w:val="1"/>
    <w:next w:val="1"/>
    <w:qFormat/>
    <w:uiPriority w:val="0"/>
  </w:style>
  <w:style w:type="character" w:styleId="12">
    <w:name w:val="Hyperlink"/>
    <w:basedOn w:val="11"/>
    <w:qFormat/>
    <w:uiPriority w:val="0"/>
    <w:rPr>
      <w:color w:val="0000FF"/>
      <w:u w:val="single"/>
    </w:rPr>
  </w:style>
  <w:style w:type="character" w:customStyle="1" w:styleId="13">
    <w:name w:val="font81"/>
    <w:basedOn w:val="11"/>
    <w:qFormat/>
    <w:uiPriority w:val="0"/>
    <w:rPr>
      <w:rFonts w:hint="eastAsia" w:ascii="宋体" w:hAnsi="宋体" w:eastAsia="宋体" w:cs="宋体"/>
      <w:color w:val="000000"/>
      <w:sz w:val="20"/>
      <w:szCs w:val="20"/>
      <w:u w:val="none"/>
    </w:rPr>
  </w:style>
  <w:style w:type="character" w:customStyle="1" w:styleId="14">
    <w:name w:val="font11"/>
    <w:basedOn w:val="11"/>
    <w:qFormat/>
    <w:uiPriority w:val="0"/>
    <w:rPr>
      <w:rFonts w:hint="eastAsia" w:ascii="仿宋_GB2312" w:eastAsia="仿宋_GB2312" w:cs="仿宋_GB2312"/>
      <w:color w:val="000000"/>
      <w:sz w:val="24"/>
      <w:szCs w:val="24"/>
      <w:u w:val="none"/>
    </w:rPr>
  </w:style>
  <w:style w:type="character" w:customStyle="1" w:styleId="15">
    <w:name w:val="font61"/>
    <w:basedOn w:val="11"/>
    <w:qFormat/>
    <w:uiPriority w:val="0"/>
    <w:rPr>
      <w:rFonts w:hint="eastAsia" w:ascii="仿宋_GB2312" w:eastAsia="仿宋_GB2312" w:cs="仿宋_GB2312"/>
      <w:color w:val="000000"/>
      <w:sz w:val="24"/>
      <w:szCs w:val="24"/>
      <w:u w:val="none"/>
    </w:rPr>
  </w:style>
  <w:style w:type="character" w:customStyle="1" w:styleId="16">
    <w:name w:val="font71"/>
    <w:basedOn w:val="11"/>
    <w:qFormat/>
    <w:uiPriority w:val="0"/>
    <w:rPr>
      <w:rFonts w:hint="eastAsia" w:ascii="宋体" w:hAnsi="宋体" w:eastAsia="宋体" w:cs="宋体"/>
      <w:color w:val="FF0000"/>
      <w:sz w:val="20"/>
      <w:szCs w:val="20"/>
      <w:u w:val="none"/>
    </w:rPr>
  </w:style>
  <w:style w:type="paragraph" w:customStyle="1" w:styleId="17">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18">
    <w:name w:val="首行缩进"/>
    <w:basedOn w:val="1"/>
    <w:qFormat/>
    <w:uiPriority w:val="0"/>
    <w:pPr>
      <w:ind w:firstLine="480"/>
    </w:pPr>
    <w:rPr>
      <w:szCs w:val="20"/>
      <w:lang w:val="zh-CN"/>
    </w:rPr>
  </w:style>
  <w:style w:type="paragraph" w:customStyle="1" w:styleId="19">
    <w:name w:val="列表段落1"/>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2024-03-14T11:08:00Z</dcterms:created>
  <dc:creator>user</dc:creator>
  <cp:lastModifiedBy>user</cp:lastModifiedBy>
  <cp:lastPrinted>2025-01-09T09:22:00Z</cp:lastPrinted>
  <dcterms:modified xsi:type="dcterms:W3CDTF">2025-09-09T09:30:26Z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