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1D7277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623"/>
        <w:gridCol w:w="760"/>
        <w:gridCol w:w="1390"/>
        <w:gridCol w:w="584"/>
        <w:gridCol w:w="530"/>
        <w:gridCol w:w="964"/>
        <w:gridCol w:w="991"/>
        <w:gridCol w:w="202"/>
        <w:gridCol w:w="287"/>
        <w:gridCol w:w="484"/>
        <w:gridCol w:w="836"/>
        <w:gridCol w:w="699"/>
      </w:tblGrid>
      <w:tr w14:paraId="614853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4ACDFCD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bookmarkStart w:id="0" w:name="_GoBack"/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 w14:paraId="76AD27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72B7A915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年度）</w:t>
            </w:r>
          </w:p>
        </w:tc>
      </w:tr>
      <w:tr w14:paraId="374DFA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3A55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72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313A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通州区2024年绩效评估服务项目</w:t>
            </w:r>
          </w:p>
        </w:tc>
      </w:tr>
      <w:tr w14:paraId="1578D7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1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8167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2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CFC75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通州区委综合考评办公室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780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30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2B5F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北京北询信息咨询服务有限公司</w:t>
            </w:r>
          </w:p>
        </w:tc>
      </w:tr>
      <w:tr w14:paraId="582944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9A07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2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EA86E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B99D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30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0876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281031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2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C76390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21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0047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2170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D3B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3CBE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1D33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F6D0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7BC6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 w14:paraId="21E717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B21C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183BF8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89B0F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50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D6A2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50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B90AF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40.87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BC0A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5E53B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81.74%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1DE06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 w14:paraId="151CBD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60C5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2A7A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0D1955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50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F1448E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50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4C789B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40.87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8C4B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C3DF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D00D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 w14:paraId="3CBACB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EC00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C7C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69C8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E38F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AAA5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2EC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8168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9696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 w14:paraId="33CBBB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CF0C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DEB5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56DD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EA3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947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2A3A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D855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545D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 w14:paraId="0D6D9C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84A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85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8DB3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49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46F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 w14:paraId="7E40D0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61F6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85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76A5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Segoe UI" w:hAnsi="Segoe UI" w:eastAsia="Segoe UI" w:cs="Segoe UI"/>
                <w:i w:val="0"/>
                <w:iCs w:val="0"/>
                <w:caps w:val="0"/>
                <w:spacing w:val="0"/>
                <w:sz w:val="19"/>
                <w:szCs w:val="19"/>
                <w:highlight w:val="none"/>
                <w:shd w:val="clear" w:fill="FFFFFF"/>
              </w:rPr>
              <w:t>充分利用第三方资源，协助开展重点专项任务评估及重点单位绩效评估，形成评估报告并提出建议，推动工作落实。</w:t>
            </w:r>
          </w:p>
        </w:tc>
        <w:tc>
          <w:tcPr>
            <w:tcW w:w="349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707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Segoe UI" w:hAnsi="Segoe UI" w:eastAsia="Segoe UI" w:cs="Segoe UI"/>
                <w:i w:val="0"/>
                <w:iCs w:val="0"/>
                <w:caps w:val="0"/>
                <w:spacing w:val="0"/>
                <w:sz w:val="19"/>
                <w:szCs w:val="19"/>
                <w:highlight w:val="none"/>
                <w:shd w:val="clear" w:fill="FFFFFF"/>
              </w:rPr>
              <w:t>完成重点专项任务和重点单位绩效评估，按合同要求形成各类报告，组织专家研讨并提出建议，助力通州区绩效评估工作。</w:t>
            </w:r>
          </w:p>
        </w:tc>
      </w:tr>
      <w:tr w14:paraId="11B5A4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26FC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B787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20A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1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B71F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B724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 w14:paraId="539E29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DB75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 w14:paraId="4E1A1B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4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DC11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35EE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6F3F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 w14:paraId="25169D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075AA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2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07C2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7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8BF4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1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DC267B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指标1：重点专项任务评估报告数量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21D9D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656AE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4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C0DE5D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8C5810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65B4D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无</w:t>
            </w:r>
          </w:p>
        </w:tc>
      </w:tr>
      <w:tr w14:paraId="0EBE11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449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2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E638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BF4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3EB80A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指标2：重点单位绩效评估分报告数量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980558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26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9B620B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29</w:t>
            </w:r>
          </w:p>
        </w:tc>
        <w:tc>
          <w:tcPr>
            <w:tcW w:w="4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9919CC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73BCB2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A7D2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无</w:t>
            </w:r>
          </w:p>
        </w:tc>
      </w:tr>
      <w:tr w14:paraId="45217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0FB3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2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B98D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9837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8F779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：重点单位绩效评估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总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报告数量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EC8B0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820B2C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4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35665A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06C052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3F1442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无</w:t>
            </w:r>
          </w:p>
        </w:tc>
      </w:tr>
      <w:tr w14:paraId="4E1D17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6A5C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2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7453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32B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90439A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：专家研讨会次数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242F9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EF82A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4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E7B63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B19685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8A5B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无</w:t>
            </w:r>
          </w:p>
        </w:tc>
      </w:tr>
      <w:tr w14:paraId="5C1CF5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ADCC6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2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DDB8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434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1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2B8253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指标1：评估体系完整性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4691ED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评估体系涵盖依据、内容、目的、方法、成效等5个方面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52E7B0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涵盖5个方面</w:t>
            </w:r>
          </w:p>
        </w:tc>
        <w:tc>
          <w:tcPr>
            <w:tcW w:w="4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1E39DE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421D24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955A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无</w:t>
            </w:r>
          </w:p>
        </w:tc>
      </w:tr>
      <w:tr w14:paraId="635909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7D7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2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4604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60C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E0F848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指标2：报告质量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EA8322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报告通过审核，审核通过率达100%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0CE040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审核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通过率100%</w:t>
            </w:r>
          </w:p>
        </w:tc>
        <w:tc>
          <w:tcPr>
            <w:tcW w:w="4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F5FCF7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7F872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1C7EE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  <w:p w14:paraId="1536DBB9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原因分析：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部分报告数据分析深度不足</w:t>
            </w:r>
          </w:p>
          <w:p w14:paraId="43FFEBB0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改进措施：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明确分析框架，撰写后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团队成员间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交叉审核</w:t>
            </w:r>
          </w:p>
          <w:p w14:paraId="4CAEADED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125870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4DAF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2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F6A9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DD4F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19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2873E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指标1：各项任务完成时间</w:t>
            </w:r>
          </w:p>
        </w:tc>
        <w:tc>
          <w:tcPr>
            <w:tcW w:w="1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5D2BD1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按合同约定时间完成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54079C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按合同约定时间完成</w:t>
            </w:r>
          </w:p>
        </w:tc>
        <w:tc>
          <w:tcPr>
            <w:tcW w:w="4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1CA87D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108AB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B48CCA"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原因分析：市绩效牵头单位访谈要点把握存在偏差</w:t>
            </w:r>
          </w:p>
          <w:p w14:paraId="5335779D"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改进措施：重新制定访谈要点并进行第二次访谈</w:t>
            </w:r>
          </w:p>
        </w:tc>
      </w:tr>
      <w:tr w14:paraId="0F6D81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4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42ED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033B10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053D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可持续影响指标</w:t>
            </w:r>
          </w:p>
        </w:tc>
        <w:tc>
          <w:tcPr>
            <w:tcW w:w="1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BFE69A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指标1：对绩效评估工作的持续改进</w:t>
            </w:r>
          </w:p>
        </w:tc>
        <w:tc>
          <w:tcPr>
            <w:tcW w:w="14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49AE0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为后续绩效评估提供经验和参考</w:t>
            </w:r>
          </w:p>
        </w:tc>
        <w:tc>
          <w:tcPr>
            <w:tcW w:w="9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E0EB3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形成的方法和报告可用于后续工作</w:t>
            </w:r>
          </w:p>
        </w:tc>
        <w:tc>
          <w:tcPr>
            <w:tcW w:w="4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1A1188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4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ECF40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678299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原因分析：总结的经验在推广应用方面不足</w:t>
            </w:r>
          </w:p>
          <w:p w14:paraId="59E27E4F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改进措施：建立反馈机制优化经验</w:t>
            </w:r>
          </w:p>
        </w:tc>
      </w:tr>
      <w:tr w14:paraId="707A02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B660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DBC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 w14:paraId="34A66C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F68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1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9CDD33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被评估单位的反馈结果运用</w:t>
            </w:r>
          </w:p>
        </w:tc>
        <w:tc>
          <w:tcPr>
            <w:tcW w:w="14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30446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满意度达到90分（满分100分）及以上</w:t>
            </w:r>
          </w:p>
        </w:tc>
        <w:tc>
          <w:tcPr>
            <w:tcW w:w="9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BA1EB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ADB72F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4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6E1E63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71B4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-</w:t>
            </w:r>
          </w:p>
        </w:tc>
      </w:tr>
      <w:tr w14:paraId="79F9F2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5139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4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CB8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4F93F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97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21AF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bookmarkEnd w:id="0"/>
    </w:tbl>
    <w:p w14:paraId="3FC99CF5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 w14:paraId="6BA9F8DF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 w14:paraId="386B2A56"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709862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 w14:paraId="65A7751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 w14:paraId="69AEEA62"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 w14:paraId="690A948B"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68A81F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8076D67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8076D67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4326993"/>
    <w:rsid w:val="0C8165E0"/>
    <w:rsid w:val="16277881"/>
    <w:rsid w:val="197E766C"/>
    <w:rsid w:val="2CBF8107"/>
    <w:rsid w:val="2EB70209"/>
    <w:rsid w:val="30FF2B40"/>
    <w:rsid w:val="35D339CB"/>
    <w:rsid w:val="3E9B34A0"/>
    <w:rsid w:val="3FF79B31"/>
    <w:rsid w:val="402A2BF1"/>
    <w:rsid w:val="44CD7710"/>
    <w:rsid w:val="48DA1AC5"/>
    <w:rsid w:val="4BA31FDB"/>
    <w:rsid w:val="4BFF9656"/>
    <w:rsid w:val="50B17056"/>
    <w:rsid w:val="537A1457"/>
    <w:rsid w:val="537B9DA3"/>
    <w:rsid w:val="577FC547"/>
    <w:rsid w:val="5A474F5C"/>
    <w:rsid w:val="5DDF52D1"/>
    <w:rsid w:val="5E463E3C"/>
    <w:rsid w:val="5ED2098E"/>
    <w:rsid w:val="5EDB0B63"/>
    <w:rsid w:val="5F9F33EB"/>
    <w:rsid w:val="606A4907"/>
    <w:rsid w:val="66583748"/>
    <w:rsid w:val="6AC7B1A3"/>
    <w:rsid w:val="6B77FB6F"/>
    <w:rsid w:val="6EE9A86C"/>
    <w:rsid w:val="6FD43E60"/>
    <w:rsid w:val="71DB912D"/>
    <w:rsid w:val="763E871D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1527</Words>
  <Characters>1673</Characters>
  <Lines>0</Lines>
  <Paragraphs>0</Paragraphs>
  <TotalTime>22</TotalTime>
  <ScaleCrop>false</ScaleCrop>
  <LinksUpToDate>false</LinksUpToDate>
  <CharactersWithSpaces>1697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于妍</cp:lastModifiedBy>
  <cp:lastPrinted>2025-01-08T17:22:00Z</cp:lastPrinted>
  <dcterms:modified xsi:type="dcterms:W3CDTF">2025-03-06T06:05:44Z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eyJoZGlkIjoiOGRhM2MyOGVjZDU1NzdkMzA0YTc3NjVlNWYwZjQyZjYiLCJ1c2VySWQiOiIyNDkyNTY1MDcifQ==</vt:lpwstr>
  </property>
  <property fmtid="{D5CDD505-2E9C-101B-9397-08002B2CF9AE}" pid="4" name="ICV">
    <vt:lpwstr>F0B210649B904B0C8C11A48EC07173E7_12</vt:lpwstr>
  </property>
</Properties>
</file>