
<file path=[Content_Types].xml><?xml version="1.0" encoding="utf-8"?>
<Types xmlns="http://schemas.openxmlformats.org/package/2006/content-types">
  <Default Extension="xml" ContentType="application/xml"/>
  <Default Extension="xlsx" ContentType="application/vnd.openxmlformats-officedocument.spreadsheetml.sheet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olors1.xml" ContentType="application/vnd.ms-office.chartcolorstyle+xml"/>
  <Override PartName="/word/charts/colors2.xml" ContentType="application/vnd.ms-office.chartcolorstyle+xml"/>
  <Override PartName="/word/charts/colors3.xml" ContentType="application/vnd.ms-office.chartcolorstyle+xml"/>
  <Override PartName="/word/charts/colors4.xml" ContentType="application/vnd.ms-office.chartcolorstyle+xml"/>
  <Override PartName="/word/charts/colors5.xml" ContentType="application/vnd.ms-office.chartcolorstyle+xml"/>
  <Override PartName="/word/charts/colors6.xml" ContentType="application/vnd.ms-office.chartcolorstyle+xml"/>
  <Override PartName="/word/charts/style1.xml" ContentType="application/vnd.ms-office.chartstyle+xml"/>
  <Override PartName="/word/charts/style2.xml" ContentType="application/vnd.ms-office.chartstyle+xml"/>
  <Override PartName="/word/charts/style3.xml" ContentType="application/vnd.ms-office.chartstyle+xml"/>
  <Override PartName="/word/charts/style4.xml" ContentType="application/vnd.ms-office.chartstyle+xml"/>
  <Override PartName="/word/charts/style5.xml" ContentType="application/vnd.ms-office.chartstyle+xml"/>
  <Override PartName="/word/charts/style6.xml" ContentType="application/vnd.ms-office.chartstyl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p>
      <w:pPr>
        <w:jc w:val="left"/>
        <w:rPr>
          <w:rFonts w:hint="eastAsia"/>
          <w:lang w:val="en-US" w:eastAsia="zh-CN"/>
        </w:rPr>
      </w:pPr>
    </w:p>
    <w:p>
      <w:pPr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4643120" cy="2724785"/>
            <wp:effectExtent l="0" t="0" r="5080" b="18415"/>
            <wp:docPr id="1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>
      <w:pPr>
        <w:jc w:val="left"/>
        <w:rPr>
          <w:rFonts w:hint="eastAsia"/>
          <w:lang w:val="en-US" w:eastAsia="zh-CN"/>
        </w:rPr>
      </w:pPr>
    </w:p>
    <w:p>
      <w:pPr>
        <w:jc w:val="left"/>
        <w:rPr>
          <w:rFonts w:hint="eastAsia"/>
        </w:rPr>
      </w:pPr>
    </w:p>
    <w:p>
      <w:pPr>
        <w:jc w:val="left"/>
        <w:rPr>
          <w:rFonts w:hint="eastAsia"/>
          <w:sz w:val="28"/>
          <w:szCs w:val="28"/>
        </w:rPr>
      </w:pPr>
    </w:p>
    <w:p>
      <w:pPr>
        <w:jc w:val="center"/>
        <w:rPr>
          <w:rFonts w:hint="default" w:eastAsia="等线"/>
          <w:sz w:val="28"/>
          <w:szCs w:val="28"/>
          <w:lang w:val="en-US" w:eastAsia="zh-CN"/>
        </w:rPr>
      </w:pPr>
      <w:r>
        <w:rPr>
          <w:rFonts w:hint="eastAsia" w:eastAsia="等线"/>
          <w:sz w:val="28"/>
          <w:szCs w:val="28"/>
          <w:lang w:eastAsia="zh-CN"/>
        </w:rPr>
        <w:drawing>
          <wp:inline distT="0" distB="0" distL="114300" distR="114300">
            <wp:extent cx="3933190" cy="2800350"/>
            <wp:effectExtent l="0" t="0" r="0" b="0"/>
            <wp:docPr id="3" name="图表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  <w:r>
        <w:rPr>
          <w:rFonts w:hint="eastAsia"/>
          <w:sz w:val="28"/>
          <w:szCs w:val="28"/>
          <w:lang w:val="en-US" w:eastAsia="zh-CN"/>
        </w:rPr>
        <w:t xml:space="preserve"> </w:t>
      </w:r>
    </w:p>
    <w:p>
      <w:pPr>
        <w:jc w:val="left"/>
        <w:rPr>
          <w:rFonts w:hint="eastAsia"/>
          <w:sz w:val="28"/>
          <w:szCs w:val="28"/>
        </w:rPr>
      </w:pPr>
    </w:p>
    <w:p>
      <w:pPr>
        <w:jc w:val="left"/>
        <w:rPr>
          <w:rFonts w:hint="eastAsia"/>
          <w:sz w:val="28"/>
          <w:szCs w:val="28"/>
        </w:rPr>
      </w:pPr>
    </w:p>
    <w:p>
      <w:pPr>
        <w:jc w:val="left"/>
        <w:rPr>
          <w:sz w:val="28"/>
          <w:szCs w:val="28"/>
        </w:rPr>
      </w:pPr>
    </w:p>
    <w:p>
      <w:pPr>
        <w:jc w:val="left"/>
        <w:rPr>
          <w:sz w:val="28"/>
          <w:szCs w:val="28"/>
        </w:rPr>
      </w:pPr>
    </w:p>
    <w:p>
      <w:pPr>
        <w:jc w:val="left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  <w:r>
        <w:rPr>
          <w:rFonts w:hint="eastAsia" w:eastAsia="等线"/>
          <w:sz w:val="28"/>
          <w:szCs w:val="28"/>
          <w:lang w:eastAsia="zh-CN"/>
        </w:rPr>
        <w:drawing>
          <wp:inline distT="0" distB="0" distL="114300" distR="114300">
            <wp:extent cx="4500245" cy="2861945"/>
            <wp:effectExtent l="0" t="0" r="14605" b="14605"/>
            <wp:docPr id="4" name="图表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  <w:bookmarkStart w:id="0" w:name="_GoBack"/>
      <w:bookmarkEnd w:id="0"/>
    </w:p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460240" cy="2839085"/>
            <wp:effectExtent l="0" t="0" r="16510" b="18415"/>
            <wp:docPr id="2" name="图表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>
      <w:pPr>
        <w:jc w:val="left"/>
        <w:rPr>
          <w:sz w:val="28"/>
          <w:szCs w:val="28"/>
        </w:rPr>
      </w:pPr>
    </w:p>
    <w:p>
      <w:pPr>
        <w:jc w:val="left"/>
        <w:rPr>
          <w:sz w:val="28"/>
          <w:szCs w:val="28"/>
        </w:rPr>
      </w:pPr>
    </w:p>
    <w:p>
      <w:pPr>
        <w:jc w:val="center"/>
        <w:rPr>
          <w:rFonts w:hint="eastAsia"/>
          <w:sz w:val="28"/>
          <w:szCs w:val="28"/>
        </w:rPr>
      </w:pPr>
    </w:p>
    <w:p>
      <w:pPr>
        <w:jc w:val="left"/>
        <w:rPr>
          <w:rFonts w:hint="eastAsia"/>
          <w:sz w:val="28"/>
          <w:szCs w:val="28"/>
        </w:rPr>
      </w:pPr>
    </w:p>
    <w:p>
      <w:pPr>
        <w:jc w:val="left"/>
      </w:pPr>
    </w:p>
    <w:p>
      <w:pPr>
        <w:jc w:val="left"/>
        <w:rPr>
          <w:rFonts w:hint="eastAsia"/>
        </w:rPr>
      </w:pPr>
    </w:p>
    <w:p>
      <w:pPr>
        <w:jc w:val="left"/>
        <w:rPr>
          <w:rFonts w:hint="eastAsia"/>
        </w:rPr>
      </w:pPr>
      <w:r>
        <w:rPr>
          <w:rFonts w:hint="eastAsia"/>
        </w:rPr>
        <w:t>.</w:t>
      </w:r>
    </w:p>
    <w:p>
      <w:pPr>
        <w:jc w:val="center"/>
        <w:rPr>
          <w:rFonts w:hint="eastAsia"/>
        </w:rPr>
      </w:pPr>
      <w:r>
        <w:drawing>
          <wp:inline distT="0" distB="0" distL="114300" distR="114300">
            <wp:extent cx="4076700" cy="2685415"/>
            <wp:effectExtent l="0" t="0" r="0" b="635"/>
            <wp:docPr id="10" name="图表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>
      <w:pPr>
        <w:jc w:val="left"/>
        <w:rPr>
          <w:rFonts w:hint="eastAsia"/>
        </w:rPr>
      </w:pPr>
    </w:p>
    <w:p>
      <w:pPr>
        <w:jc w:val="left"/>
        <w:rPr>
          <w:rFonts w:hint="eastAsia"/>
        </w:rPr>
      </w:pPr>
    </w:p>
    <w:p>
      <w:pPr>
        <w:jc w:val="left"/>
        <w:rPr>
          <w:rFonts w:hint="eastAsia"/>
        </w:rPr>
      </w:pPr>
    </w:p>
    <w:p>
      <w:pPr>
        <w:jc w:val="center"/>
        <w:rPr>
          <w:rFonts w:hint="eastAsia"/>
        </w:rPr>
      </w:pPr>
      <w:r>
        <w:drawing>
          <wp:inline distT="0" distB="0" distL="114300" distR="114300">
            <wp:extent cx="4700270" cy="2517775"/>
            <wp:effectExtent l="0" t="0" r="5080" b="15875"/>
            <wp:docPr id="11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>
      <w:pPr>
        <w:jc w:val="left"/>
      </w:pPr>
    </w:p>
    <w:p>
      <w:pPr>
        <w:jc w:val="left"/>
        <w:rPr>
          <w:sz w:val="21"/>
          <w:szCs w:val="21"/>
        </w:rPr>
      </w:pPr>
    </w:p>
    <w:p>
      <w:pPr>
        <w:jc w:val="left"/>
      </w:pPr>
    </w:p>
    <w:p>
      <w:pPr>
        <w:jc w:val="center"/>
      </w:pPr>
    </w:p>
    <w:p>
      <w:pPr>
        <w:jc w:val="left"/>
        <w:rPr>
          <w:rFonts w:hint="eastAsia" w:eastAsia="等线"/>
          <w:lang w:eastAsia="zh-CN"/>
        </w:rPr>
      </w:pPr>
    </w:p>
    <w:p>
      <w:pPr>
        <w:jc w:val="left"/>
      </w:pPr>
    </w:p>
    <w:p>
      <w:pPr>
        <w:jc w:val="left"/>
        <w:rPr>
          <w:rFonts w:hint="eastAsia"/>
        </w:rPr>
      </w:pPr>
    </w:p>
    <w:p>
      <w:pPr>
        <w:jc w:val="left"/>
      </w:pPr>
    </w:p>
    <w:sectPr>
      <w:pgSz w:w="11906" w:h="16838"/>
      <w:pgMar w:top="1440" w:right="1486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auto"/>
    <w:pitch w:val="default"/>
    <w:sig w:usb0="A00002EF" w:usb1="4000004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IxYTcwMGJlMjU2M2U0MGNlNTZhNTcxN2UzMzNhOTQifQ=="/>
  </w:docVars>
  <w:rsids>
    <w:rsidRoot w:val="000A43DC"/>
    <w:rsid w:val="000135E7"/>
    <w:rsid w:val="00034983"/>
    <w:rsid w:val="000417F9"/>
    <w:rsid w:val="00074EED"/>
    <w:rsid w:val="00076791"/>
    <w:rsid w:val="00087BF8"/>
    <w:rsid w:val="0009699F"/>
    <w:rsid w:val="000A43DC"/>
    <w:rsid w:val="000B7DA1"/>
    <w:rsid w:val="000E2C0A"/>
    <w:rsid w:val="000E504B"/>
    <w:rsid w:val="0012504F"/>
    <w:rsid w:val="00126BD6"/>
    <w:rsid w:val="001836BC"/>
    <w:rsid w:val="001B1222"/>
    <w:rsid w:val="001B1345"/>
    <w:rsid w:val="0022670D"/>
    <w:rsid w:val="00226EF0"/>
    <w:rsid w:val="00230C33"/>
    <w:rsid w:val="00263C92"/>
    <w:rsid w:val="00264984"/>
    <w:rsid w:val="00295A14"/>
    <w:rsid w:val="002B32C4"/>
    <w:rsid w:val="002B5028"/>
    <w:rsid w:val="002F175B"/>
    <w:rsid w:val="0030183B"/>
    <w:rsid w:val="00322649"/>
    <w:rsid w:val="003430E3"/>
    <w:rsid w:val="00372ED5"/>
    <w:rsid w:val="00373537"/>
    <w:rsid w:val="003C6320"/>
    <w:rsid w:val="003D3E6A"/>
    <w:rsid w:val="003F4C86"/>
    <w:rsid w:val="004056EF"/>
    <w:rsid w:val="0043119F"/>
    <w:rsid w:val="00450ABE"/>
    <w:rsid w:val="004568EE"/>
    <w:rsid w:val="004A5BE0"/>
    <w:rsid w:val="004A6FF2"/>
    <w:rsid w:val="004B2648"/>
    <w:rsid w:val="004C2206"/>
    <w:rsid w:val="004C5F27"/>
    <w:rsid w:val="004E5A23"/>
    <w:rsid w:val="00527FF7"/>
    <w:rsid w:val="00531214"/>
    <w:rsid w:val="005415C0"/>
    <w:rsid w:val="0054237A"/>
    <w:rsid w:val="00565E95"/>
    <w:rsid w:val="00572F49"/>
    <w:rsid w:val="00581D7E"/>
    <w:rsid w:val="005B18F1"/>
    <w:rsid w:val="005C4684"/>
    <w:rsid w:val="00613119"/>
    <w:rsid w:val="00613198"/>
    <w:rsid w:val="006229D1"/>
    <w:rsid w:val="006304FA"/>
    <w:rsid w:val="006340F2"/>
    <w:rsid w:val="006342BA"/>
    <w:rsid w:val="0063752E"/>
    <w:rsid w:val="00643B60"/>
    <w:rsid w:val="00676B61"/>
    <w:rsid w:val="00695D9B"/>
    <w:rsid w:val="006968BE"/>
    <w:rsid w:val="006A070A"/>
    <w:rsid w:val="006A315A"/>
    <w:rsid w:val="006B1CA4"/>
    <w:rsid w:val="006B4B99"/>
    <w:rsid w:val="006B5717"/>
    <w:rsid w:val="006F13A6"/>
    <w:rsid w:val="006F6364"/>
    <w:rsid w:val="00701D6F"/>
    <w:rsid w:val="00710895"/>
    <w:rsid w:val="00715F2D"/>
    <w:rsid w:val="00730569"/>
    <w:rsid w:val="00755D31"/>
    <w:rsid w:val="00785BEC"/>
    <w:rsid w:val="007B2270"/>
    <w:rsid w:val="007B5A49"/>
    <w:rsid w:val="007D214F"/>
    <w:rsid w:val="008040B4"/>
    <w:rsid w:val="00832583"/>
    <w:rsid w:val="008433A5"/>
    <w:rsid w:val="00861BA6"/>
    <w:rsid w:val="0086619A"/>
    <w:rsid w:val="0087028E"/>
    <w:rsid w:val="00883B2F"/>
    <w:rsid w:val="00883B52"/>
    <w:rsid w:val="0088602B"/>
    <w:rsid w:val="008A028C"/>
    <w:rsid w:val="008B37F6"/>
    <w:rsid w:val="008C0E58"/>
    <w:rsid w:val="008D4F51"/>
    <w:rsid w:val="008E3650"/>
    <w:rsid w:val="009275CD"/>
    <w:rsid w:val="00945E11"/>
    <w:rsid w:val="00956060"/>
    <w:rsid w:val="00963FE8"/>
    <w:rsid w:val="00983654"/>
    <w:rsid w:val="009B6FAA"/>
    <w:rsid w:val="009C3C30"/>
    <w:rsid w:val="009C77BF"/>
    <w:rsid w:val="00A008E8"/>
    <w:rsid w:val="00A030D8"/>
    <w:rsid w:val="00A10C67"/>
    <w:rsid w:val="00A12464"/>
    <w:rsid w:val="00A36BAE"/>
    <w:rsid w:val="00A60C4C"/>
    <w:rsid w:val="00A61AA5"/>
    <w:rsid w:val="00A71721"/>
    <w:rsid w:val="00A810BF"/>
    <w:rsid w:val="00AB5DDB"/>
    <w:rsid w:val="00AB7CCD"/>
    <w:rsid w:val="00AD3A30"/>
    <w:rsid w:val="00AF50B5"/>
    <w:rsid w:val="00AF7CD2"/>
    <w:rsid w:val="00B45A8D"/>
    <w:rsid w:val="00B723EB"/>
    <w:rsid w:val="00BE24AF"/>
    <w:rsid w:val="00BF1314"/>
    <w:rsid w:val="00C013A5"/>
    <w:rsid w:val="00C45D86"/>
    <w:rsid w:val="00C46A33"/>
    <w:rsid w:val="00C65662"/>
    <w:rsid w:val="00C73B29"/>
    <w:rsid w:val="00C82BB3"/>
    <w:rsid w:val="00C85931"/>
    <w:rsid w:val="00CA7522"/>
    <w:rsid w:val="00D370E3"/>
    <w:rsid w:val="00D4763D"/>
    <w:rsid w:val="00D6610D"/>
    <w:rsid w:val="00DD4122"/>
    <w:rsid w:val="00DD6B6A"/>
    <w:rsid w:val="00DE7579"/>
    <w:rsid w:val="00DF3A88"/>
    <w:rsid w:val="00DF77E9"/>
    <w:rsid w:val="00E10A7B"/>
    <w:rsid w:val="00E432A7"/>
    <w:rsid w:val="00E505DD"/>
    <w:rsid w:val="00E555FC"/>
    <w:rsid w:val="00E657D5"/>
    <w:rsid w:val="00E754A7"/>
    <w:rsid w:val="00EB500F"/>
    <w:rsid w:val="00ED08CC"/>
    <w:rsid w:val="00ED3316"/>
    <w:rsid w:val="00EE4521"/>
    <w:rsid w:val="00EF03A9"/>
    <w:rsid w:val="00EF756A"/>
    <w:rsid w:val="00F33185"/>
    <w:rsid w:val="00F41F94"/>
    <w:rsid w:val="00F509E2"/>
    <w:rsid w:val="00F50B1C"/>
    <w:rsid w:val="00F81B1F"/>
    <w:rsid w:val="00F84764"/>
    <w:rsid w:val="00F92D6E"/>
    <w:rsid w:val="00F96A5A"/>
    <w:rsid w:val="00FB02CF"/>
    <w:rsid w:val="00FB3980"/>
    <w:rsid w:val="00FC0B84"/>
    <w:rsid w:val="00FD4425"/>
    <w:rsid w:val="00FE68B8"/>
    <w:rsid w:val="014545C7"/>
    <w:rsid w:val="02127914"/>
    <w:rsid w:val="022A2E24"/>
    <w:rsid w:val="022E5173"/>
    <w:rsid w:val="025649A5"/>
    <w:rsid w:val="0292339B"/>
    <w:rsid w:val="02EE116F"/>
    <w:rsid w:val="046A2A3A"/>
    <w:rsid w:val="04763EE5"/>
    <w:rsid w:val="04941628"/>
    <w:rsid w:val="04A57852"/>
    <w:rsid w:val="0553134C"/>
    <w:rsid w:val="06852CA1"/>
    <w:rsid w:val="06A136B9"/>
    <w:rsid w:val="07902BE5"/>
    <w:rsid w:val="07C12FA2"/>
    <w:rsid w:val="080C108F"/>
    <w:rsid w:val="0856750D"/>
    <w:rsid w:val="09315C8F"/>
    <w:rsid w:val="0A341EAF"/>
    <w:rsid w:val="0A4E0BFB"/>
    <w:rsid w:val="0A60637E"/>
    <w:rsid w:val="0A620AA0"/>
    <w:rsid w:val="0A7D57DC"/>
    <w:rsid w:val="0B9257DC"/>
    <w:rsid w:val="0BEE3714"/>
    <w:rsid w:val="0C7071D1"/>
    <w:rsid w:val="0ED202B1"/>
    <w:rsid w:val="0EFD2620"/>
    <w:rsid w:val="0F4E1845"/>
    <w:rsid w:val="0F853FF2"/>
    <w:rsid w:val="10093DA5"/>
    <w:rsid w:val="101210C7"/>
    <w:rsid w:val="10BA3D2C"/>
    <w:rsid w:val="111E587A"/>
    <w:rsid w:val="116326B4"/>
    <w:rsid w:val="11904057"/>
    <w:rsid w:val="11F560A5"/>
    <w:rsid w:val="12F952F5"/>
    <w:rsid w:val="1433222A"/>
    <w:rsid w:val="14BC0B84"/>
    <w:rsid w:val="150222E5"/>
    <w:rsid w:val="1509518E"/>
    <w:rsid w:val="15691286"/>
    <w:rsid w:val="15F65D9C"/>
    <w:rsid w:val="175B7696"/>
    <w:rsid w:val="179A3525"/>
    <w:rsid w:val="183B3728"/>
    <w:rsid w:val="19594902"/>
    <w:rsid w:val="1A6730C3"/>
    <w:rsid w:val="1B9E2D48"/>
    <w:rsid w:val="1C811EF5"/>
    <w:rsid w:val="1D887195"/>
    <w:rsid w:val="1DC40A44"/>
    <w:rsid w:val="1EBD29E4"/>
    <w:rsid w:val="1F110DE9"/>
    <w:rsid w:val="1F9E650F"/>
    <w:rsid w:val="20291DCE"/>
    <w:rsid w:val="20320ECE"/>
    <w:rsid w:val="203C6D40"/>
    <w:rsid w:val="207866A7"/>
    <w:rsid w:val="20F01C8B"/>
    <w:rsid w:val="21380090"/>
    <w:rsid w:val="220666F6"/>
    <w:rsid w:val="22DA21F5"/>
    <w:rsid w:val="22DB32CE"/>
    <w:rsid w:val="23435939"/>
    <w:rsid w:val="23483364"/>
    <w:rsid w:val="24C51723"/>
    <w:rsid w:val="24D301A8"/>
    <w:rsid w:val="253B7AD9"/>
    <w:rsid w:val="25A4135B"/>
    <w:rsid w:val="25BC52A4"/>
    <w:rsid w:val="2605477F"/>
    <w:rsid w:val="26834C02"/>
    <w:rsid w:val="270B6413"/>
    <w:rsid w:val="27716887"/>
    <w:rsid w:val="27A24E6D"/>
    <w:rsid w:val="281021BF"/>
    <w:rsid w:val="28AE4C74"/>
    <w:rsid w:val="295C2DFA"/>
    <w:rsid w:val="29D932AC"/>
    <w:rsid w:val="2A7725E1"/>
    <w:rsid w:val="2A8152CE"/>
    <w:rsid w:val="2AF05EF0"/>
    <w:rsid w:val="2BC41F18"/>
    <w:rsid w:val="2BE772F2"/>
    <w:rsid w:val="2C7A5B1E"/>
    <w:rsid w:val="2D2055F4"/>
    <w:rsid w:val="2DA33045"/>
    <w:rsid w:val="2DD27272"/>
    <w:rsid w:val="2DDC5888"/>
    <w:rsid w:val="2EE50BEB"/>
    <w:rsid w:val="2EFF1945"/>
    <w:rsid w:val="31A16699"/>
    <w:rsid w:val="31AB417C"/>
    <w:rsid w:val="32CB3626"/>
    <w:rsid w:val="330D68FA"/>
    <w:rsid w:val="34271086"/>
    <w:rsid w:val="348D3665"/>
    <w:rsid w:val="356C62E3"/>
    <w:rsid w:val="36A119FB"/>
    <w:rsid w:val="37196326"/>
    <w:rsid w:val="379C259E"/>
    <w:rsid w:val="37A87DA9"/>
    <w:rsid w:val="39853F9F"/>
    <w:rsid w:val="3AA83779"/>
    <w:rsid w:val="3B05703D"/>
    <w:rsid w:val="3B0954D1"/>
    <w:rsid w:val="3B5A188F"/>
    <w:rsid w:val="3CFD5A3B"/>
    <w:rsid w:val="3DBD3597"/>
    <w:rsid w:val="3DF87614"/>
    <w:rsid w:val="3E1D47C5"/>
    <w:rsid w:val="3E55136B"/>
    <w:rsid w:val="3E5D3D11"/>
    <w:rsid w:val="400E0809"/>
    <w:rsid w:val="405E5422"/>
    <w:rsid w:val="4092099C"/>
    <w:rsid w:val="40F969C5"/>
    <w:rsid w:val="4151103E"/>
    <w:rsid w:val="41BB2D74"/>
    <w:rsid w:val="447D1FF7"/>
    <w:rsid w:val="44A11272"/>
    <w:rsid w:val="459E2E2D"/>
    <w:rsid w:val="45AC16F1"/>
    <w:rsid w:val="46624EAD"/>
    <w:rsid w:val="46847091"/>
    <w:rsid w:val="46F52C78"/>
    <w:rsid w:val="47CC5D51"/>
    <w:rsid w:val="48344318"/>
    <w:rsid w:val="48C8384B"/>
    <w:rsid w:val="49692F0B"/>
    <w:rsid w:val="49D310E0"/>
    <w:rsid w:val="49F277BC"/>
    <w:rsid w:val="4B222F02"/>
    <w:rsid w:val="4BB72916"/>
    <w:rsid w:val="4BFC353A"/>
    <w:rsid w:val="4C486DAE"/>
    <w:rsid w:val="4CD71DA0"/>
    <w:rsid w:val="4CFB26C0"/>
    <w:rsid w:val="4D673B78"/>
    <w:rsid w:val="4D73608C"/>
    <w:rsid w:val="4DE414C1"/>
    <w:rsid w:val="4E40110C"/>
    <w:rsid w:val="4E583347"/>
    <w:rsid w:val="4EF7020E"/>
    <w:rsid w:val="4F3B7EBF"/>
    <w:rsid w:val="4F8B4779"/>
    <w:rsid w:val="50492604"/>
    <w:rsid w:val="51355E94"/>
    <w:rsid w:val="516867E6"/>
    <w:rsid w:val="51A056CA"/>
    <w:rsid w:val="51E42798"/>
    <w:rsid w:val="550D21E9"/>
    <w:rsid w:val="553E5415"/>
    <w:rsid w:val="5557338A"/>
    <w:rsid w:val="567231CD"/>
    <w:rsid w:val="56760D9B"/>
    <w:rsid w:val="578D0486"/>
    <w:rsid w:val="579D56C7"/>
    <w:rsid w:val="57A0051F"/>
    <w:rsid w:val="583F4939"/>
    <w:rsid w:val="58FA1B64"/>
    <w:rsid w:val="59417793"/>
    <w:rsid w:val="596C12DB"/>
    <w:rsid w:val="598A0AE0"/>
    <w:rsid w:val="599C4DA1"/>
    <w:rsid w:val="59B87950"/>
    <w:rsid w:val="59E16894"/>
    <w:rsid w:val="5A8A4574"/>
    <w:rsid w:val="5B825349"/>
    <w:rsid w:val="5D1C654D"/>
    <w:rsid w:val="5D780ABD"/>
    <w:rsid w:val="5DA23000"/>
    <w:rsid w:val="5DA828D6"/>
    <w:rsid w:val="5DB372EA"/>
    <w:rsid w:val="5E087FFD"/>
    <w:rsid w:val="5E4E45F0"/>
    <w:rsid w:val="5E941E66"/>
    <w:rsid w:val="5E9535C5"/>
    <w:rsid w:val="5EA80F26"/>
    <w:rsid w:val="5EE949D8"/>
    <w:rsid w:val="5EF32B74"/>
    <w:rsid w:val="60334B84"/>
    <w:rsid w:val="608B7025"/>
    <w:rsid w:val="625473BB"/>
    <w:rsid w:val="62BC7575"/>
    <w:rsid w:val="62C07E61"/>
    <w:rsid w:val="63A07E28"/>
    <w:rsid w:val="648B248A"/>
    <w:rsid w:val="6528013E"/>
    <w:rsid w:val="657F0D27"/>
    <w:rsid w:val="66DC5F5F"/>
    <w:rsid w:val="67D02E98"/>
    <w:rsid w:val="68A25C7C"/>
    <w:rsid w:val="69CA6506"/>
    <w:rsid w:val="69E912AF"/>
    <w:rsid w:val="6A2E3D63"/>
    <w:rsid w:val="6A967A77"/>
    <w:rsid w:val="6CBC6878"/>
    <w:rsid w:val="6CD40DBF"/>
    <w:rsid w:val="6E143DC8"/>
    <w:rsid w:val="6E804461"/>
    <w:rsid w:val="71775AB0"/>
    <w:rsid w:val="72195ED6"/>
    <w:rsid w:val="72A41658"/>
    <w:rsid w:val="72FC49FE"/>
    <w:rsid w:val="734B0AAB"/>
    <w:rsid w:val="73E15A39"/>
    <w:rsid w:val="750F25EE"/>
    <w:rsid w:val="75125EDB"/>
    <w:rsid w:val="7599445F"/>
    <w:rsid w:val="75F47512"/>
    <w:rsid w:val="765E328F"/>
    <w:rsid w:val="769F2138"/>
    <w:rsid w:val="77090698"/>
    <w:rsid w:val="77610BA7"/>
    <w:rsid w:val="77BF7EE1"/>
    <w:rsid w:val="77C8635A"/>
    <w:rsid w:val="78520E0E"/>
    <w:rsid w:val="790A567E"/>
    <w:rsid w:val="7A02252F"/>
    <w:rsid w:val="7AD258DE"/>
    <w:rsid w:val="7C9F25F3"/>
    <w:rsid w:val="7D081745"/>
    <w:rsid w:val="7D945CD3"/>
    <w:rsid w:val="7E3E411D"/>
    <w:rsid w:val="7E474901"/>
    <w:rsid w:val="7EE95410"/>
    <w:rsid w:val="7F1D2D77"/>
    <w:rsid w:val="7F51623B"/>
    <w:rsid w:val="7FE42C4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5"/>
    <w:link w:val="2"/>
    <w:semiHidden/>
    <w:qFormat/>
    <w:uiPriority w:val="99"/>
    <w:rPr>
      <w:kern w:val="2"/>
      <w:sz w:val="18"/>
      <w:szCs w:val="18"/>
    </w:rPr>
  </w:style>
  <w:style w:type="character" w:customStyle="1" w:styleId="7">
    <w:name w:val="页眉 Char"/>
    <w:basedOn w:val="5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hart" Target="charts/chart6.xml"/><Relationship Id="rId8" Type="http://schemas.openxmlformats.org/officeDocument/2006/relationships/chart" Target="charts/chart5.xml"/><Relationship Id="rId7" Type="http://schemas.openxmlformats.org/officeDocument/2006/relationships/chart" Target="charts/chart4.xml"/><Relationship Id="rId6" Type="http://schemas.openxmlformats.org/officeDocument/2006/relationships/chart" Target="charts/chart3.xml"/><Relationship Id="rId5" Type="http://schemas.openxmlformats.org/officeDocument/2006/relationships/chart" Target="charts/chart2.xml"/><Relationship Id="rId4" Type="http://schemas.openxmlformats.org/officeDocument/2006/relationships/chart" Target="charts/chart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3" Type="http://schemas.microsoft.com/office/2011/relationships/chartColorStyle" Target="colors1.xml"/><Relationship Id="rId2" Type="http://schemas.microsoft.com/office/2011/relationships/chartStyle" Target="style1.xml"/><Relationship Id="rId1" Type="http://schemas.openxmlformats.org/officeDocument/2006/relationships/package" Target="../embeddings/Workbook1.xlsx"/></Relationships>
</file>

<file path=word/charts/_rels/chart2.xml.rels><?xml version="1.0" encoding="UTF-8" standalone="yes"?>
<Relationships xmlns="http://schemas.openxmlformats.org/package/2006/relationships"><Relationship Id="rId3" Type="http://schemas.microsoft.com/office/2011/relationships/chartColorStyle" Target="colors2.xml"/><Relationship Id="rId2" Type="http://schemas.microsoft.com/office/2011/relationships/chartStyle" Target="style2.xml"/><Relationship Id="rId1" Type="http://schemas.openxmlformats.org/officeDocument/2006/relationships/package" Target="../embeddings/Workbook2.xlsx"/></Relationships>
</file>

<file path=word/charts/_rels/chart3.xml.rels><?xml version="1.0" encoding="UTF-8" standalone="yes"?>
<Relationships xmlns="http://schemas.openxmlformats.org/package/2006/relationships"><Relationship Id="rId3" Type="http://schemas.microsoft.com/office/2011/relationships/chartColorStyle" Target="colors3.xml"/><Relationship Id="rId2" Type="http://schemas.microsoft.com/office/2011/relationships/chartStyle" Target="style3.xml"/><Relationship Id="rId1" Type="http://schemas.openxmlformats.org/officeDocument/2006/relationships/package" Target="../embeddings/Workbook3.xlsx"/></Relationships>
</file>

<file path=word/charts/_rels/chart4.xml.rels><?xml version="1.0" encoding="UTF-8" standalone="yes"?>
<Relationships xmlns="http://schemas.openxmlformats.org/package/2006/relationships"><Relationship Id="rId3" Type="http://schemas.microsoft.com/office/2011/relationships/chartColorStyle" Target="colors4.xml"/><Relationship Id="rId2" Type="http://schemas.microsoft.com/office/2011/relationships/chartStyle" Target="style4.xml"/><Relationship Id="rId1" Type="http://schemas.openxmlformats.org/officeDocument/2006/relationships/package" Target="../embeddings/Workbook4.xlsx"/></Relationships>
</file>

<file path=word/charts/_rels/chart5.xml.rels><?xml version="1.0" encoding="UTF-8" standalone="yes"?>
<Relationships xmlns="http://schemas.openxmlformats.org/package/2006/relationships"><Relationship Id="rId3" Type="http://schemas.microsoft.com/office/2011/relationships/chartColorStyle" Target="colors5.xml"/><Relationship Id="rId2" Type="http://schemas.microsoft.com/office/2011/relationships/chartStyle" Target="style5.xml"/><Relationship Id="rId1" Type="http://schemas.openxmlformats.org/officeDocument/2006/relationships/oleObject" Target="file:///D:\E&#65306;&#33539;&#33539;&#30340;&#24037;&#20316;&#30424;\&#24180;&#37492;&#12289;&#26376;&#21002;&#12289;&#27178;&#21521;&#21450;&#21508;&#31181;&#25991;&#20214;\&#26376;&#21002;\2022&#24180;&#26376;&#21002;&#21644;&#25968;&#25454;&#21457;&#24067;\2022&#24180;&#26376;&#21002;&#21360;&#21047;&#29256;\&#26376;&#21002;&#22270;&#34920;\5.&#20840;&#21306;&#23621;&#27665;&#20154;&#22343;&#21487;&#25903;&#37197;&#25910;&#20837;&#21450;&#22686;&#36895;.xlsx" TargetMode="External"/></Relationships>
</file>

<file path=word/charts/_rels/chart6.xml.rels><?xml version="1.0" encoding="UTF-8" standalone="yes"?>
<Relationships xmlns="http://schemas.openxmlformats.org/package/2006/relationships"><Relationship Id="rId3" Type="http://schemas.microsoft.com/office/2011/relationships/chartColorStyle" Target="colors6.xml"/><Relationship Id="rId2" Type="http://schemas.microsoft.com/office/2011/relationships/chartStyle" Target="style6.xml"/><Relationship Id="rId1" Type="http://schemas.openxmlformats.org/officeDocument/2006/relationships/oleObject" Target="file:///D:\E&#65306;&#33539;&#33539;&#30340;&#24037;&#20316;&#30424;\&#24180;&#37492;&#12289;&#26376;&#21002;&#12289;&#27178;&#21521;&#21450;&#21508;&#31181;&#25991;&#20214;\&#26376;&#21002;\2022&#24180;&#26376;&#21002;&#21644;&#25968;&#25454;&#21457;&#24067;\2022&#24180;&#26376;&#21002;&#21360;&#21047;&#29256;\&#26376;&#21002;&#22270;&#34920;\6.&#19968;&#33324;&#20844;&#20849;&#39044;&#31639;&#25910;&#20837;&#65288;&#32047;&#35745;)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05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sz="1050" b="1"/>
              <a:t>规模以上工业总产值（累计）</a:t>
            </a:r>
            <a:endParaRPr sz="1050" b="1"/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2025年(亿元）</c:v>
                </c:pt>
              </c:strCache>
            </c:strRef>
          </c:tx>
          <c:spPr>
            <a:gradFill>
              <a:gsLst>
                <a:gs pos="0">
                  <a:srgbClr val="E30000"/>
                </a:gs>
                <a:gs pos="100000">
                  <a:srgbClr val="760303"/>
                </a:gs>
              </a:gsLst>
              <a:lin ang="10800000" scaled="0"/>
            </a:gradFill>
            <a:ln>
              <a:noFill/>
            </a:ln>
            <a:effectLst/>
          </c:spPr>
          <c:invertIfNegative val="0"/>
          <c:dLbls>
            <c:dLbl>
              <c:idx val="2"/>
              <c:layout>
                <c:manualLayout>
                  <c:x val="0.00410284463894967"/>
                  <c:y val="0.000621302352129859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0"/>
                  <c:y val="0.0174784432533209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0.00738512035010941"/>
                  <c:y val="0.0074574691214169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0"/>
              <c:layout>
                <c:manualLayout>
                  <c:x val="0.00820568927789934"/>
                  <c:y val="-0.0314611978559776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Sheet1!$A$2:$A$12</c:f>
              <c:strCache>
                <c:ptCount val="11"/>
                <c:pt idx="0">
                  <c:v>1-2月</c:v>
                </c:pt>
                <c:pt idx="1">
                  <c:v>1-3月</c:v>
                </c:pt>
                <c:pt idx="2">
                  <c:v>1-4月</c:v>
                </c:pt>
                <c:pt idx="3">
                  <c:v>1-5月</c:v>
                </c:pt>
                <c:pt idx="4">
                  <c:v>1-6月</c:v>
                </c:pt>
                <c:pt idx="5">
                  <c:v>1-7月</c:v>
                </c:pt>
                <c:pt idx="6">
                  <c:v>1-8月</c:v>
                </c:pt>
                <c:pt idx="7">
                  <c:v>1-9月</c:v>
                </c:pt>
                <c:pt idx="8">
                  <c:v>1-10月</c:v>
                </c:pt>
                <c:pt idx="9">
                  <c:v>1-11月</c:v>
                </c:pt>
                <c:pt idx="10">
                  <c:v>1-12月</c:v>
                </c:pt>
              </c:strCache>
            </c:strRef>
          </c:cat>
          <c:val>
            <c:numRef>
              <c:f>Sheet1!$B$2:$B$12</c:f>
              <c:numCache>
                <c:formatCode>0.0_ </c:formatCode>
                <c:ptCount val="11"/>
                <c:pt idx="0">
                  <c:v>235.8</c:v>
                </c:pt>
                <c:pt idx="1" c:formatCode="General">
                  <c:v>373.6</c:v>
                </c:pt>
                <c:pt idx="2" c:formatCode="General">
                  <c:v>504.4</c:v>
                </c:pt>
                <c:pt idx="3" c:formatCode="General">
                  <c:v>629.9</c:v>
                </c:pt>
                <c:pt idx="4" c:formatCode="General">
                  <c:v>764.6</c:v>
                </c:pt>
                <c:pt idx="5" c:formatCode="General">
                  <c:v>901.4</c:v>
                </c:pt>
                <c:pt idx="6" c:formatCode="General">
                  <c:v>1055.5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42275346"/>
        <c:axId val="309986865"/>
      </c:barChart>
      <c:lineChart>
        <c:grouping val="standard"/>
        <c:varyColors val="0"/>
        <c:ser>
          <c:idx val="2"/>
          <c:order val="1"/>
          <c:tx>
            <c:strRef>
              <c:f>Sheet1!$C$1</c:f>
              <c:strCache>
                <c:ptCount val="1"/>
                <c:pt idx="0">
                  <c:v>2022年增速（%）</c:v>
                </c:pt>
              </c:strCache>
            </c:strRef>
          </c:tx>
          <c:spPr>
            <a:ln w="12700" cap="rnd" cmpd="sng">
              <a:solidFill>
                <a:schemeClr val="accent3"/>
              </a:solidFill>
              <a:prstDash val="solid"/>
              <a:round/>
              <a:headEnd type="none" w="sm" len="sm"/>
              <a:tailEnd type="none" w="sm" len="sm"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  <a:sp3d contourW="12700"/>
          </c:spPr>
          <c:marker>
            <c:symbol val="none"/>
          </c:marker>
          <c:dLbls>
            <c:delete val="1"/>
          </c:dLbls>
          <c:cat>
            <c:strRef>
              <c:f>Sheet1!$A$2:$A$12</c:f>
              <c:strCache>
                <c:ptCount val="11"/>
                <c:pt idx="0">
                  <c:v>1-2月</c:v>
                </c:pt>
                <c:pt idx="1">
                  <c:v>1-3月</c:v>
                </c:pt>
                <c:pt idx="2">
                  <c:v>1-4月</c:v>
                </c:pt>
                <c:pt idx="3">
                  <c:v>1-5月</c:v>
                </c:pt>
                <c:pt idx="4">
                  <c:v>1-6月</c:v>
                </c:pt>
                <c:pt idx="5">
                  <c:v>1-7月</c:v>
                </c:pt>
                <c:pt idx="6">
                  <c:v>1-8月</c:v>
                </c:pt>
                <c:pt idx="7">
                  <c:v>1-9月</c:v>
                </c:pt>
                <c:pt idx="8">
                  <c:v>1-10月</c:v>
                </c:pt>
                <c:pt idx="9">
                  <c:v>1-11月</c:v>
                </c:pt>
                <c:pt idx="10">
                  <c:v>1-12月</c:v>
                </c:pt>
              </c:strCache>
            </c:strRef>
          </c:cat>
          <c:val>
            <c:numRef>
              <c:f>Sheet1!$C$2:$C$12</c:f>
              <c:numCache>
                <c:formatCode>0.0_ </c:formatCode>
                <c:ptCount val="11"/>
                <c:pt idx="0">
                  <c:v>-4.8</c:v>
                </c:pt>
                <c:pt idx="1">
                  <c:v>-3</c:v>
                </c:pt>
                <c:pt idx="2">
                  <c:v>-5.8</c:v>
                </c:pt>
                <c:pt idx="3">
                  <c:v>-8.5</c:v>
                </c:pt>
                <c:pt idx="4">
                  <c:v>-9.7</c:v>
                </c:pt>
                <c:pt idx="5">
                  <c:v>-9.2</c:v>
                </c:pt>
                <c:pt idx="6">
                  <c:v>-9</c:v>
                </c:pt>
                <c:pt idx="7">
                  <c:v>-7.5</c:v>
                </c:pt>
                <c:pt idx="8">
                  <c:v>-6.4</c:v>
                </c:pt>
                <c:pt idx="9" c:formatCode="General">
                  <c:v>-6.6</c:v>
                </c:pt>
                <c:pt idx="10">
                  <c:v>-8</c:v>
                </c:pt>
              </c:numCache>
            </c:numRef>
          </c:val>
          <c:smooth val="0"/>
        </c:ser>
        <c:ser>
          <c:idx val="1"/>
          <c:order val="2"/>
          <c:tx>
            <c:strRef>
              <c:f>Sheet1!$D$1</c:f>
              <c:strCache>
                <c:ptCount val="1"/>
                <c:pt idx="0">
                  <c:v>2025年增速（%）</c:v>
                </c:pt>
              </c:strCache>
            </c:strRef>
          </c:tx>
          <c:spPr>
            <a:ln w="12700" cap="rnd" cmpd="sng">
              <a:solidFill>
                <a:schemeClr val="bg1">
                  <a:lumMod val="50000"/>
                </a:schemeClr>
              </a:solidFill>
              <a:prstDash val="solid"/>
              <a:round/>
              <a:headEnd type="oval" w="sm" len="sm"/>
              <a:tailEnd type="oval" w="sm" len="sm"/>
            </a:ln>
            <a:effectLst>
              <a:outerShdw blurRad="50800" dist="50800" dir="17220000" algn="ctr" rotWithShape="0">
                <a:srgbClr val="000000">
                  <a:alpha val="43000"/>
                </a:srgbClr>
              </a:outerShdw>
            </a:effectLst>
            <a:sp3d contourW="12700"/>
          </c:spPr>
          <c:marker>
            <c:symbol val="none"/>
          </c:marker>
          <c:dLbls>
            <c:delete val="1"/>
          </c:dLbls>
          <c:cat>
            <c:strRef>
              <c:f>Sheet1!$A$2:$A$12</c:f>
              <c:strCache>
                <c:ptCount val="11"/>
                <c:pt idx="0">
                  <c:v>1-2月</c:v>
                </c:pt>
                <c:pt idx="1">
                  <c:v>1-3月</c:v>
                </c:pt>
                <c:pt idx="2">
                  <c:v>1-4月</c:v>
                </c:pt>
                <c:pt idx="3">
                  <c:v>1-5月</c:v>
                </c:pt>
                <c:pt idx="4">
                  <c:v>1-6月</c:v>
                </c:pt>
                <c:pt idx="5">
                  <c:v>1-7月</c:v>
                </c:pt>
                <c:pt idx="6">
                  <c:v>1-8月</c:v>
                </c:pt>
                <c:pt idx="7">
                  <c:v>1-9月</c:v>
                </c:pt>
                <c:pt idx="8">
                  <c:v>1-10月</c:v>
                </c:pt>
                <c:pt idx="9">
                  <c:v>1-11月</c:v>
                </c:pt>
                <c:pt idx="10">
                  <c:v>1-12月</c:v>
                </c:pt>
              </c:strCache>
            </c:strRef>
          </c:cat>
          <c:val>
            <c:numRef>
              <c:f>Sheet1!$D$2:$D$12</c:f>
              <c:numCache>
                <c:formatCode>General</c:formatCode>
                <c:ptCount val="11"/>
                <c:pt idx="0">
                  <c:v>117.7</c:v>
                </c:pt>
                <c:pt idx="1">
                  <c:v>107.3</c:v>
                </c:pt>
                <c:pt idx="2">
                  <c:v>103.7</c:v>
                </c:pt>
                <c:pt idx="3">
                  <c:v>96.8</c:v>
                </c:pt>
                <c:pt idx="4">
                  <c:v>89.6</c:v>
                </c:pt>
                <c:pt idx="5" c:formatCode="0.0_ ">
                  <c:v>84.2</c:v>
                </c:pt>
                <c:pt idx="6">
                  <c:v>83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2023年增速（%）</c:v>
                </c:pt>
              </c:strCache>
            </c:strRef>
          </c:tx>
          <c:spPr>
            <a:ln w="12700" cap="rnd" cmpd="sng">
              <a:solidFill>
                <a:srgbClr val="00B0F0"/>
              </a:solidFill>
              <a:prstDash val="solid"/>
              <a:round/>
              <a:headEnd type="none" w="sm" len="sm"/>
              <a:tailEnd type="none" w="sm" len="sm"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  <a:sp3d contourW="12700"/>
          </c:spPr>
          <c:marker>
            <c:symbol val="none"/>
          </c:marker>
          <c:dLbls>
            <c:delete val="1"/>
          </c:dLbls>
          <c:cat>
            <c:strRef>
              <c:f>Sheet1!$A$2:$A$12</c:f>
              <c:strCache>
                <c:ptCount val="11"/>
                <c:pt idx="0">
                  <c:v>1-2月</c:v>
                </c:pt>
                <c:pt idx="1">
                  <c:v>1-3月</c:v>
                </c:pt>
                <c:pt idx="2">
                  <c:v>1-4月</c:v>
                </c:pt>
                <c:pt idx="3">
                  <c:v>1-5月</c:v>
                </c:pt>
                <c:pt idx="4">
                  <c:v>1-6月</c:v>
                </c:pt>
                <c:pt idx="5">
                  <c:v>1-7月</c:v>
                </c:pt>
                <c:pt idx="6">
                  <c:v>1-8月</c:v>
                </c:pt>
                <c:pt idx="7">
                  <c:v>1-9月</c:v>
                </c:pt>
                <c:pt idx="8">
                  <c:v>1-10月</c:v>
                </c:pt>
                <c:pt idx="9">
                  <c:v>1-11月</c:v>
                </c:pt>
                <c:pt idx="10">
                  <c:v>1-12月</c:v>
                </c:pt>
              </c:strCache>
            </c:strRef>
          </c:cat>
          <c:val>
            <c:numRef>
              <c:f>Sheet1!$E$2:$E$12</c:f>
              <c:numCache>
                <c:formatCode>General</c:formatCode>
                <c:ptCount val="11"/>
                <c:pt idx="0">
                  <c:v>-8.6</c:v>
                </c:pt>
                <c:pt idx="1">
                  <c:v>-3.1</c:v>
                </c:pt>
                <c:pt idx="2">
                  <c:v>-0.2</c:v>
                </c:pt>
                <c:pt idx="3">
                  <c:v>2.9</c:v>
                </c:pt>
                <c:pt idx="4">
                  <c:v>3.7</c:v>
                </c:pt>
                <c:pt idx="5">
                  <c:v>3.4</c:v>
                </c:pt>
                <c:pt idx="6">
                  <c:v>2.6</c:v>
                </c:pt>
                <c:pt idx="7">
                  <c:v>1.6</c:v>
                </c:pt>
                <c:pt idx="8">
                  <c:v>1.8</c:v>
                </c:pt>
                <c:pt idx="9">
                  <c:v>1.5</c:v>
                </c:pt>
                <c:pt idx="10">
                  <c:v>2.1</c:v>
                </c:pt>
              </c:numCache>
            </c:numRef>
          </c:val>
          <c:smooth val="0"/>
        </c:ser>
        <c:ser>
          <c:idx val="4"/>
          <c:order val="4"/>
          <c:tx>
            <c:strRef>
              <c:f>Sheet1!$F$1</c:f>
              <c:strCache>
                <c:ptCount val="1"/>
                <c:pt idx="0">
                  <c:v>2024年增速（%）</c:v>
                </c:pt>
              </c:strCache>
            </c:strRef>
          </c:tx>
          <c:spPr>
            <a:ln w="12700" cap="rnd" cmpd="sng">
              <a:solidFill>
                <a:srgbClr val="FFC000"/>
              </a:solidFill>
              <a:prstDash val="solid"/>
              <a:round/>
              <a:headEnd type="none" w="sm" len="sm"/>
              <a:tailEnd type="none" w="sm" len="sm"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  <a:sp3d contourW="12700"/>
          </c:spPr>
          <c:marker>
            <c:symbol val="none"/>
          </c:marker>
          <c:dLbls>
            <c:delete val="1"/>
          </c:dLbls>
          <c:cat>
            <c:strRef>
              <c:f>Sheet1!$A$2:$A$12</c:f>
              <c:strCache>
                <c:ptCount val="11"/>
                <c:pt idx="0">
                  <c:v>1-2月</c:v>
                </c:pt>
                <c:pt idx="1">
                  <c:v>1-3月</c:v>
                </c:pt>
                <c:pt idx="2">
                  <c:v>1-4月</c:v>
                </c:pt>
                <c:pt idx="3">
                  <c:v>1-5月</c:v>
                </c:pt>
                <c:pt idx="4">
                  <c:v>1-6月</c:v>
                </c:pt>
                <c:pt idx="5">
                  <c:v>1-7月</c:v>
                </c:pt>
                <c:pt idx="6">
                  <c:v>1-8月</c:v>
                </c:pt>
                <c:pt idx="7">
                  <c:v>1-9月</c:v>
                </c:pt>
                <c:pt idx="8">
                  <c:v>1-10月</c:v>
                </c:pt>
                <c:pt idx="9">
                  <c:v>1-11月</c:v>
                </c:pt>
                <c:pt idx="10">
                  <c:v>1-12月</c:v>
                </c:pt>
              </c:strCache>
            </c:strRef>
          </c:cat>
          <c:val>
            <c:numRef>
              <c:f>Sheet1!$F$2:$F$12</c:f>
              <c:numCache>
                <c:formatCode>General</c:formatCode>
                <c:ptCount val="11"/>
                <c:pt idx="0">
                  <c:v>15.1</c:v>
                </c:pt>
                <c:pt idx="1">
                  <c:v>17.8</c:v>
                </c:pt>
                <c:pt idx="2">
                  <c:v>18.8</c:v>
                </c:pt>
                <c:pt idx="3">
                  <c:v>21.1</c:v>
                </c:pt>
                <c:pt idx="4">
                  <c:v>25.4</c:v>
                </c:pt>
                <c:pt idx="5" c:formatCode="0.0_ ">
                  <c:v>30</c:v>
                </c:pt>
                <c:pt idx="6">
                  <c:v>33.2</c:v>
                </c:pt>
                <c:pt idx="7">
                  <c:v>37.2</c:v>
                </c:pt>
                <c:pt idx="8">
                  <c:v>42.3</c:v>
                </c:pt>
                <c:pt idx="9">
                  <c:v>48.9</c:v>
                </c:pt>
                <c:pt idx="10">
                  <c:v>52.9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0"/>
        <c:smooth val="0"/>
        <c:axId val="454962187"/>
        <c:axId val="764244050"/>
      </c:lineChart>
      <c:catAx>
        <c:axId val="142275346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09986865"/>
        <c:crosses val="autoZero"/>
        <c:auto val="1"/>
        <c:lblAlgn val="ctr"/>
        <c:lblOffset val="100"/>
        <c:noMultiLvlLbl val="0"/>
      </c:catAx>
      <c:valAx>
        <c:axId val="309986865"/>
        <c:scaling>
          <c:orientation val="minMax"/>
        </c:scaling>
        <c:delete val="0"/>
        <c:axPos val="l"/>
        <c:numFmt formatCode="0.0_ 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142275346"/>
        <c:crosses val="autoZero"/>
        <c:crossBetween val="between"/>
      </c:valAx>
      <c:catAx>
        <c:axId val="454962187"/>
        <c:scaling>
          <c:orientation val="minMax"/>
        </c:scaling>
        <c:delete val="1"/>
        <c:axPos val="b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764244050"/>
        <c:crosses val="autoZero"/>
        <c:auto val="1"/>
        <c:lblAlgn val="ctr"/>
        <c:lblOffset val="100"/>
        <c:noMultiLvlLbl val="0"/>
      </c:catAx>
      <c:valAx>
        <c:axId val="764244050"/>
        <c:scaling>
          <c:orientation val="minMax"/>
        </c:scaling>
        <c:delete val="0"/>
        <c:axPos val="r"/>
        <c:numFmt formatCode="0.0_ 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454962187"/>
        <c:crosses val="max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9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sz="900" b="1"/>
              <a:t>固定资产投资（不含农户）增速（累计同比）</a:t>
            </a:r>
            <a:endParaRPr sz="900" b="1"/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2022年增速（%）</c:v>
                </c:pt>
              </c:strCache>
            </c:strRef>
          </c:tx>
          <c:spPr>
            <a:ln w="12700" cap="rnd" cmpd="sng">
              <a:solidFill>
                <a:srgbClr val="7030A0"/>
              </a:solidFill>
              <a:prstDash val="solid"/>
              <a:round/>
              <a:headEnd type="none" w="lg" len="sm"/>
              <a:tailEnd type="none" w="sm" len="sm"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  <a:sp3d contourW="12700"/>
          </c:spPr>
          <c:marker>
            <c:symbol val="none"/>
          </c:marker>
          <c:dLbls>
            <c:delete val="1"/>
          </c:dLbls>
          <c:cat>
            <c:strRef>
              <c:f>Sheet1!$A$2:$A$12</c:f>
              <c:strCache>
                <c:ptCount val="11"/>
                <c:pt idx="0">
                  <c:v>1-2月</c:v>
                </c:pt>
                <c:pt idx="1">
                  <c:v>1-3月</c:v>
                </c:pt>
                <c:pt idx="2">
                  <c:v>1-4月</c:v>
                </c:pt>
                <c:pt idx="3">
                  <c:v>1-5月</c:v>
                </c:pt>
                <c:pt idx="4">
                  <c:v>1-6月</c:v>
                </c:pt>
                <c:pt idx="5">
                  <c:v>1-7月</c:v>
                </c:pt>
                <c:pt idx="6">
                  <c:v>1-8月</c:v>
                </c:pt>
                <c:pt idx="7">
                  <c:v>1-9月</c:v>
                </c:pt>
                <c:pt idx="8">
                  <c:v>1-10月</c:v>
                </c:pt>
                <c:pt idx="9">
                  <c:v>1-11月</c:v>
                </c:pt>
                <c:pt idx="10">
                  <c:v>1-12月</c:v>
                </c:pt>
              </c:strCache>
            </c:strRef>
          </c:cat>
          <c:val>
            <c:numRef>
              <c:f>Sheet1!$B$2:$B$12</c:f>
              <c:numCache>
                <c:formatCode>General</c:formatCode>
                <c:ptCount val="11"/>
                <c:pt idx="0">
                  <c:v>10.5</c:v>
                </c:pt>
                <c:pt idx="1">
                  <c:v>2.5</c:v>
                </c:pt>
                <c:pt idx="2" c:formatCode="0.0_ ">
                  <c:v>-5</c:v>
                </c:pt>
                <c:pt idx="3">
                  <c:v>-8.1</c:v>
                </c:pt>
                <c:pt idx="4">
                  <c:v>1.8</c:v>
                </c:pt>
                <c:pt idx="5">
                  <c:v>6.1</c:v>
                </c:pt>
                <c:pt idx="6">
                  <c:v>9.8</c:v>
                </c:pt>
                <c:pt idx="7">
                  <c:v>6.2</c:v>
                </c:pt>
                <c:pt idx="8">
                  <c:v>3.5</c:v>
                </c:pt>
                <c:pt idx="9">
                  <c:v>-1.4</c:v>
                </c:pt>
                <c:pt idx="10">
                  <c:v>0.5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2021年增速（%）</c:v>
                </c:pt>
              </c:strCache>
            </c:strRef>
          </c:tx>
          <c:spPr>
            <a:ln w="12700" cap="rnd" cmpd="sng">
              <a:solidFill>
                <a:schemeClr val="accent2"/>
              </a:solidFill>
              <a:prstDash val="solid"/>
              <a:round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  <a:sp3d contourW="12700"/>
          </c:spPr>
          <c:marker>
            <c:symbol val="none"/>
          </c:marker>
          <c:dLbls>
            <c:delete val="1"/>
          </c:dLbls>
          <c:cat>
            <c:strRef>
              <c:f>Sheet1!$A$2:$A$12</c:f>
              <c:strCache>
                <c:ptCount val="11"/>
                <c:pt idx="0">
                  <c:v>1-2月</c:v>
                </c:pt>
                <c:pt idx="1">
                  <c:v>1-3月</c:v>
                </c:pt>
                <c:pt idx="2">
                  <c:v>1-4月</c:v>
                </c:pt>
                <c:pt idx="3">
                  <c:v>1-5月</c:v>
                </c:pt>
                <c:pt idx="4">
                  <c:v>1-6月</c:v>
                </c:pt>
                <c:pt idx="5">
                  <c:v>1-7月</c:v>
                </c:pt>
                <c:pt idx="6">
                  <c:v>1-8月</c:v>
                </c:pt>
                <c:pt idx="7">
                  <c:v>1-9月</c:v>
                </c:pt>
                <c:pt idx="8">
                  <c:v>1-10月</c:v>
                </c:pt>
                <c:pt idx="9">
                  <c:v>1-11月</c:v>
                </c:pt>
                <c:pt idx="10">
                  <c:v>1-12月</c:v>
                </c:pt>
              </c:strCache>
            </c:strRef>
          </c:cat>
          <c:val>
            <c:numRef>
              <c:f>Sheet1!$C$2:$C$12</c:f>
              <c:numCache>
                <c:formatCode>0.0_ </c:formatCode>
                <c:ptCount val="11"/>
                <c:pt idx="0">
                  <c:v>39</c:v>
                </c:pt>
                <c:pt idx="1" c:formatCode="General">
                  <c:v>23.7</c:v>
                </c:pt>
                <c:pt idx="2" c:formatCode="General">
                  <c:v>11.3</c:v>
                </c:pt>
                <c:pt idx="3" c:formatCode="General">
                  <c:v>0.4</c:v>
                </c:pt>
                <c:pt idx="4">
                  <c:v>9</c:v>
                </c:pt>
                <c:pt idx="5" c:formatCode="General">
                  <c:v>-1.9</c:v>
                </c:pt>
                <c:pt idx="6" c:formatCode="General">
                  <c:v>-8.5</c:v>
                </c:pt>
                <c:pt idx="7" c:formatCode="General">
                  <c:v>-3.8</c:v>
                </c:pt>
                <c:pt idx="8" c:formatCode="General">
                  <c:v>-2.7</c:v>
                </c:pt>
                <c:pt idx="9" c:formatCode="General">
                  <c:v>-4.7</c:v>
                </c:pt>
                <c:pt idx="10" c:formatCode="General">
                  <c:v>-2.6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2025年增速（%）</c:v>
                </c:pt>
              </c:strCache>
            </c:strRef>
          </c:tx>
          <c:spPr>
            <a:ln w="12700" cap="rnd" cmpd="sng">
              <a:solidFill>
                <a:schemeClr val="accent3"/>
              </a:solidFill>
              <a:prstDash val="solid"/>
              <a:round/>
              <a:headEnd type="oval" w="sm" len="sm"/>
              <a:tailEnd type="oval" w="sm" len="sm"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  <a:sp3d contourW="12700"/>
          </c:spPr>
          <c:marker>
            <c:symbol val="none"/>
          </c:marker>
          <c:dLbls>
            <c:dLbl>
              <c:idx val="1"/>
              <c:layout>
                <c:manualLayout>
                  <c:x val="0.0121084920891185"/>
                  <c:y val="0.0476190476190476"/>
                </c:manualLayout>
              </c:layout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Sheet1!$A$2:$A$12</c:f>
              <c:strCache>
                <c:ptCount val="11"/>
                <c:pt idx="0">
                  <c:v>1-2月</c:v>
                </c:pt>
                <c:pt idx="1">
                  <c:v>1-3月</c:v>
                </c:pt>
                <c:pt idx="2">
                  <c:v>1-4月</c:v>
                </c:pt>
                <c:pt idx="3">
                  <c:v>1-5月</c:v>
                </c:pt>
                <c:pt idx="4">
                  <c:v>1-6月</c:v>
                </c:pt>
                <c:pt idx="5">
                  <c:v>1-7月</c:v>
                </c:pt>
                <c:pt idx="6">
                  <c:v>1-8月</c:v>
                </c:pt>
                <c:pt idx="7">
                  <c:v>1-9月</c:v>
                </c:pt>
                <c:pt idx="8">
                  <c:v>1-10月</c:v>
                </c:pt>
                <c:pt idx="9">
                  <c:v>1-11月</c:v>
                </c:pt>
                <c:pt idx="10">
                  <c:v>1-12月</c:v>
                </c:pt>
              </c:strCache>
            </c:strRef>
          </c:cat>
          <c:val>
            <c:numRef>
              <c:f>Sheet1!$D$2:$D$12</c:f>
              <c:numCache>
                <c:formatCode>0.0_ </c:formatCode>
                <c:ptCount val="11"/>
                <c:pt idx="0">
                  <c:v>36</c:v>
                </c:pt>
                <c:pt idx="1" c:formatCode="General">
                  <c:v>13.5</c:v>
                </c:pt>
                <c:pt idx="2" c:formatCode="General">
                  <c:v>21.6</c:v>
                </c:pt>
                <c:pt idx="3" c:formatCode="General">
                  <c:v>23.3</c:v>
                </c:pt>
                <c:pt idx="4" c:formatCode="General">
                  <c:v>18.7</c:v>
                </c:pt>
                <c:pt idx="5" c:formatCode="General">
                  <c:v>19.1</c:v>
                </c:pt>
                <c:pt idx="6" c:formatCode="General">
                  <c:v>24.3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2023年增速（%）</c:v>
                </c:pt>
              </c:strCache>
            </c:strRef>
          </c:tx>
          <c:spPr>
            <a:ln w="12700" cap="rnd" cmpd="sng">
              <a:solidFill>
                <a:srgbClr val="00B0F0"/>
              </a:solidFill>
              <a:prstDash val="solid"/>
              <a:round/>
              <a:headEnd type="none" w="sm" len="sm"/>
              <a:tailEnd type="none" w="sm" len="sm"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  <a:sp3d contourW="12700"/>
          </c:spPr>
          <c:marker>
            <c:symbol val="none"/>
          </c:marker>
          <c:dLbls>
            <c:delete val="1"/>
          </c:dLbls>
          <c:cat>
            <c:strRef>
              <c:f>Sheet1!$A$2:$A$12</c:f>
              <c:strCache>
                <c:ptCount val="11"/>
                <c:pt idx="0">
                  <c:v>1-2月</c:v>
                </c:pt>
                <c:pt idx="1">
                  <c:v>1-3月</c:v>
                </c:pt>
                <c:pt idx="2">
                  <c:v>1-4月</c:v>
                </c:pt>
                <c:pt idx="3">
                  <c:v>1-5月</c:v>
                </c:pt>
                <c:pt idx="4">
                  <c:v>1-6月</c:v>
                </c:pt>
                <c:pt idx="5">
                  <c:v>1-7月</c:v>
                </c:pt>
                <c:pt idx="6">
                  <c:v>1-8月</c:v>
                </c:pt>
                <c:pt idx="7">
                  <c:v>1-9月</c:v>
                </c:pt>
                <c:pt idx="8">
                  <c:v>1-10月</c:v>
                </c:pt>
                <c:pt idx="9">
                  <c:v>1-11月</c:v>
                </c:pt>
                <c:pt idx="10">
                  <c:v>1-12月</c:v>
                </c:pt>
              </c:strCache>
            </c:strRef>
          </c:cat>
          <c:val>
            <c:numRef>
              <c:f>Sheet1!$E$2:$E$12</c:f>
              <c:numCache>
                <c:formatCode>General</c:formatCode>
                <c:ptCount val="11"/>
                <c:pt idx="0">
                  <c:v>0.7</c:v>
                </c:pt>
                <c:pt idx="1">
                  <c:v>11.6</c:v>
                </c:pt>
                <c:pt idx="2">
                  <c:v>7.7</c:v>
                </c:pt>
                <c:pt idx="3">
                  <c:v>7.8</c:v>
                </c:pt>
                <c:pt idx="4">
                  <c:v>-3.5</c:v>
                </c:pt>
                <c:pt idx="5">
                  <c:v>-8.9</c:v>
                </c:pt>
                <c:pt idx="6">
                  <c:v>-13.4</c:v>
                </c:pt>
                <c:pt idx="7">
                  <c:v>-7.2</c:v>
                </c:pt>
                <c:pt idx="8">
                  <c:v>-7.2</c:v>
                </c:pt>
                <c:pt idx="9" c:formatCode="0.0_ ">
                  <c:v>-1</c:v>
                </c:pt>
                <c:pt idx="10">
                  <c:v>-0.5</c:v>
                </c:pt>
              </c:numCache>
            </c:numRef>
          </c:val>
          <c:smooth val="0"/>
        </c:ser>
        <c:ser>
          <c:idx val="4"/>
          <c:order val="4"/>
          <c:tx>
            <c:strRef>
              <c:f>Sheet1!$F$1</c:f>
              <c:strCache>
                <c:ptCount val="1"/>
                <c:pt idx="0">
                  <c:v>2024年增速（%）</c:v>
                </c:pt>
              </c:strCache>
            </c:strRef>
          </c:tx>
          <c:spPr>
            <a:ln w="19050" cap="flat" cmpd="sng">
              <a:solidFill>
                <a:srgbClr val="FFC000"/>
              </a:solidFill>
              <a:prstDash val="solid"/>
              <a:round/>
              <a:headEnd type="none" w="sm" len="sm"/>
              <a:tailEnd type="none" w="sm" len="sm"/>
            </a:ln>
            <a:effectLst/>
            <a:sp3d contourW="19050"/>
          </c:spPr>
          <c:marker>
            <c:symbol val="none"/>
          </c:marker>
          <c:dLbls>
            <c:delete val="1"/>
          </c:dLbls>
          <c:cat>
            <c:strRef>
              <c:f>Sheet1!$A$2:$A$12</c:f>
              <c:strCache>
                <c:ptCount val="11"/>
                <c:pt idx="0">
                  <c:v>1-2月</c:v>
                </c:pt>
                <c:pt idx="1">
                  <c:v>1-3月</c:v>
                </c:pt>
                <c:pt idx="2">
                  <c:v>1-4月</c:v>
                </c:pt>
                <c:pt idx="3">
                  <c:v>1-5月</c:v>
                </c:pt>
                <c:pt idx="4">
                  <c:v>1-6月</c:v>
                </c:pt>
                <c:pt idx="5">
                  <c:v>1-7月</c:v>
                </c:pt>
                <c:pt idx="6">
                  <c:v>1-8月</c:v>
                </c:pt>
                <c:pt idx="7">
                  <c:v>1-9月</c:v>
                </c:pt>
                <c:pt idx="8">
                  <c:v>1-10月</c:v>
                </c:pt>
                <c:pt idx="9">
                  <c:v>1-11月</c:v>
                </c:pt>
                <c:pt idx="10">
                  <c:v>1-12月</c:v>
                </c:pt>
              </c:strCache>
            </c:strRef>
          </c:cat>
          <c:val>
            <c:numRef>
              <c:f>Sheet1!$F$2:$F$12</c:f>
              <c:numCache>
                <c:formatCode>General</c:formatCode>
                <c:ptCount val="11"/>
                <c:pt idx="0">
                  <c:v>9.6</c:v>
                </c:pt>
                <c:pt idx="1" c:formatCode="0.0_ ">
                  <c:v>4</c:v>
                </c:pt>
                <c:pt idx="2">
                  <c:v>3.7</c:v>
                </c:pt>
                <c:pt idx="3">
                  <c:v>1.8</c:v>
                </c:pt>
                <c:pt idx="4">
                  <c:v>1.9</c:v>
                </c:pt>
                <c:pt idx="5">
                  <c:v>2.8</c:v>
                </c:pt>
                <c:pt idx="6">
                  <c:v>5.2</c:v>
                </c:pt>
                <c:pt idx="7">
                  <c:v>4.3</c:v>
                </c:pt>
                <c:pt idx="8">
                  <c:v>2.9</c:v>
                </c:pt>
                <c:pt idx="9" c:formatCode="0.0_ ">
                  <c:v>4</c:v>
                </c:pt>
                <c:pt idx="10" c:formatCode="0.0_ ">
                  <c:v>0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0"/>
        <c:smooth val="0"/>
        <c:axId val="593066401"/>
        <c:axId val="843232647"/>
      </c:lineChart>
      <c:catAx>
        <c:axId val="593066401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843232647"/>
        <c:crosses val="autoZero"/>
        <c:auto val="1"/>
        <c:lblAlgn val="ctr"/>
        <c:lblOffset val="100"/>
        <c:noMultiLvlLbl val="0"/>
      </c:catAx>
      <c:valAx>
        <c:axId val="843232647"/>
        <c:scaling>
          <c:orientation val="minMax"/>
        </c:scaling>
        <c:delete val="0"/>
        <c:axPos val="l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593066401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egendEntry>
        <c:idx val="0"/>
        <c:txPr>
          <a:bodyPr rot="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</c:legendEntry>
      <c:legendEntry>
        <c:idx val="1"/>
        <c:txPr>
          <a:bodyPr rot="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</c:legendEntry>
      <c:legendEntry>
        <c:idx val="2"/>
        <c:txPr>
          <a:bodyPr rot="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</c:legendEntry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08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sz="1080" b="1"/>
              <a:t>建安投资增速（累计同比）</a:t>
            </a:r>
            <a:endParaRPr sz="1080" b="1"/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0.0922252010723861"/>
          <c:y val="0.155313956068338"/>
          <c:w val="0.878848596020883"/>
          <c:h val="0.636787219880186"/>
        </c:manualLayout>
      </c:layout>
      <c:lineChart>
        <c:grouping val="standar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2022年增速（%）</c:v>
                </c:pt>
              </c:strCache>
            </c:strRef>
          </c:tx>
          <c:spPr>
            <a:ln w="12700" cap="rnd" cmpd="sng">
              <a:solidFill>
                <a:srgbClr val="FFC000"/>
              </a:solidFill>
              <a:prstDash val="solid"/>
              <a:round/>
              <a:headEnd type="none"/>
              <a:tailEnd type="none"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  <a:sp3d contourW="12700"/>
          </c:spPr>
          <c:marker>
            <c:symbol val="none"/>
          </c:marker>
          <c:dLbls>
            <c:delete val="1"/>
          </c:dLbls>
          <c:cat>
            <c:strRef>
              <c:f>Sheet1!$A$2:$A$12</c:f>
              <c:strCache>
                <c:ptCount val="11"/>
                <c:pt idx="0">
                  <c:v>1-2月</c:v>
                </c:pt>
                <c:pt idx="1">
                  <c:v>1-3月</c:v>
                </c:pt>
                <c:pt idx="2">
                  <c:v>1-4月</c:v>
                </c:pt>
                <c:pt idx="3">
                  <c:v>1-5月</c:v>
                </c:pt>
                <c:pt idx="4">
                  <c:v>1-6月</c:v>
                </c:pt>
                <c:pt idx="5">
                  <c:v>1-7月</c:v>
                </c:pt>
                <c:pt idx="6">
                  <c:v>1-8月</c:v>
                </c:pt>
                <c:pt idx="7">
                  <c:v>1-9月</c:v>
                </c:pt>
                <c:pt idx="8">
                  <c:v>1-10月</c:v>
                </c:pt>
                <c:pt idx="9">
                  <c:v>1-11月</c:v>
                </c:pt>
                <c:pt idx="10">
                  <c:v>1-12月</c:v>
                </c:pt>
              </c:strCache>
            </c:strRef>
          </c:cat>
          <c:val>
            <c:numRef>
              <c:f>Sheet1!$B$2:$B$12</c:f>
              <c:numCache>
                <c:formatCode>0.0_ </c:formatCode>
                <c:ptCount val="11"/>
                <c:pt idx="0">
                  <c:v>-11.9</c:v>
                </c:pt>
                <c:pt idx="1">
                  <c:v>2</c:v>
                </c:pt>
                <c:pt idx="2">
                  <c:v>-5.6</c:v>
                </c:pt>
                <c:pt idx="3">
                  <c:v>-1.4</c:v>
                </c:pt>
                <c:pt idx="4">
                  <c:v>6.3</c:v>
                </c:pt>
                <c:pt idx="5">
                  <c:v>12.8</c:v>
                </c:pt>
                <c:pt idx="6">
                  <c:v>17.3</c:v>
                </c:pt>
                <c:pt idx="7">
                  <c:v>18.5</c:v>
                </c:pt>
                <c:pt idx="8">
                  <c:v>16.9</c:v>
                </c:pt>
                <c:pt idx="9">
                  <c:v>13.9</c:v>
                </c:pt>
                <c:pt idx="10">
                  <c:v>17.1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2021年增速（%）</c:v>
                </c:pt>
              </c:strCache>
            </c:strRef>
          </c:tx>
          <c:spPr>
            <a:ln w="12700" cap="rnd" cmpd="sng">
              <a:solidFill>
                <a:srgbClr val="00B050"/>
              </a:solidFill>
              <a:prstDash val="solid"/>
              <a:round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  <a:sp3d contourW="12700"/>
          </c:spPr>
          <c:marker>
            <c:symbol val="none"/>
          </c:marker>
          <c:dLbls>
            <c:delete val="1"/>
          </c:dLbls>
          <c:cat>
            <c:strRef>
              <c:f>Sheet1!$A$2:$A$12</c:f>
              <c:strCache>
                <c:ptCount val="11"/>
                <c:pt idx="0">
                  <c:v>1-2月</c:v>
                </c:pt>
                <c:pt idx="1">
                  <c:v>1-3月</c:v>
                </c:pt>
                <c:pt idx="2">
                  <c:v>1-4月</c:v>
                </c:pt>
                <c:pt idx="3">
                  <c:v>1-5月</c:v>
                </c:pt>
                <c:pt idx="4">
                  <c:v>1-6月</c:v>
                </c:pt>
                <c:pt idx="5">
                  <c:v>1-7月</c:v>
                </c:pt>
                <c:pt idx="6">
                  <c:v>1-8月</c:v>
                </c:pt>
                <c:pt idx="7">
                  <c:v>1-9月</c:v>
                </c:pt>
                <c:pt idx="8">
                  <c:v>1-10月</c:v>
                </c:pt>
                <c:pt idx="9">
                  <c:v>1-11月</c:v>
                </c:pt>
                <c:pt idx="10">
                  <c:v>1-12月</c:v>
                </c:pt>
              </c:strCache>
            </c:strRef>
          </c:cat>
          <c:val>
            <c:numRef>
              <c:f>Sheet1!$C$2:$C$12</c:f>
              <c:numCache>
                <c:formatCode>0.0_ </c:formatCode>
                <c:ptCount val="11"/>
                <c:pt idx="0">
                  <c:v>6.3</c:v>
                </c:pt>
                <c:pt idx="1">
                  <c:v>8</c:v>
                </c:pt>
                <c:pt idx="2">
                  <c:v>9.8</c:v>
                </c:pt>
                <c:pt idx="3">
                  <c:v>0.1</c:v>
                </c:pt>
                <c:pt idx="4">
                  <c:v>0.4</c:v>
                </c:pt>
                <c:pt idx="5">
                  <c:v>-6.2</c:v>
                </c:pt>
                <c:pt idx="6">
                  <c:v>-10</c:v>
                </c:pt>
                <c:pt idx="7">
                  <c:v>-10.3</c:v>
                </c:pt>
                <c:pt idx="8">
                  <c:v>-11.4</c:v>
                </c:pt>
                <c:pt idx="9">
                  <c:v>-12.8</c:v>
                </c:pt>
                <c:pt idx="10">
                  <c:v>-16.4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2025年增速（%）</c:v>
                </c:pt>
              </c:strCache>
            </c:strRef>
          </c:tx>
          <c:spPr>
            <a:ln w="12700" cap="rnd" cmpd="sng">
              <a:solidFill>
                <a:srgbClr val="C00000"/>
              </a:solidFill>
              <a:prstDash val="solid"/>
              <a:round/>
              <a:headEnd type="oval" w="sm" len="sm"/>
              <a:tailEnd type="oval" w="sm" len="sm"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  <a:sp3d contourW="12700"/>
          </c:spPr>
          <c:marker>
            <c:symbol val="none"/>
          </c:marker>
          <c:dLbls>
            <c:dLbl>
              <c:idx val="1"/>
              <c:layout>
                <c:manualLayout>
                  <c:x val="0.0296317200507972"/>
                  <c:y val="0.0732194364322166"/>
                </c:manualLayout>
              </c:layout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0.0042331028643996"/>
                  <c:y val="0.00998446860439317"/>
                </c:manualLayout>
              </c:layout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0.010582757160999"/>
                  <c:y val="0.0133126248058576"/>
                </c:manualLayout>
              </c:layout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Sheet1!$A$2:$A$12</c:f>
              <c:strCache>
                <c:ptCount val="11"/>
                <c:pt idx="0">
                  <c:v>1-2月</c:v>
                </c:pt>
                <c:pt idx="1">
                  <c:v>1-3月</c:v>
                </c:pt>
                <c:pt idx="2">
                  <c:v>1-4月</c:v>
                </c:pt>
                <c:pt idx="3">
                  <c:v>1-5月</c:v>
                </c:pt>
                <c:pt idx="4">
                  <c:v>1-6月</c:v>
                </c:pt>
                <c:pt idx="5">
                  <c:v>1-7月</c:v>
                </c:pt>
                <c:pt idx="6">
                  <c:v>1-8月</c:v>
                </c:pt>
                <c:pt idx="7">
                  <c:v>1-9月</c:v>
                </c:pt>
                <c:pt idx="8">
                  <c:v>1-10月</c:v>
                </c:pt>
                <c:pt idx="9">
                  <c:v>1-11月</c:v>
                </c:pt>
                <c:pt idx="10">
                  <c:v>1-12月</c:v>
                </c:pt>
              </c:strCache>
            </c:strRef>
          </c:cat>
          <c:val>
            <c:numRef>
              <c:f>Sheet1!$D$2:$D$12</c:f>
              <c:numCache>
                <c:formatCode>0.0_ </c:formatCode>
                <c:ptCount val="11"/>
                <c:pt idx="0">
                  <c:v>27.5</c:v>
                </c:pt>
                <c:pt idx="1">
                  <c:v>-9.7</c:v>
                </c:pt>
                <c:pt idx="2">
                  <c:v>-1</c:v>
                </c:pt>
                <c:pt idx="3">
                  <c:v>2.1</c:v>
                </c:pt>
                <c:pt idx="4">
                  <c:v>-0.5</c:v>
                </c:pt>
                <c:pt idx="5">
                  <c:v>4.4</c:v>
                </c:pt>
                <c:pt idx="6">
                  <c:v>7.5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2023年增速（%）</c:v>
                </c:pt>
              </c:strCache>
            </c:strRef>
          </c:tx>
          <c:spPr>
            <a:ln w="12700" cap="rnd" cmpd="sng">
              <a:solidFill>
                <a:srgbClr val="7030A0"/>
              </a:solidFill>
              <a:prstDash val="solid"/>
              <a:round/>
              <a:headEnd type="none" w="sm" len="sm"/>
              <a:tailEnd type="none" w="sm" len="sm"/>
            </a:ln>
            <a:effectLst>
              <a:outerShdw blurRad="50800" dist="38100" dir="2700000" algn="tl" rotWithShape="0">
                <a:srgbClr val="7030A0">
                  <a:alpha val="40000"/>
                </a:srgbClr>
              </a:outerShdw>
            </a:effectLst>
            <a:sp3d contourW="12700"/>
          </c:spPr>
          <c:marker>
            <c:symbol val="none"/>
          </c:marker>
          <c:dLbls>
            <c:delete val="1"/>
          </c:dLbls>
          <c:cat>
            <c:strRef>
              <c:f>Sheet1!$A$2:$A$12</c:f>
              <c:strCache>
                <c:ptCount val="11"/>
                <c:pt idx="0">
                  <c:v>1-2月</c:v>
                </c:pt>
                <c:pt idx="1">
                  <c:v>1-3月</c:v>
                </c:pt>
                <c:pt idx="2">
                  <c:v>1-4月</c:v>
                </c:pt>
                <c:pt idx="3">
                  <c:v>1-5月</c:v>
                </c:pt>
                <c:pt idx="4">
                  <c:v>1-6月</c:v>
                </c:pt>
                <c:pt idx="5">
                  <c:v>1-7月</c:v>
                </c:pt>
                <c:pt idx="6">
                  <c:v>1-8月</c:v>
                </c:pt>
                <c:pt idx="7">
                  <c:v>1-9月</c:v>
                </c:pt>
                <c:pt idx="8">
                  <c:v>1-10月</c:v>
                </c:pt>
                <c:pt idx="9">
                  <c:v>1-11月</c:v>
                </c:pt>
                <c:pt idx="10">
                  <c:v>1-12月</c:v>
                </c:pt>
              </c:strCache>
            </c:strRef>
          </c:cat>
          <c:val>
            <c:numRef>
              <c:f>Sheet1!$E$2:$E$12</c:f>
              <c:numCache>
                <c:formatCode>General</c:formatCode>
                <c:ptCount val="11"/>
                <c:pt idx="0">
                  <c:v>1.9</c:v>
                </c:pt>
                <c:pt idx="1">
                  <c:v>14.2</c:v>
                </c:pt>
                <c:pt idx="2">
                  <c:v>11.9</c:v>
                </c:pt>
                <c:pt idx="3">
                  <c:v>9.4</c:v>
                </c:pt>
                <c:pt idx="4">
                  <c:v>-2.2</c:v>
                </c:pt>
                <c:pt idx="5">
                  <c:v>-6.1</c:v>
                </c:pt>
                <c:pt idx="6">
                  <c:v>-8.4</c:v>
                </c:pt>
                <c:pt idx="7">
                  <c:v>-4.5</c:v>
                </c:pt>
                <c:pt idx="8">
                  <c:v>-7.3</c:v>
                </c:pt>
                <c:pt idx="9">
                  <c:v>-6.8</c:v>
                </c:pt>
                <c:pt idx="10">
                  <c:v>-8.8</c:v>
                </c:pt>
              </c:numCache>
            </c:numRef>
          </c:val>
          <c:smooth val="0"/>
        </c:ser>
        <c:ser>
          <c:idx val="4"/>
          <c:order val="4"/>
          <c:tx>
            <c:strRef>
              <c:f>Sheet1!$F$1</c:f>
              <c:strCache>
                <c:ptCount val="1"/>
                <c:pt idx="0">
                  <c:v>2024年增速（%）</c:v>
                </c:pt>
              </c:strCache>
            </c:strRef>
          </c:tx>
          <c:spPr>
            <a:ln w="12700" cap="rnd" cmpd="sng">
              <a:solidFill>
                <a:schemeClr val="accent5"/>
              </a:solidFill>
              <a:prstDash val="solid"/>
              <a:round/>
              <a:headEnd type="none" w="sm" len="sm"/>
              <a:tailEnd type="none" w="sm" len="sm"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  <a:sp3d contourW="12700"/>
          </c:spPr>
          <c:marker>
            <c:symbol val="none"/>
          </c:marker>
          <c:dLbls>
            <c:delete val="1"/>
          </c:dLbls>
          <c:cat>
            <c:strRef>
              <c:f>Sheet1!$A$2:$A$12</c:f>
              <c:strCache>
                <c:ptCount val="11"/>
                <c:pt idx="0">
                  <c:v>1-2月</c:v>
                </c:pt>
                <c:pt idx="1">
                  <c:v>1-3月</c:v>
                </c:pt>
                <c:pt idx="2">
                  <c:v>1-4月</c:v>
                </c:pt>
                <c:pt idx="3">
                  <c:v>1-5月</c:v>
                </c:pt>
                <c:pt idx="4">
                  <c:v>1-6月</c:v>
                </c:pt>
                <c:pt idx="5">
                  <c:v>1-7月</c:v>
                </c:pt>
                <c:pt idx="6">
                  <c:v>1-8月</c:v>
                </c:pt>
                <c:pt idx="7">
                  <c:v>1-9月</c:v>
                </c:pt>
                <c:pt idx="8">
                  <c:v>1-10月</c:v>
                </c:pt>
                <c:pt idx="9">
                  <c:v>1-11月</c:v>
                </c:pt>
                <c:pt idx="10">
                  <c:v>1-12月</c:v>
                </c:pt>
              </c:strCache>
            </c:strRef>
          </c:cat>
          <c:val>
            <c:numRef>
              <c:f>Sheet1!$F$2:$F$12</c:f>
              <c:numCache>
                <c:formatCode>General</c:formatCode>
                <c:ptCount val="11"/>
                <c:pt idx="0">
                  <c:v>14.4</c:v>
                </c:pt>
                <c:pt idx="1">
                  <c:v>2.6</c:v>
                </c:pt>
                <c:pt idx="2">
                  <c:v>-4.2</c:v>
                </c:pt>
                <c:pt idx="3">
                  <c:v>-9.3</c:v>
                </c:pt>
                <c:pt idx="4">
                  <c:v>-11.7</c:v>
                </c:pt>
                <c:pt idx="5">
                  <c:v>-12.4</c:v>
                </c:pt>
                <c:pt idx="6">
                  <c:v>-12.6</c:v>
                </c:pt>
                <c:pt idx="7">
                  <c:v>-15.4</c:v>
                </c:pt>
                <c:pt idx="8">
                  <c:v>-14.5</c:v>
                </c:pt>
                <c:pt idx="9">
                  <c:v>-8.9</c:v>
                </c:pt>
                <c:pt idx="10">
                  <c:v>-5.4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0"/>
        <c:smooth val="0"/>
        <c:axId val="593066401"/>
        <c:axId val="843232647"/>
      </c:lineChart>
      <c:catAx>
        <c:axId val="593066401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843232647"/>
        <c:crosses val="autoZero"/>
        <c:auto val="1"/>
        <c:lblAlgn val="ctr"/>
        <c:lblOffset val="100"/>
        <c:noMultiLvlLbl val="0"/>
      </c:catAx>
      <c:valAx>
        <c:axId val="843232647"/>
        <c:scaling>
          <c:orientation val="minMax"/>
        </c:scaling>
        <c:delete val="0"/>
        <c:axPos val="l"/>
        <c:numFmt formatCode="0.0_ 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593066401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egendEntry>
        <c:idx val="0"/>
        <c:txPr>
          <a:bodyPr rot="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</c:legendEntry>
      <c:legendEntry>
        <c:idx val="1"/>
        <c:txPr>
          <a:bodyPr rot="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</c:legendEntry>
      <c:legendEntry>
        <c:idx val="2"/>
        <c:txPr>
          <a:bodyPr rot="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</c:legendEntry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lang="zh-CN" sz="900"/>
      </a:pPr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08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sz="1080" b="1"/>
              <a:t>社会消费品零售总额（累计）</a:t>
            </a:r>
            <a:endParaRPr sz="1080" b="1"/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0.0766799544419134"/>
          <c:y val="0.149854618653545"/>
          <c:w val="0.851765375854214"/>
          <c:h val="0.57490494296578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2025年（亿元）</c:v>
                </c:pt>
              </c:strCache>
            </c:strRef>
          </c:tx>
          <c:spPr>
            <a:gradFill>
              <a:gsLst>
                <a:gs pos="0">
                  <a:srgbClr val="FBFB11"/>
                </a:gs>
                <a:gs pos="100000">
                  <a:srgbClr val="838309"/>
                </a:gs>
              </a:gsLst>
              <a:lin ang="0" scaled="0"/>
            </a:gradFill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Sheet1!$A$2:$A$12</c:f>
              <c:strCache>
                <c:ptCount val="11"/>
                <c:pt idx="0">
                  <c:v>1-2月</c:v>
                </c:pt>
                <c:pt idx="1">
                  <c:v>1-3月</c:v>
                </c:pt>
                <c:pt idx="2">
                  <c:v>1-4月</c:v>
                </c:pt>
                <c:pt idx="3">
                  <c:v>1-5月</c:v>
                </c:pt>
                <c:pt idx="4">
                  <c:v>1-6月</c:v>
                </c:pt>
                <c:pt idx="5">
                  <c:v>1-7月</c:v>
                </c:pt>
                <c:pt idx="6">
                  <c:v>1-8月</c:v>
                </c:pt>
                <c:pt idx="7">
                  <c:v>1-9月</c:v>
                </c:pt>
                <c:pt idx="8">
                  <c:v>1-10月</c:v>
                </c:pt>
                <c:pt idx="9">
                  <c:v>1-11月</c:v>
                </c:pt>
                <c:pt idx="10">
                  <c:v>1-12月</c:v>
                </c:pt>
              </c:strCache>
            </c:strRef>
          </c:cat>
          <c:val>
            <c:numRef>
              <c:f>Sheet1!$B$2:$B$12</c:f>
              <c:numCache>
                <c:formatCode>0.0_ </c:formatCode>
                <c:ptCount val="11"/>
                <c:pt idx="0">
                  <c:v>79.9</c:v>
                </c:pt>
                <c:pt idx="1">
                  <c:v>124.2</c:v>
                </c:pt>
                <c:pt idx="2">
                  <c:v>158</c:v>
                </c:pt>
                <c:pt idx="3">
                  <c:v>193.9</c:v>
                </c:pt>
                <c:pt idx="4">
                  <c:v>232.7</c:v>
                </c:pt>
                <c:pt idx="5">
                  <c:v>268.7</c:v>
                </c:pt>
                <c:pt idx="6">
                  <c:v>307.2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68"/>
        <c:overlap val="10"/>
        <c:axId val="732903777"/>
        <c:axId val="853756604"/>
      </c:barChart>
      <c:lineChart>
        <c:grouping val="standard"/>
        <c:varyColors val="0"/>
        <c:ser>
          <c:idx val="1"/>
          <c:order val="1"/>
          <c:tx>
            <c:strRef>
              <c:f>Sheet1!$C$1</c:f>
              <c:strCache>
                <c:ptCount val="1"/>
                <c:pt idx="0">
                  <c:v>2023年增速（%）</c:v>
                </c:pt>
              </c:strCache>
            </c:strRef>
          </c:tx>
          <c:spPr>
            <a:ln w="12700" cap="rnd" cmpd="sng">
              <a:solidFill>
                <a:srgbClr val="00B0F0"/>
              </a:solidFill>
              <a:prstDash val="solid"/>
              <a:round/>
              <a:headEnd type="none" w="sm" len="sm"/>
              <a:tailEnd type="none" w="sm" len="sm"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  <a:sp3d contourW="12700"/>
          </c:spPr>
          <c:marker>
            <c:symbol val="none"/>
          </c:marker>
          <c:dLbls>
            <c:delete val="1"/>
          </c:dLbls>
          <c:cat>
            <c:strRef>
              <c:f>Sheet1!$A$2:$A$12</c:f>
              <c:strCache>
                <c:ptCount val="11"/>
                <c:pt idx="0">
                  <c:v>1-2月</c:v>
                </c:pt>
                <c:pt idx="1">
                  <c:v>1-3月</c:v>
                </c:pt>
                <c:pt idx="2">
                  <c:v>1-4月</c:v>
                </c:pt>
                <c:pt idx="3">
                  <c:v>1-5月</c:v>
                </c:pt>
                <c:pt idx="4">
                  <c:v>1-6月</c:v>
                </c:pt>
                <c:pt idx="5">
                  <c:v>1-7月</c:v>
                </c:pt>
                <c:pt idx="6">
                  <c:v>1-8月</c:v>
                </c:pt>
                <c:pt idx="7">
                  <c:v>1-9月</c:v>
                </c:pt>
                <c:pt idx="8">
                  <c:v>1-10月</c:v>
                </c:pt>
                <c:pt idx="9">
                  <c:v>1-11月</c:v>
                </c:pt>
                <c:pt idx="10">
                  <c:v>1-12月</c:v>
                </c:pt>
              </c:strCache>
            </c:strRef>
          </c:cat>
          <c:val>
            <c:numRef>
              <c:f>Sheet1!$C$2:$C$12</c:f>
              <c:numCache>
                <c:formatCode>General</c:formatCode>
                <c:ptCount val="11"/>
                <c:pt idx="0">
                  <c:v>-4.3</c:v>
                </c:pt>
                <c:pt idx="1">
                  <c:v>0.9</c:v>
                </c:pt>
                <c:pt idx="2">
                  <c:v>2.2</c:v>
                </c:pt>
                <c:pt idx="3">
                  <c:v>4.7</c:v>
                </c:pt>
                <c:pt idx="4">
                  <c:v>3.2</c:v>
                </c:pt>
                <c:pt idx="5">
                  <c:v>1.5</c:v>
                </c:pt>
                <c:pt idx="6">
                  <c:v>1.6</c:v>
                </c:pt>
                <c:pt idx="7">
                  <c:v>1.2</c:v>
                </c:pt>
                <c:pt idx="8" c:formatCode="0.0_ ">
                  <c:v>2</c:v>
                </c:pt>
                <c:pt idx="9" c:formatCode="0.0_ ">
                  <c:v>3.8</c:v>
                </c:pt>
                <c:pt idx="10" c:formatCode="0.0_ ">
                  <c:v>4.4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2022年增速（%）</c:v>
                </c:pt>
              </c:strCache>
            </c:strRef>
          </c:tx>
          <c:spPr>
            <a:ln w="12700" cap="rnd" cmpd="sng">
              <a:solidFill>
                <a:srgbClr val="7030A0"/>
              </a:solidFill>
              <a:prstDash val="solid"/>
              <a:round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  <a:sp3d contourW="12700"/>
          </c:spPr>
          <c:marker>
            <c:symbol val="none"/>
          </c:marker>
          <c:dLbls>
            <c:delete val="1"/>
          </c:dLbls>
          <c:cat>
            <c:strRef>
              <c:f>Sheet1!$A$2:$A$12</c:f>
              <c:strCache>
                <c:ptCount val="11"/>
                <c:pt idx="0">
                  <c:v>1-2月</c:v>
                </c:pt>
                <c:pt idx="1">
                  <c:v>1-3月</c:v>
                </c:pt>
                <c:pt idx="2">
                  <c:v>1-4月</c:v>
                </c:pt>
                <c:pt idx="3">
                  <c:v>1-5月</c:v>
                </c:pt>
                <c:pt idx="4">
                  <c:v>1-6月</c:v>
                </c:pt>
                <c:pt idx="5">
                  <c:v>1-7月</c:v>
                </c:pt>
                <c:pt idx="6">
                  <c:v>1-8月</c:v>
                </c:pt>
                <c:pt idx="7">
                  <c:v>1-9月</c:v>
                </c:pt>
                <c:pt idx="8">
                  <c:v>1-10月</c:v>
                </c:pt>
                <c:pt idx="9">
                  <c:v>1-11月</c:v>
                </c:pt>
                <c:pt idx="10">
                  <c:v>1-12月</c:v>
                </c:pt>
              </c:strCache>
            </c:strRef>
          </c:cat>
          <c:val>
            <c:numRef>
              <c:f>Sheet1!$D$2:$D$12</c:f>
              <c:numCache>
                <c:formatCode>0.0_ </c:formatCode>
                <c:ptCount val="11"/>
                <c:pt idx="0">
                  <c:v>3.2</c:v>
                </c:pt>
                <c:pt idx="1">
                  <c:v>3.8</c:v>
                </c:pt>
                <c:pt idx="2">
                  <c:v>-1.7</c:v>
                </c:pt>
                <c:pt idx="3">
                  <c:v>-5.7</c:v>
                </c:pt>
                <c:pt idx="4">
                  <c:v>-5</c:v>
                </c:pt>
                <c:pt idx="5">
                  <c:v>-3.7</c:v>
                </c:pt>
                <c:pt idx="6">
                  <c:v>-2.8</c:v>
                </c:pt>
                <c:pt idx="7">
                  <c:v>-1.2</c:v>
                </c:pt>
                <c:pt idx="8">
                  <c:v>-1.5</c:v>
                </c:pt>
                <c:pt idx="9">
                  <c:v>-3.2</c:v>
                </c:pt>
                <c:pt idx="10">
                  <c:v>-4.2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2025年增速（%）</c:v>
                </c:pt>
              </c:strCache>
            </c:strRef>
          </c:tx>
          <c:spPr>
            <a:ln w="12700" cap="rnd" cmpd="sng">
              <a:solidFill>
                <a:srgbClr val="FF0000"/>
              </a:solidFill>
              <a:prstDash val="solid"/>
              <a:round/>
              <a:headEnd type="oval" w="sm" len="sm"/>
              <a:tailEnd type="oval" w="sm" len="sm"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  <a:sp3d contourW="12700"/>
          </c:spPr>
          <c:marker>
            <c:symbol val="none"/>
          </c:marker>
          <c:dLbls>
            <c:dLbl>
              <c:idx val="0"/>
              <c:layout>
                <c:manualLayout>
                  <c:x val="-0.05125284738041"/>
                  <c:y val="-0.0402594497875196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0.0405751708428246"/>
                  <c:y val="-0.0268396331916797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0.0234908883826879"/>
                  <c:y val="-0.0268396331916797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-0.0128132118451025"/>
                  <c:y val="0.0167747707447998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Sheet1!$A$2:$A$12</c:f>
              <c:strCache>
                <c:ptCount val="11"/>
                <c:pt idx="0">
                  <c:v>1-2月</c:v>
                </c:pt>
                <c:pt idx="1">
                  <c:v>1-3月</c:v>
                </c:pt>
                <c:pt idx="2">
                  <c:v>1-4月</c:v>
                </c:pt>
                <c:pt idx="3">
                  <c:v>1-5月</c:v>
                </c:pt>
                <c:pt idx="4">
                  <c:v>1-6月</c:v>
                </c:pt>
                <c:pt idx="5">
                  <c:v>1-7月</c:v>
                </c:pt>
                <c:pt idx="6">
                  <c:v>1-8月</c:v>
                </c:pt>
                <c:pt idx="7">
                  <c:v>1-9月</c:v>
                </c:pt>
                <c:pt idx="8">
                  <c:v>1-10月</c:v>
                </c:pt>
                <c:pt idx="9">
                  <c:v>1-11月</c:v>
                </c:pt>
                <c:pt idx="10">
                  <c:v>1-12月</c:v>
                </c:pt>
              </c:strCache>
            </c:strRef>
          </c:cat>
          <c:val>
            <c:numRef>
              <c:f>Sheet1!$E$2:$E$12</c:f>
              <c:numCache>
                <c:formatCode>0.0_ </c:formatCode>
                <c:ptCount val="11"/>
                <c:pt idx="0">
                  <c:v>6.9</c:v>
                </c:pt>
                <c:pt idx="1">
                  <c:v>8.1</c:v>
                </c:pt>
                <c:pt idx="2">
                  <c:v>6.9</c:v>
                </c:pt>
                <c:pt idx="3">
                  <c:v>5</c:v>
                </c:pt>
                <c:pt idx="4">
                  <c:v>2.5</c:v>
                </c:pt>
                <c:pt idx="5">
                  <c:v>3.5</c:v>
                </c:pt>
                <c:pt idx="6">
                  <c:v>4.2</c:v>
                </c:pt>
              </c:numCache>
            </c:numRef>
          </c:val>
          <c:smooth val="0"/>
        </c:ser>
        <c:ser>
          <c:idx val="4"/>
          <c:order val="4"/>
          <c:tx>
            <c:strRef>
              <c:f>Sheet1!$F$1</c:f>
              <c:strCache>
                <c:ptCount val="1"/>
                <c:pt idx="0">
                  <c:v>2024年增速（%）</c:v>
                </c:pt>
              </c:strCache>
            </c:strRef>
          </c:tx>
          <c:spPr>
            <a:ln w="12700" cap="rnd" cmpd="sng">
              <a:solidFill>
                <a:srgbClr val="00B050"/>
              </a:solidFill>
              <a:prstDash val="solid"/>
              <a:round/>
              <a:headEnd type="none" w="sm" len="sm"/>
              <a:tailEnd type="none" w="sm" len="sm"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  <a:sp3d contourW="12700"/>
          </c:spPr>
          <c:marker>
            <c:symbol val="none"/>
          </c:marker>
          <c:dLbls>
            <c:delete val="1"/>
          </c:dLbls>
          <c:cat>
            <c:strRef>
              <c:f>Sheet1!$A$2:$A$12</c:f>
              <c:strCache>
                <c:ptCount val="11"/>
                <c:pt idx="0">
                  <c:v>1-2月</c:v>
                </c:pt>
                <c:pt idx="1">
                  <c:v>1-3月</c:v>
                </c:pt>
                <c:pt idx="2">
                  <c:v>1-4月</c:v>
                </c:pt>
                <c:pt idx="3">
                  <c:v>1-5月</c:v>
                </c:pt>
                <c:pt idx="4">
                  <c:v>1-6月</c:v>
                </c:pt>
                <c:pt idx="5">
                  <c:v>1-7月</c:v>
                </c:pt>
                <c:pt idx="6">
                  <c:v>1-8月</c:v>
                </c:pt>
                <c:pt idx="7">
                  <c:v>1-9月</c:v>
                </c:pt>
                <c:pt idx="8">
                  <c:v>1-10月</c:v>
                </c:pt>
                <c:pt idx="9">
                  <c:v>1-11月</c:v>
                </c:pt>
                <c:pt idx="10">
                  <c:v>1-12月</c:v>
                </c:pt>
              </c:strCache>
            </c:strRef>
          </c:cat>
          <c:val>
            <c:numRef>
              <c:f>Sheet1!$F$2:$F$12</c:f>
              <c:numCache>
                <c:formatCode>0.0_ </c:formatCode>
                <c:ptCount val="11"/>
                <c:pt idx="0">
                  <c:v>2.2</c:v>
                </c:pt>
                <c:pt idx="1">
                  <c:v>-1.5</c:v>
                </c:pt>
                <c:pt idx="2">
                  <c:v>-1.1</c:v>
                </c:pt>
                <c:pt idx="3">
                  <c:v>1</c:v>
                </c:pt>
                <c:pt idx="4">
                  <c:v>-0.3</c:v>
                </c:pt>
                <c:pt idx="5">
                  <c:v>-0.4</c:v>
                </c:pt>
                <c:pt idx="6">
                  <c:v>-0.8</c:v>
                </c:pt>
                <c:pt idx="7">
                  <c:v>-2</c:v>
                </c:pt>
                <c:pt idx="8">
                  <c:v>-1.9</c:v>
                </c:pt>
                <c:pt idx="9">
                  <c:v>-4.2</c:v>
                </c:pt>
                <c:pt idx="10">
                  <c:v>-4.1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0"/>
        <c:smooth val="0"/>
        <c:axId val="933912241"/>
        <c:axId val="842928170"/>
      </c:lineChart>
      <c:catAx>
        <c:axId val="732903777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853756604"/>
        <c:crosses val="autoZero"/>
        <c:auto val="1"/>
        <c:lblAlgn val="ctr"/>
        <c:lblOffset val="100"/>
        <c:noMultiLvlLbl val="0"/>
      </c:catAx>
      <c:valAx>
        <c:axId val="853756604"/>
        <c:scaling>
          <c:orientation val="minMax"/>
        </c:scaling>
        <c:delete val="0"/>
        <c:axPos val="l"/>
        <c:numFmt formatCode="0_);[Red]\(0\)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732903777"/>
        <c:crosses val="autoZero"/>
        <c:crossBetween val="between"/>
      </c:valAx>
      <c:catAx>
        <c:axId val="933912241"/>
        <c:scaling>
          <c:orientation val="minMax"/>
        </c:scaling>
        <c:delete val="1"/>
        <c:axPos val="b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842928170"/>
        <c:crosses val="autoZero"/>
        <c:auto val="1"/>
        <c:lblAlgn val="ctr"/>
        <c:lblOffset val="100"/>
        <c:noMultiLvlLbl val="0"/>
      </c:catAx>
      <c:valAx>
        <c:axId val="842928170"/>
        <c:scaling>
          <c:orientation val="minMax"/>
        </c:scaling>
        <c:delete val="0"/>
        <c:axPos val="r"/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933912241"/>
        <c:crosses val="max"/>
        <c:crossBetween val="between"/>
      </c:valAx>
      <c:spPr>
        <a:noFill/>
        <a:ln>
          <a:noFill/>
        </a:ln>
        <a:effectLst/>
      </c:spPr>
    </c:plotArea>
    <c:legend>
      <c:legendPos val="b"/>
      <c:legendEntry>
        <c:idx val="0"/>
        <c:txPr>
          <a:bodyPr rot="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</c:legendEntry>
      <c:legendEntry>
        <c:idx val="1"/>
        <c:txPr>
          <a:bodyPr rot="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</c:legendEntry>
      <c:legendEntry>
        <c:idx val="2"/>
        <c:txPr>
          <a:bodyPr rot="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</c:legendEntry>
      <c:legendEntry>
        <c:idx val="3"/>
        <c:txPr>
          <a:bodyPr rot="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</c:legendEntry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lang="zh-CN" sz="900"/>
      </a:pPr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9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sz="900" b="1"/>
              <a:t>全区居民人均可支配收入及增速</a:t>
            </a:r>
            <a:endParaRPr sz="900" b="1"/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Sheet1!$D$18</c:f>
              <c:strCache>
                <c:ptCount val="1"/>
                <c:pt idx="0">
                  <c:v>2024年（元）</c:v>
                </c:pt>
              </c:strCache>
            </c:strRef>
          </c:tx>
          <c:spPr>
            <a:gradFill>
              <a:gsLst>
                <a:gs pos="40000">
                  <a:srgbClr val="C59DE4"/>
                </a:gs>
                <a:gs pos="100000">
                  <a:srgbClr val="401A5D"/>
                </a:gs>
              </a:gsLst>
              <a:lin ang="0" scaled="0"/>
            </a:gradFill>
            <a:ln>
              <a:noFill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</c:spPr>
          <c:invertIfNegative val="0"/>
          <c:dLbls>
            <c:delete val="1"/>
          </c:dLbls>
          <c:cat>
            <c:strRef>
              <c:f>Sheet1!$E$17:$H$17</c:f>
              <c:strCache>
                <c:ptCount val="4"/>
                <c:pt idx="0">
                  <c:v>1季度</c:v>
                </c:pt>
                <c:pt idx="1">
                  <c:v>1-2季度</c:v>
                </c:pt>
                <c:pt idx="2">
                  <c:v>1-3季度</c:v>
                </c:pt>
                <c:pt idx="3">
                  <c:v>1-4季度</c:v>
                </c:pt>
              </c:strCache>
            </c:strRef>
          </c:cat>
          <c:val>
            <c:numRef>
              <c:f>Sheet1!$E$18:$H$18</c:f>
              <c:numCache>
                <c:formatCode>0_ </c:formatCode>
                <c:ptCount val="4"/>
                <c:pt idx="0">
                  <c:v>15803</c:v>
                </c:pt>
                <c:pt idx="1">
                  <c:v>29659</c:v>
                </c:pt>
                <c:pt idx="2">
                  <c:v>44651</c:v>
                </c:pt>
                <c:pt idx="3">
                  <c:v>58250</c:v>
                </c:pt>
              </c:numCache>
            </c:numRef>
          </c:val>
        </c:ser>
        <c:ser>
          <c:idx val="1"/>
          <c:order val="1"/>
          <c:tx>
            <c:strRef>
              <c:f>Sheet1!$D$19</c:f>
              <c:strCache>
                <c:ptCount val="1"/>
                <c:pt idx="0">
                  <c:v>2025年（元）</c:v>
                </c:pt>
              </c:strCache>
            </c:strRef>
          </c:tx>
          <c:spPr>
            <a:gradFill>
              <a:gsLst>
                <a:gs pos="49000">
                  <a:srgbClr val="00B050"/>
                </a:gs>
                <a:gs pos="100000">
                  <a:srgbClr val="52762D"/>
                </a:gs>
              </a:gsLst>
              <a:lin ang="0" scaled="0"/>
            </a:gradFill>
            <a:ln>
              <a:noFill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Sheet1!$E$17:$H$17</c:f>
              <c:strCache>
                <c:ptCount val="4"/>
                <c:pt idx="0">
                  <c:v>1季度</c:v>
                </c:pt>
                <c:pt idx="1">
                  <c:v>1-2季度</c:v>
                </c:pt>
                <c:pt idx="2">
                  <c:v>1-3季度</c:v>
                </c:pt>
                <c:pt idx="3">
                  <c:v>1-4季度</c:v>
                </c:pt>
              </c:strCache>
            </c:strRef>
          </c:cat>
          <c:val>
            <c:numRef>
              <c:f>Sheet1!$E$19:$H$19</c:f>
              <c:numCache>
                <c:formatCode>0_ </c:formatCode>
                <c:ptCount val="4"/>
                <c:pt idx="0">
                  <c:v>16669.9921588575</c:v>
                </c:pt>
                <c:pt idx="1">
                  <c:v>31518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76"/>
        <c:overlap val="-4"/>
        <c:axId val="452651223"/>
        <c:axId val="516392893"/>
      </c:barChart>
      <c:lineChart>
        <c:grouping val="standard"/>
        <c:varyColors val="0"/>
        <c:ser>
          <c:idx val="2"/>
          <c:order val="2"/>
          <c:tx>
            <c:strRef>
              <c:f>Sheet1!$D$21</c:f>
              <c:strCache>
                <c:ptCount val="1"/>
                <c:pt idx="0">
                  <c:v>2024年增速（%）</c:v>
                </c:pt>
              </c:strCache>
            </c:strRef>
          </c:tx>
          <c:spPr>
            <a:ln w="12700" cap="rnd">
              <a:solidFill>
                <a:srgbClr val="FFFF00"/>
              </a:solidFill>
              <a:round/>
              <a:headEnd type="oval" w="sm" len="sm"/>
              <a:tailEnd type="oval" w="sm" len="sm"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  <a:sp3d contourW="12700"/>
          </c:spPr>
          <c:marker>
            <c:symbol val="none"/>
          </c:marker>
          <c:dLbls>
            <c:delete val="1"/>
          </c:dLbls>
          <c:cat>
            <c:strRef>
              <c:f>Sheet1!$E$17:$H$17</c:f>
              <c:strCache>
                <c:ptCount val="4"/>
                <c:pt idx="0">
                  <c:v>1季度</c:v>
                </c:pt>
                <c:pt idx="1">
                  <c:v>1-2季度</c:v>
                </c:pt>
                <c:pt idx="2">
                  <c:v>1-3季度</c:v>
                </c:pt>
                <c:pt idx="3">
                  <c:v>1-4季度</c:v>
                </c:pt>
              </c:strCache>
            </c:strRef>
          </c:cat>
          <c:val>
            <c:numRef>
              <c:f>Sheet1!$E$21:$H$21</c:f>
              <c:numCache>
                <c:formatCode>0.0_ </c:formatCode>
                <c:ptCount val="4"/>
                <c:pt idx="0">
                  <c:v>6.1</c:v>
                </c:pt>
                <c:pt idx="1" c:formatCode="General">
                  <c:v>4.6</c:v>
                </c:pt>
                <c:pt idx="2" c:formatCode="General">
                  <c:v>4.6</c:v>
                </c:pt>
                <c:pt idx="3" c:formatCode="General">
                  <c:v>4.5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Sheet1!$D$20</c:f>
              <c:strCache>
                <c:ptCount val="1"/>
                <c:pt idx="0">
                  <c:v>2025年增速（%）</c:v>
                </c:pt>
              </c:strCache>
            </c:strRef>
          </c:tx>
          <c:spPr>
            <a:ln w="12700" cap="rnd">
              <a:solidFill>
                <a:srgbClr val="FF0000"/>
              </a:solidFill>
              <a:round/>
              <a:headEnd type="oval" w="sm" len="sm"/>
              <a:tailEnd type="oval" w="sm" len="sm"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  <a:sp3d contourW="12700"/>
          </c:spPr>
          <c:marker>
            <c:symbol val="none"/>
          </c:marker>
          <c:dLbls>
            <c:dLbl>
              <c:idx val="0"/>
              <c:layout>
                <c:manualLayout>
                  <c:x val="-0.0934579439252336"/>
                  <c:y val="0.00354693781035706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0.0303738317757009"/>
                  <c:y val="-0.0390163159139276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Sheet1!$E$17:$H$17</c:f>
              <c:strCache>
                <c:ptCount val="4"/>
                <c:pt idx="0">
                  <c:v>1季度</c:v>
                </c:pt>
                <c:pt idx="1">
                  <c:v>1-2季度</c:v>
                </c:pt>
                <c:pt idx="2">
                  <c:v>1-3季度</c:v>
                </c:pt>
                <c:pt idx="3">
                  <c:v>1-4季度</c:v>
                </c:pt>
              </c:strCache>
            </c:strRef>
          </c:cat>
          <c:val>
            <c:numRef>
              <c:f>Sheet1!$E$20:$H$20</c:f>
              <c:numCache>
                <c:formatCode>0.0_ </c:formatCode>
                <c:ptCount val="4"/>
                <c:pt idx="0">
                  <c:v>5.5</c:v>
                </c:pt>
                <c:pt idx="1" c:formatCode="General">
                  <c:v>6.3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0"/>
        <c:smooth val="0"/>
        <c:axId val="484341086"/>
        <c:axId val="755928342"/>
      </c:lineChart>
      <c:catAx>
        <c:axId val="452651223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516392893"/>
        <c:crosses val="autoZero"/>
        <c:auto val="1"/>
        <c:lblAlgn val="ctr"/>
        <c:lblOffset val="100"/>
        <c:noMultiLvlLbl val="0"/>
      </c:catAx>
      <c:valAx>
        <c:axId val="516392893"/>
        <c:scaling>
          <c:orientation val="minMax"/>
        </c:scaling>
        <c:delete val="0"/>
        <c:axPos val="l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0_ 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452651223"/>
        <c:crosses val="autoZero"/>
        <c:crossBetween val="between"/>
      </c:valAx>
      <c:catAx>
        <c:axId val="484341086"/>
        <c:scaling>
          <c:orientation val="minMax"/>
        </c:scaling>
        <c:delete val="1"/>
        <c:axPos val="b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755928342"/>
        <c:crosses val="autoZero"/>
        <c:auto val="1"/>
        <c:lblAlgn val="ctr"/>
        <c:lblOffset val="100"/>
        <c:noMultiLvlLbl val="0"/>
      </c:catAx>
      <c:valAx>
        <c:axId val="755928342"/>
        <c:scaling>
          <c:orientation val="minMax"/>
        </c:scaling>
        <c:delete val="0"/>
        <c:axPos val="r"/>
        <c:numFmt formatCode="0.0_ 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484341086"/>
        <c:crosses val="max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08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sz="1080" b="1"/>
              <a:t>一般公共预算收入（累计）</a:t>
            </a:r>
            <a:endParaRPr sz="1080" b="1"/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Sheet1!$D$5</c:f>
              <c:strCache>
                <c:ptCount val="1"/>
                <c:pt idx="0">
                  <c:v>2025年（亿元）</c:v>
                </c:pt>
              </c:strCache>
            </c:strRef>
          </c:tx>
          <c:spPr>
            <a:gradFill>
              <a:gsLst>
                <a:gs pos="43000">
                  <a:srgbClr val="007BD3"/>
                </a:gs>
                <a:gs pos="85000">
                  <a:srgbClr val="034373"/>
                </a:gs>
              </a:gsLst>
              <a:lin ang="0" scaled="0"/>
            </a:gra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-0.00148608484193461"/>
                  <c:y val="0.0287515762925599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0.00405295865982167"/>
                  <c:y val="0.022698612862547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0"/>
                  <c:y val="0.0151324085750315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0.00405295865982167"/>
                  <c:y val="-0.00453972257250946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0.00886962867508667"/>
                  <c:y val="0.036102712814459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0.00148608484193461"/>
                  <c:y val="0.0171500630517024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>
                <c:manualLayout>
                  <c:x val="0.00202647932991084"/>
                  <c:y val="0.0302648171500631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7"/>
              <c:layout>
                <c:manualLayout>
                  <c:x val="-0.00202647932991084"/>
                  <c:y val="0.0075662042875157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8"/>
              <c:layout>
                <c:manualLayout>
                  <c:x val="0.00202647932991084"/>
                  <c:y val="0.0151324085750315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9"/>
              <c:layout>
                <c:manualLayout>
                  <c:x val="0.0060794379897325"/>
                  <c:y val="0.026481715006305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0"/>
              <c:layout>
                <c:manualLayout>
                  <c:x val="0"/>
                  <c:y val="0.0151324085750315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1"/>
              <c:layout>
                <c:manualLayout>
                  <c:x val="0"/>
                  <c:y val="0.0189155107187894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Sheet1!$C$6:$C$17</c:f>
              <c:strCache>
                <c:ptCount val="12"/>
                <c:pt idx="0">
                  <c:v>1-1月</c:v>
                </c:pt>
                <c:pt idx="1">
                  <c:v>1-2月</c:v>
                </c:pt>
                <c:pt idx="2">
                  <c:v>1-3月</c:v>
                </c:pt>
                <c:pt idx="3">
                  <c:v>1-4月</c:v>
                </c:pt>
                <c:pt idx="4">
                  <c:v>1-5月</c:v>
                </c:pt>
                <c:pt idx="5">
                  <c:v>1-6月</c:v>
                </c:pt>
                <c:pt idx="6">
                  <c:v>1-7月</c:v>
                </c:pt>
                <c:pt idx="7">
                  <c:v>1-8月</c:v>
                </c:pt>
                <c:pt idx="8">
                  <c:v>1-9月</c:v>
                </c:pt>
                <c:pt idx="9">
                  <c:v>1-10月</c:v>
                </c:pt>
                <c:pt idx="10">
                  <c:v>1-11月</c:v>
                </c:pt>
                <c:pt idx="11">
                  <c:v>1-12月</c:v>
                </c:pt>
              </c:strCache>
            </c:strRef>
          </c:cat>
          <c:val>
            <c:numRef>
              <c:f>Sheet1!$D$6:$D$17</c:f>
              <c:numCache>
                <c:formatCode>General</c:formatCode>
                <c:ptCount val="12"/>
                <c:pt idx="0">
                  <c:v>11.7</c:v>
                </c:pt>
                <c:pt idx="1" c:formatCode="0.0_ ">
                  <c:v>20.5</c:v>
                </c:pt>
                <c:pt idx="2" c:formatCode="0.0_ ">
                  <c:v>35.3</c:v>
                </c:pt>
                <c:pt idx="3">
                  <c:v>47.2</c:v>
                </c:pt>
                <c:pt idx="4">
                  <c:v>51.9</c:v>
                </c:pt>
                <c:pt idx="5" c:formatCode="0.0_ ">
                  <c:v>61</c:v>
                </c:pt>
                <c:pt idx="6" c:formatCode="0.0_ ">
                  <c:v>67.5</c:v>
                </c:pt>
                <c:pt idx="7">
                  <c:v>70.9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63"/>
        <c:overlap val="-27"/>
        <c:axId val="662104926"/>
        <c:axId val="857388034"/>
      </c:barChart>
      <c:lineChart>
        <c:grouping val="standard"/>
        <c:varyColors val="0"/>
        <c:ser>
          <c:idx val="1"/>
          <c:order val="1"/>
          <c:tx>
            <c:strRef>
              <c:f>Sheet1!$E$5</c:f>
              <c:strCache>
                <c:ptCount val="1"/>
                <c:pt idx="0">
                  <c:v>2022年增速（%）</c:v>
                </c:pt>
              </c:strCache>
            </c:strRef>
          </c:tx>
          <c:spPr>
            <a:ln w="9525" cap="rnd">
              <a:solidFill>
                <a:srgbClr val="FFC000"/>
              </a:solidFill>
              <a:round/>
              <a:headEnd type="none" w="sm" len="med"/>
              <a:tailEnd type="none" w="sm" len="sm"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  <a:sp3d contourW="9525"/>
          </c:spPr>
          <c:marker>
            <c:symbol val="none"/>
          </c:marker>
          <c:dLbls>
            <c:delete val="1"/>
          </c:dLbls>
          <c:cat>
            <c:strRef>
              <c:f>Sheet1!$C$6:$C$17</c:f>
              <c:strCache>
                <c:ptCount val="12"/>
                <c:pt idx="0">
                  <c:v>1-1月</c:v>
                </c:pt>
                <c:pt idx="1">
                  <c:v>1-2月</c:v>
                </c:pt>
                <c:pt idx="2">
                  <c:v>1-3月</c:v>
                </c:pt>
                <c:pt idx="3">
                  <c:v>1-4月</c:v>
                </c:pt>
                <c:pt idx="4">
                  <c:v>1-5月</c:v>
                </c:pt>
                <c:pt idx="5">
                  <c:v>1-6月</c:v>
                </c:pt>
                <c:pt idx="6">
                  <c:v>1-7月</c:v>
                </c:pt>
                <c:pt idx="7">
                  <c:v>1-8月</c:v>
                </c:pt>
                <c:pt idx="8">
                  <c:v>1-9月</c:v>
                </c:pt>
                <c:pt idx="9">
                  <c:v>1-10月</c:v>
                </c:pt>
                <c:pt idx="10">
                  <c:v>1-11月</c:v>
                </c:pt>
                <c:pt idx="11">
                  <c:v>1-12月</c:v>
                </c:pt>
              </c:strCache>
            </c:strRef>
          </c:cat>
          <c:val>
            <c:numRef>
              <c:f>Sheet1!$E$6:$E$17</c:f>
              <c:numCache>
                <c:formatCode>General</c:formatCode>
                <c:ptCount val="12"/>
                <c:pt idx="0">
                  <c:v>6.5</c:v>
                </c:pt>
                <c:pt idx="1">
                  <c:v>9.1</c:v>
                </c:pt>
                <c:pt idx="2" c:formatCode="0.0_ ">
                  <c:v>7.9</c:v>
                </c:pt>
                <c:pt idx="3" c:formatCode="0.0_ ">
                  <c:v>3</c:v>
                </c:pt>
                <c:pt idx="4" c:formatCode="0.0_ ">
                  <c:v>4</c:v>
                </c:pt>
                <c:pt idx="5" c:formatCode="0.0_ ">
                  <c:v>0.5</c:v>
                </c:pt>
                <c:pt idx="6">
                  <c:v>-2.9</c:v>
                </c:pt>
                <c:pt idx="7">
                  <c:v>-5.7</c:v>
                </c:pt>
                <c:pt idx="8">
                  <c:v>-3.9</c:v>
                </c:pt>
                <c:pt idx="9">
                  <c:v>-4.8</c:v>
                </c:pt>
                <c:pt idx="10">
                  <c:v>-4.8</c:v>
                </c:pt>
                <c:pt idx="11">
                  <c:v>-3.2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Sheet1!$F$5</c:f>
              <c:strCache>
                <c:ptCount val="1"/>
                <c:pt idx="0">
                  <c:v>2025年增速（%）</c:v>
                </c:pt>
              </c:strCache>
            </c:strRef>
          </c:tx>
          <c:spPr>
            <a:ln w="9525" cap="rnd">
              <a:solidFill>
                <a:srgbClr val="B5098E"/>
              </a:solidFill>
              <a:round/>
              <a:headEnd type="oval" w="sm" len="sm"/>
              <a:tailEnd type="oval" w="sm" len="sm"/>
            </a:ln>
            <a:effectLst>
              <a:outerShdw blurRad="50800" dist="38100" dir="2700000" algn="tl" rotWithShape="0">
                <a:srgbClr val="7030A0">
                  <a:alpha val="40000"/>
                </a:srgbClr>
              </a:outerShdw>
            </a:effectLst>
            <a:sp3d contourW="9525"/>
          </c:spPr>
          <c:marker>
            <c:symbol val="none"/>
          </c:marker>
          <c:dLbls>
            <c:delete val="1"/>
          </c:dLbls>
          <c:cat>
            <c:strRef>
              <c:f>Sheet1!$C$6:$C$17</c:f>
              <c:strCache>
                <c:ptCount val="12"/>
                <c:pt idx="0">
                  <c:v>1-1月</c:v>
                </c:pt>
                <c:pt idx="1">
                  <c:v>1-2月</c:v>
                </c:pt>
                <c:pt idx="2">
                  <c:v>1-3月</c:v>
                </c:pt>
                <c:pt idx="3">
                  <c:v>1-4月</c:v>
                </c:pt>
                <c:pt idx="4">
                  <c:v>1-5月</c:v>
                </c:pt>
                <c:pt idx="5">
                  <c:v>1-6月</c:v>
                </c:pt>
                <c:pt idx="6">
                  <c:v>1-7月</c:v>
                </c:pt>
                <c:pt idx="7">
                  <c:v>1-8月</c:v>
                </c:pt>
                <c:pt idx="8">
                  <c:v>1-9月</c:v>
                </c:pt>
                <c:pt idx="9">
                  <c:v>1-10月</c:v>
                </c:pt>
                <c:pt idx="10">
                  <c:v>1-11月</c:v>
                </c:pt>
                <c:pt idx="11">
                  <c:v>1-12月</c:v>
                </c:pt>
              </c:strCache>
            </c:strRef>
          </c:cat>
          <c:val>
            <c:numRef>
              <c:f>Sheet1!$F$6:$F$17</c:f>
              <c:numCache>
                <c:formatCode>General</c:formatCode>
                <c:ptCount val="12"/>
                <c:pt idx="0">
                  <c:v>0.5</c:v>
                </c:pt>
                <c:pt idx="1">
                  <c:v>0.6</c:v>
                </c:pt>
                <c:pt idx="2" c:formatCode="0.0_ ">
                  <c:v>3</c:v>
                </c:pt>
                <c:pt idx="3">
                  <c:v>4.6</c:v>
                </c:pt>
                <c:pt idx="4">
                  <c:v>3.3</c:v>
                </c:pt>
                <c:pt idx="5" c:formatCode="0.0_ ">
                  <c:v>0.3</c:v>
                </c:pt>
                <c:pt idx="6">
                  <c:v>1.2</c:v>
                </c:pt>
                <c:pt idx="7">
                  <c:v>0.1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Sheet1!$G$5</c:f>
              <c:strCache>
                <c:ptCount val="1"/>
                <c:pt idx="0">
                  <c:v>2023年增速（%）</c:v>
                </c:pt>
              </c:strCache>
            </c:strRef>
          </c:tx>
          <c:spPr>
            <a:ln w="12700" cap="rnd" cmpd="sng">
              <a:solidFill>
                <a:srgbClr val="FF0000"/>
              </a:solidFill>
              <a:prstDash val="solid"/>
              <a:round/>
              <a:headEnd type="none" w="sm" len="sm"/>
              <a:tailEnd type="none" w="sm" len="sm"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  <a:sp3d contourW="12700"/>
          </c:spPr>
          <c:marker>
            <c:symbol val="none"/>
          </c:marker>
          <c:dLbls>
            <c:delete val="1"/>
          </c:dLbls>
          <c:cat>
            <c:strRef>
              <c:f>Sheet1!$C$6:$C$17</c:f>
              <c:strCache>
                <c:ptCount val="12"/>
                <c:pt idx="0">
                  <c:v>1-1月</c:v>
                </c:pt>
                <c:pt idx="1">
                  <c:v>1-2月</c:v>
                </c:pt>
                <c:pt idx="2">
                  <c:v>1-3月</c:v>
                </c:pt>
                <c:pt idx="3">
                  <c:v>1-4月</c:v>
                </c:pt>
                <c:pt idx="4">
                  <c:v>1-5月</c:v>
                </c:pt>
                <c:pt idx="5">
                  <c:v>1-6月</c:v>
                </c:pt>
                <c:pt idx="6">
                  <c:v>1-7月</c:v>
                </c:pt>
                <c:pt idx="7">
                  <c:v>1-8月</c:v>
                </c:pt>
                <c:pt idx="8">
                  <c:v>1-9月</c:v>
                </c:pt>
                <c:pt idx="9">
                  <c:v>1-10月</c:v>
                </c:pt>
                <c:pt idx="10">
                  <c:v>1-11月</c:v>
                </c:pt>
                <c:pt idx="11">
                  <c:v>1-12月</c:v>
                </c:pt>
              </c:strCache>
            </c:strRef>
          </c:cat>
          <c:val>
            <c:numRef>
              <c:f>Sheet1!$G$6:$G$17</c:f>
              <c:numCache>
                <c:formatCode>General</c:formatCode>
                <c:ptCount val="12"/>
                <c:pt idx="0">
                  <c:v>3.2</c:v>
                </c:pt>
                <c:pt idx="1">
                  <c:v>3.8</c:v>
                </c:pt>
                <c:pt idx="2">
                  <c:v>3.3</c:v>
                </c:pt>
                <c:pt idx="3">
                  <c:v>2.4</c:v>
                </c:pt>
                <c:pt idx="4" c:formatCode="0.0_ ">
                  <c:v>7</c:v>
                </c:pt>
                <c:pt idx="5">
                  <c:v>4.1</c:v>
                </c:pt>
                <c:pt idx="6">
                  <c:v>5.4</c:v>
                </c:pt>
                <c:pt idx="7">
                  <c:v>6.5</c:v>
                </c:pt>
                <c:pt idx="8">
                  <c:v>5.5</c:v>
                </c:pt>
                <c:pt idx="9">
                  <c:v>5.8</c:v>
                </c:pt>
                <c:pt idx="10">
                  <c:v>5.4</c:v>
                </c:pt>
                <c:pt idx="11">
                  <c:v>5.2</c:v>
                </c:pt>
              </c:numCache>
            </c:numRef>
          </c:val>
          <c:smooth val="0"/>
        </c:ser>
        <c:ser>
          <c:idx val="4"/>
          <c:order val="4"/>
          <c:tx>
            <c:strRef>
              <c:f>Sheet1!$H$5</c:f>
              <c:strCache>
                <c:ptCount val="1"/>
                <c:pt idx="0">
                  <c:v>2024年增速（%）</c:v>
                </c:pt>
              </c:strCache>
            </c:strRef>
          </c:tx>
          <c:spPr>
            <a:ln w="12700" cap="rnd" cmpd="sng">
              <a:solidFill>
                <a:srgbClr val="00B050"/>
              </a:solidFill>
              <a:prstDash val="solid"/>
              <a:round/>
              <a:headEnd type="none" w="sm" len="sm"/>
              <a:tailEnd type="none" w="sm" len="sm"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  <a:sp3d contourW="12700"/>
          </c:spPr>
          <c:marker>
            <c:symbol val="none"/>
          </c:marker>
          <c:dLbls>
            <c:delete val="1"/>
          </c:dLbls>
          <c:cat>
            <c:strRef>
              <c:f>Sheet1!$C$6:$C$17</c:f>
              <c:strCache>
                <c:ptCount val="12"/>
                <c:pt idx="0">
                  <c:v>1-1月</c:v>
                </c:pt>
                <c:pt idx="1">
                  <c:v>1-2月</c:v>
                </c:pt>
                <c:pt idx="2">
                  <c:v>1-3月</c:v>
                </c:pt>
                <c:pt idx="3">
                  <c:v>1-4月</c:v>
                </c:pt>
                <c:pt idx="4">
                  <c:v>1-5月</c:v>
                </c:pt>
                <c:pt idx="5">
                  <c:v>1-6月</c:v>
                </c:pt>
                <c:pt idx="6">
                  <c:v>1-7月</c:v>
                </c:pt>
                <c:pt idx="7">
                  <c:v>1-8月</c:v>
                </c:pt>
                <c:pt idx="8">
                  <c:v>1-9月</c:v>
                </c:pt>
                <c:pt idx="9">
                  <c:v>1-10月</c:v>
                </c:pt>
                <c:pt idx="10">
                  <c:v>1-11月</c:v>
                </c:pt>
                <c:pt idx="11">
                  <c:v>1-12月</c:v>
                </c:pt>
              </c:strCache>
            </c:strRef>
          </c:cat>
          <c:val>
            <c:numRef>
              <c:f>Sheet1!$H$6:$H$17</c:f>
              <c:numCache>
                <c:formatCode>General</c:formatCode>
                <c:ptCount val="12"/>
                <c:pt idx="0">
                  <c:v>4.1</c:v>
                </c:pt>
                <c:pt idx="1">
                  <c:v>4.1</c:v>
                </c:pt>
                <c:pt idx="2">
                  <c:v>4.3</c:v>
                </c:pt>
                <c:pt idx="3">
                  <c:v>3.1</c:v>
                </c:pt>
                <c:pt idx="4" c:formatCode="0.0_ ">
                  <c:v>-3</c:v>
                </c:pt>
                <c:pt idx="5">
                  <c:v>4.4</c:v>
                </c:pt>
                <c:pt idx="6">
                  <c:v>0.4</c:v>
                </c:pt>
                <c:pt idx="7">
                  <c:v>1.5</c:v>
                </c:pt>
                <c:pt idx="8">
                  <c:v>0.2</c:v>
                </c:pt>
                <c:pt idx="9">
                  <c:v>0.9</c:v>
                </c:pt>
                <c:pt idx="10">
                  <c:v>1.5</c:v>
                </c:pt>
                <c:pt idx="11">
                  <c:v>1.2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0"/>
        <c:smooth val="0"/>
        <c:axId val="446800189"/>
        <c:axId val="162702792"/>
      </c:lineChart>
      <c:catAx>
        <c:axId val="662104926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857388034"/>
        <c:crosses val="autoZero"/>
        <c:auto val="1"/>
        <c:lblAlgn val="ctr"/>
        <c:lblOffset val="100"/>
        <c:noMultiLvlLbl val="0"/>
      </c:catAx>
      <c:valAx>
        <c:axId val="857388034"/>
        <c:scaling>
          <c:orientation val="minMax"/>
        </c:scaling>
        <c:delete val="0"/>
        <c:axPos val="l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662104926"/>
        <c:crosses val="autoZero"/>
        <c:crossBetween val="between"/>
      </c:valAx>
      <c:catAx>
        <c:axId val="446800189"/>
        <c:scaling>
          <c:orientation val="minMax"/>
        </c:scaling>
        <c:delete val="1"/>
        <c:axPos val="b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162702792"/>
        <c:crosses val="autoZero"/>
        <c:auto val="1"/>
        <c:lblAlgn val="ctr"/>
        <c:lblOffset val="100"/>
        <c:noMultiLvlLbl val="0"/>
      </c:catAx>
      <c:valAx>
        <c:axId val="162702792"/>
        <c:scaling>
          <c:orientation val="minMax"/>
        </c:scaling>
        <c:delete val="0"/>
        <c:axPos val="r"/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446800189"/>
        <c:crosses val="max"/>
        <c:crossBetween val="between"/>
      </c:valAx>
      <c:spPr>
        <a:noFill/>
        <a:ln>
          <a:noFill/>
        </a:ln>
        <a:effectLst/>
      </c:spPr>
    </c:plotArea>
    <c:legend>
      <c:legendPos val="b"/>
      <c:legendEntry>
        <c:idx val="0"/>
        <c:txPr>
          <a:bodyPr rot="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</c:legendEntry>
      <c:legendEntry>
        <c:idx val="1"/>
        <c:txPr>
          <a:bodyPr rot="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</c:legendEntry>
      <c:legendEntry>
        <c:idx val="2"/>
        <c:txPr>
          <a:bodyPr rot="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</c:legendEntry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lang="zh-CN" sz="900"/>
      </a:pPr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</Words>
  <Characters>1</Characters>
  <Lines>1</Lines>
  <Paragraphs>1</Paragraphs>
  <TotalTime>74</TotalTime>
  <ScaleCrop>false</ScaleCrop>
  <LinksUpToDate>false</LinksUpToDate>
  <CharactersWithSpaces>3</CharactersWithSpaces>
  <Application>WPS Office_11.8.2.8950_F1E327BC-269C-435d-A152-05C5408002CA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2020-03-24T14:36:00Z</dcterms:created>
  <dc:creator>fanfan</dc:creator>
  <cp:lastModifiedBy>fanfan</cp:lastModifiedBy>
  <dcterms:modified xsi:type="dcterms:W3CDTF">2025-09-28T02:21:32Z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2052-11.8.2.8950</vt:lpwstr>
  </property>
  <property fmtid="{D5CDD505-2E9C-101B-9397-08002B2CF9AE}" pid="3" name="ICV">
    <vt:lpwstr>179D673A067849FDB83DBE9D2A0B9D9F</vt:lpwstr>
  </property>
</Properties>
</file>