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autoSpaceDN/>
        <w:bidi w:val="0"/>
        <w:spacing w:line="360" w:lineRule="auto"/>
        <w:ind w:firstLine="0" w:firstLineChars="0"/>
        <w:jc w:val="center"/>
        <w:textAlignment w:val="auto"/>
        <w:rPr>
          <w:rFonts w:asciiTheme="minorHAnsi" w:hAnsiTheme="minorHAnsi" w:eastAsiaTheme="minorEastAsia" w:cstheme="minorBidi"/>
          <w:b/>
          <w:bCs/>
          <w:sz w:val="52"/>
          <w:szCs w:val="52"/>
        </w:rPr>
      </w:pPr>
    </w:p>
    <w:p>
      <w:pPr>
        <w:pageBreakBefore w:val="0"/>
        <w:kinsoku/>
        <w:wordWrap/>
        <w:topLinePunct w:val="0"/>
        <w:autoSpaceDE/>
        <w:autoSpaceDN/>
        <w:bidi w:val="0"/>
        <w:spacing w:line="360" w:lineRule="auto"/>
        <w:ind w:firstLine="0" w:firstLineChars="0"/>
        <w:jc w:val="center"/>
        <w:textAlignment w:val="auto"/>
        <w:rPr>
          <w:rFonts w:asciiTheme="minorHAnsi" w:hAnsiTheme="minorHAnsi" w:eastAsiaTheme="minorEastAsia" w:cstheme="minorBidi"/>
          <w:b/>
          <w:bCs/>
          <w:sz w:val="52"/>
          <w:szCs w:val="52"/>
        </w:rPr>
      </w:pPr>
    </w:p>
    <w:p>
      <w:pPr>
        <w:pageBreakBefore w:val="0"/>
        <w:kinsoku/>
        <w:wordWrap/>
        <w:topLinePunct w:val="0"/>
        <w:autoSpaceDE/>
        <w:autoSpaceDN/>
        <w:bidi w:val="0"/>
        <w:spacing w:line="360" w:lineRule="auto"/>
        <w:ind w:firstLine="0" w:firstLineChars="0"/>
        <w:jc w:val="center"/>
        <w:textAlignment w:val="auto"/>
        <w:rPr>
          <w:rFonts w:asciiTheme="minorHAnsi" w:hAnsiTheme="minorHAnsi" w:eastAsiaTheme="minorEastAsia" w:cstheme="minorBidi"/>
          <w:b/>
          <w:bCs/>
          <w:sz w:val="52"/>
          <w:szCs w:val="52"/>
        </w:rPr>
      </w:pPr>
    </w:p>
    <w:p>
      <w:pPr>
        <w:pageBreakBefore w:val="0"/>
        <w:kinsoku/>
        <w:wordWrap/>
        <w:topLinePunct w:val="0"/>
        <w:autoSpaceDE/>
        <w:autoSpaceDN/>
        <w:bidi w:val="0"/>
        <w:spacing w:line="360" w:lineRule="auto"/>
        <w:ind w:firstLine="0" w:firstLineChars="0"/>
        <w:jc w:val="center"/>
        <w:textAlignment w:val="auto"/>
        <w:rPr>
          <w:rFonts w:asciiTheme="minorHAnsi" w:hAnsiTheme="minorHAnsi" w:eastAsiaTheme="minorEastAsia" w:cstheme="minorBidi"/>
          <w:b/>
          <w:bCs/>
          <w:sz w:val="52"/>
          <w:szCs w:val="52"/>
        </w:rPr>
      </w:pPr>
      <w:r>
        <w:rPr>
          <w:rFonts w:hint="eastAsia" w:asciiTheme="minorHAnsi" w:hAnsiTheme="minorHAnsi" w:eastAsiaTheme="minorEastAsia" w:cstheme="minorBidi"/>
          <w:b/>
          <w:bCs/>
          <w:sz w:val="52"/>
          <w:szCs w:val="52"/>
        </w:rPr>
        <w:t>北京市通州区财政支出项目</w:t>
      </w:r>
    </w:p>
    <w:p>
      <w:pPr>
        <w:pageBreakBefore w:val="0"/>
        <w:kinsoku/>
        <w:wordWrap/>
        <w:topLinePunct w:val="0"/>
        <w:autoSpaceDE/>
        <w:autoSpaceDN/>
        <w:bidi w:val="0"/>
        <w:spacing w:line="360" w:lineRule="auto"/>
        <w:ind w:firstLine="0" w:firstLineChars="0"/>
        <w:jc w:val="center"/>
        <w:textAlignment w:val="auto"/>
        <w:rPr>
          <w:rFonts w:asciiTheme="minorHAnsi" w:hAnsiTheme="minorHAnsi" w:eastAsiaTheme="minorEastAsia" w:cstheme="minorBidi"/>
          <w:b/>
          <w:bCs/>
          <w:sz w:val="52"/>
          <w:szCs w:val="52"/>
        </w:rPr>
      </w:pPr>
      <w:r>
        <w:rPr>
          <w:rFonts w:hint="eastAsia" w:asciiTheme="minorHAnsi" w:hAnsiTheme="minorHAnsi" w:eastAsiaTheme="minorEastAsia" w:cstheme="minorBidi"/>
          <w:b/>
          <w:bCs/>
          <w:sz w:val="52"/>
          <w:szCs w:val="52"/>
        </w:rPr>
        <w:t>绩效评价报告</w:t>
      </w:r>
    </w:p>
    <w:p>
      <w:pPr>
        <w:pageBreakBefore w:val="0"/>
        <w:kinsoku/>
        <w:wordWrap/>
        <w:overflowPunct w:val="0"/>
        <w:topLinePunct w:val="0"/>
        <w:autoSpaceDE/>
        <w:autoSpaceDN/>
        <w:bidi w:val="0"/>
        <w:spacing w:line="360" w:lineRule="auto"/>
        <w:ind w:firstLine="0" w:firstLineChars="0"/>
        <w:jc w:val="center"/>
        <w:textAlignment w:val="auto"/>
        <w:rPr>
          <w:b/>
          <w:bCs/>
          <w:sz w:val="52"/>
        </w:rPr>
      </w:pPr>
    </w:p>
    <w:p>
      <w:pPr>
        <w:pageBreakBefore w:val="0"/>
        <w:kinsoku/>
        <w:wordWrap/>
        <w:topLinePunct w:val="0"/>
        <w:autoSpaceDE/>
        <w:autoSpaceDN/>
        <w:bidi w:val="0"/>
        <w:spacing w:line="360" w:lineRule="auto"/>
        <w:ind w:firstLine="600"/>
        <w:textAlignment w:val="auto"/>
        <w:rPr>
          <w:rFonts w:eastAsia="黑体"/>
          <w:sz w:val="30"/>
        </w:rPr>
      </w:pPr>
    </w:p>
    <w:p>
      <w:pPr>
        <w:pStyle w:val="8"/>
        <w:pageBreakBefore w:val="0"/>
        <w:kinsoku/>
        <w:wordWrap/>
        <w:topLinePunct w:val="0"/>
        <w:autoSpaceDE/>
        <w:autoSpaceDN/>
        <w:bidi w:val="0"/>
        <w:spacing w:line="360" w:lineRule="auto"/>
        <w:ind w:firstLine="600"/>
        <w:textAlignment w:val="auto"/>
        <w:rPr>
          <w:rFonts w:eastAsia="黑体"/>
          <w:sz w:val="30"/>
        </w:rPr>
      </w:pPr>
    </w:p>
    <w:p>
      <w:pPr>
        <w:pageBreakBefore w:val="0"/>
        <w:kinsoku/>
        <w:wordWrap/>
        <w:topLinePunct w:val="0"/>
        <w:autoSpaceDE/>
        <w:autoSpaceDN/>
        <w:bidi w:val="0"/>
        <w:spacing w:line="360" w:lineRule="auto"/>
        <w:textAlignment w:val="auto"/>
      </w:pPr>
    </w:p>
    <w:p>
      <w:pPr>
        <w:pStyle w:val="5"/>
        <w:pageBreakBefore w:val="0"/>
        <w:kinsoku/>
        <w:wordWrap/>
        <w:topLinePunct w:val="0"/>
        <w:autoSpaceDE/>
        <w:autoSpaceDN/>
        <w:bidi w:val="0"/>
        <w:spacing w:line="360" w:lineRule="auto"/>
        <w:ind w:firstLine="640"/>
        <w:textAlignment w:val="auto"/>
      </w:pPr>
    </w:p>
    <w:p>
      <w:pPr>
        <w:pStyle w:val="5"/>
        <w:pageBreakBefore w:val="0"/>
        <w:kinsoku/>
        <w:wordWrap/>
        <w:topLinePunct w:val="0"/>
        <w:autoSpaceDE/>
        <w:autoSpaceDN/>
        <w:bidi w:val="0"/>
        <w:spacing w:line="360" w:lineRule="auto"/>
        <w:ind w:firstLine="640"/>
        <w:textAlignment w:val="auto"/>
      </w:pPr>
    </w:p>
    <w:p>
      <w:pPr>
        <w:pageBreakBefore w:val="0"/>
        <w:kinsoku/>
        <w:wordWrap/>
        <w:overflowPunct w:val="0"/>
        <w:topLinePunct w:val="0"/>
        <w:autoSpaceDE/>
        <w:autoSpaceDN/>
        <w:bidi w:val="0"/>
        <w:adjustRightInd w:val="0"/>
        <w:snapToGrid w:val="0"/>
        <w:spacing w:line="360" w:lineRule="auto"/>
        <w:ind w:firstLine="960" w:firstLineChars="300"/>
        <w:textAlignment w:val="auto"/>
        <w:rPr>
          <w:rFonts w:ascii="宋体" w:hAnsi="宋体" w:eastAsia="宋体" w:cs="宋体"/>
          <w:szCs w:val="32"/>
        </w:rPr>
      </w:pPr>
      <w:r>
        <w:rPr>
          <w:rFonts w:hint="eastAsia" w:ascii="宋体" w:hAnsi="宋体" w:eastAsia="宋体" w:cs="宋体"/>
          <w:szCs w:val="32"/>
        </w:rPr>
        <w:t>项目单位</w:t>
      </w:r>
      <w:r>
        <w:rPr>
          <w:rFonts w:ascii="宋体" w:hAnsi="宋体" w:eastAsia="宋体" w:cs="宋体"/>
          <w:szCs w:val="32"/>
          <w:u w:val="single"/>
        </w:rPr>
        <w:t xml:space="preserve">  </w:t>
      </w:r>
      <w:r>
        <w:rPr>
          <w:rFonts w:hint="eastAsia" w:ascii="宋体" w:hAnsi="宋体" w:eastAsia="宋体" w:cs="宋体"/>
          <w:szCs w:val="32"/>
          <w:u w:val="single"/>
        </w:rPr>
        <w:t>北京市通州区马驹桥镇人民政府</w:t>
      </w:r>
      <w:r>
        <w:rPr>
          <w:rFonts w:ascii="宋体" w:hAnsi="宋体" w:eastAsia="宋体" w:cs="宋体"/>
          <w:szCs w:val="32"/>
          <w:u w:val="single"/>
        </w:rPr>
        <w:t xml:space="preserve">   </w:t>
      </w:r>
      <w:r>
        <w:rPr>
          <w:rFonts w:hint="eastAsia" w:ascii="宋体" w:hAnsi="宋体" w:eastAsia="宋体" w:cs="宋体"/>
          <w:szCs w:val="32"/>
          <w:u w:val="single"/>
          <w:lang w:val="en-US" w:eastAsia="zh-CN"/>
        </w:rPr>
        <w:t xml:space="preserve">    </w:t>
      </w:r>
      <w:r>
        <w:rPr>
          <w:rFonts w:ascii="宋体" w:hAnsi="宋体" w:eastAsia="宋体" w:cs="宋体"/>
          <w:szCs w:val="32"/>
          <w:u w:val="single"/>
        </w:rPr>
        <w:t xml:space="preserve"> </w:t>
      </w:r>
    </w:p>
    <w:p>
      <w:pPr>
        <w:pageBreakBefore w:val="0"/>
        <w:kinsoku/>
        <w:wordWrap/>
        <w:overflowPunct w:val="0"/>
        <w:topLinePunct w:val="0"/>
        <w:autoSpaceDE/>
        <w:autoSpaceDN/>
        <w:bidi w:val="0"/>
        <w:adjustRightInd w:val="0"/>
        <w:snapToGrid w:val="0"/>
        <w:spacing w:line="360" w:lineRule="auto"/>
        <w:ind w:left="2240" w:leftChars="300" w:hanging="1280" w:hangingChars="400"/>
        <w:textAlignment w:val="auto"/>
        <w:rPr>
          <w:rFonts w:eastAsia="黑体"/>
          <w:sz w:val="36"/>
          <w:szCs w:val="36"/>
        </w:rPr>
      </w:pPr>
      <w:r>
        <w:rPr>
          <w:rFonts w:hint="eastAsia" w:ascii="宋体" w:hAnsi="宋体" w:eastAsia="宋体" w:cs="宋体"/>
          <w:szCs w:val="32"/>
        </w:rPr>
        <w:t>项目名称</w:t>
      </w:r>
      <w:r>
        <w:rPr>
          <w:rFonts w:ascii="宋体" w:hAnsi="宋体" w:eastAsia="宋体" w:cs="宋体"/>
          <w:szCs w:val="32"/>
          <w:u w:val="single"/>
        </w:rPr>
        <w:t xml:space="preserve">  </w:t>
      </w:r>
      <w:r>
        <w:rPr>
          <w:rFonts w:hint="eastAsia" w:ascii="宋体" w:hAnsi="宋体" w:eastAsia="宋体" w:cs="宋体"/>
          <w:szCs w:val="32"/>
          <w:u w:val="single"/>
          <w:lang w:val="en-US" w:eastAsia="zh-CN"/>
        </w:rPr>
        <w:t>2020-</w:t>
      </w:r>
      <w:r>
        <w:rPr>
          <w:rFonts w:ascii="宋体" w:hAnsi="宋体" w:eastAsia="宋体" w:cs="宋体"/>
          <w:szCs w:val="32"/>
          <w:u w:val="single"/>
        </w:rPr>
        <w:t>202</w:t>
      </w:r>
      <w:r>
        <w:rPr>
          <w:rFonts w:hint="eastAsia" w:ascii="宋体" w:hAnsi="宋体" w:eastAsia="宋体" w:cs="宋体"/>
          <w:szCs w:val="32"/>
          <w:u w:val="single"/>
          <w:lang w:val="en-US" w:eastAsia="zh-CN"/>
        </w:rPr>
        <w:t>2</w:t>
      </w:r>
      <w:r>
        <w:rPr>
          <w:rFonts w:hint="eastAsia" w:ascii="宋体" w:hAnsi="宋体" w:eastAsia="宋体" w:cs="宋体"/>
          <w:szCs w:val="32"/>
          <w:u w:val="single"/>
        </w:rPr>
        <w:t>年治理类乡镇补助</w:t>
      </w:r>
      <w:r>
        <w:rPr>
          <w:rFonts w:hint="eastAsia" w:ascii="宋体" w:hAnsi="宋体" w:eastAsia="宋体" w:cs="宋体"/>
          <w:szCs w:val="32"/>
          <w:u w:val="single"/>
          <w:lang w:val="en-US" w:eastAsia="zh-CN"/>
        </w:rPr>
        <w:t>资金</w:t>
      </w:r>
      <w:r>
        <w:rPr>
          <w:rFonts w:hint="eastAsia" w:ascii="宋体" w:hAnsi="宋体" w:eastAsia="宋体" w:cs="宋体"/>
          <w:szCs w:val="32"/>
          <w:u w:val="single"/>
        </w:rPr>
        <w:t>项目</w:t>
      </w:r>
      <w:r>
        <w:rPr>
          <w:rFonts w:ascii="宋体" w:hAnsi="宋体" w:eastAsia="宋体" w:cs="宋体"/>
          <w:szCs w:val="32"/>
          <w:u w:val="single"/>
        </w:rPr>
        <w:t xml:space="preserve">    </w:t>
      </w:r>
    </w:p>
    <w:p>
      <w:pPr>
        <w:pageBreakBefore w:val="0"/>
        <w:kinsoku/>
        <w:wordWrap/>
        <w:overflowPunct w:val="0"/>
        <w:topLinePunct w:val="0"/>
        <w:autoSpaceDE/>
        <w:autoSpaceDN/>
        <w:bidi w:val="0"/>
        <w:adjustRightInd w:val="0"/>
        <w:snapToGrid w:val="0"/>
        <w:spacing w:line="360" w:lineRule="auto"/>
        <w:ind w:firstLine="960" w:firstLineChars="300"/>
        <w:textAlignment w:val="auto"/>
        <w:rPr>
          <w:rFonts w:hint="eastAsia" w:ascii="宋体" w:hAnsi="宋体" w:eastAsia="宋体" w:cs="宋体"/>
          <w:szCs w:val="32"/>
          <w:u w:val="single"/>
        </w:rPr>
      </w:pPr>
      <w:r>
        <w:rPr>
          <w:rFonts w:hint="eastAsia" w:ascii="宋体" w:hAnsi="宋体" w:eastAsia="宋体" w:cs="宋体"/>
          <w:szCs w:val="32"/>
        </w:rPr>
        <w:t>负责</w:t>
      </w:r>
      <w:r>
        <w:rPr>
          <w:rFonts w:hint="eastAsia" w:ascii="宋体" w:hAnsi="宋体" w:eastAsia="宋体" w:cs="宋体"/>
          <w:szCs w:val="32"/>
          <w:lang w:val="en-US" w:eastAsia="zh-CN"/>
        </w:rPr>
        <w:t>部门</w:t>
      </w:r>
      <w:r>
        <w:rPr>
          <w:rFonts w:hint="eastAsia" w:ascii="宋体" w:hAnsi="宋体" w:eastAsia="宋体" w:cs="宋体"/>
          <w:szCs w:val="32"/>
          <w:u w:val="single"/>
        </w:rPr>
        <w:t xml:space="preserve">  </w:t>
      </w:r>
      <w:r>
        <w:rPr>
          <w:rFonts w:hint="eastAsia" w:ascii="宋体" w:hAnsi="宋体" w:eastAsia="宋体" w:cs="宋体"/>
          <w:szCs w:val="32"/>
          <w:u w:val="single"/>
          <w:lang w:val="en-US" w:eastAsia="zh-CN"/>
        </w:rPr>
        <w:t xml:space="preserve">市民诉求处置中心                   </w:t>
      </w:r>
      <w:r>
        <w:rPr>
          <w:rFonts w:hint="eastAsia" w:ascii="宋体" w:hAnsi="宋体" w:eastAsia="宋体" w:cs="宋体"/>
          <w:szCs w:val="32"/>
          <w:u w:val="single"/>
        </w:rPr>
        <w:t xml:space="preserve"> </w:t>
      </w:r>
    </w:p>
    <w:p>
      <w:pPr>
        <w:pageBreakBefore w:val="0"/>
        <w:kinsoku/>
        <w:wordWrap/>
        <w:overflowPunct w:val="0"/>
        <w:topLinePunct w:val="0"/>
        <w:autoSpaceDE/>
        <w:autoSpaceDN/>
        <w:bidi w:val="0"/>
        <w:adjustRightInd w:val="0"/>
        <w:snapToGrid w:val="0"/>
        <w:spacing w:line="360" w:lineRule="auto"/>
        <w:ind w:firstLine="960" w:firstLineChars="300"/>
        <w:textAlignment w:val="auto"/>
        <w:rPr>
          <w:rFonts w:hint="eastAsia" w:ascii="宋体" w:hAnsi="宋体" w:eastAsia="宋体" w:cs="宋体"/>
          <w:szCs w:val="32"/>
        </w:rPr>
      </w:pPr>
      <w:r>
        <w:rPr>
          <w:rFonts w:hint="eastAsia" w:ascii="宋体" w:hAnsi="宋体" w:eastAsia="宋体" w:cs="宋体"/>
          <w:szCs w:val="32"/>
        </w:rPr>
        <w:t>填报日期</w:t>
      </w:r>
      <w:r>
        <w:rPr>
          <w:rFonts w:hint="eastAsia" w:ascii="宋体" w:hAnsi="宋体" w:eastAsia="宋体" w:cs="宋体"/>
          <w:szCs w:val="32"/>
          <w:u w:val="single"/>
        </w:rPr>
        <w:t xml:space="preserve">  </w:t>
      </w:r>
      <w:r>
        <w:rPr>
          <w:rFonts w:hint="eastAsia" w:ascii="宋体" w:hAnsi="宋体" w:eastAsia="宋体" w:cs="宋体"/>
          <w:szCs w:val="32"/>
          <w:u w:val="single"/>
          <w:lang w:val="en-US" w:eastAsia="zh-CN"/>
        </w:rPr>
        <w:t xml:space="preserve">2025年2月26日                    </w:t>
      </w:r>
      <w:r>
        <w:rPr>
          <w:rFonts w:hint="eastAsia" w:ascii="宋体" w:hAnsi="宋体" w:eastAsia="宋体" w:cs="宋体"/>
          <w:szCs w:val="32"/>
          <w:u w:val="single"/>
        </w:rPr>
        <w:t xml:space="preserve"> </w:t>
      </w:r>
      <w:r>
        <w:rPr>
          <w:rFonts w:hint="eastAsia" w:ascii="宋体" w:hAnsi="宋体" w:eastAsia="宋体" w:cs="宋体"/>
          <w:szCs w:val="32"/>
        </w:rPr>
        <w:t xml:space="preserve">   </w:t>
      </w:r>
    </w:p>
    <w:p>
      <w:pPr>
        <w:pageBreakBefore w:val="0"/>
        <w:kinsoku/>
        <w:wordWrap/>
        <w:overflowPunct w:val="0"/>
        <w:topLinePunct w:val="0"/>
        <w:autoSpaceDE/>
        <w:autoSpaceDN/>
        <w:bidi w:val="0"/>
        <w:adjustRightInd w:val="0"/>
        <w:snapToGrid w:val="0"/>
        <w:spacing w:line="360" w:lineRule="auto"/>
        <w:ind w:firstLine="960" w:firstLineChars="300"/>
        <w:textAlignment w:val="auto"/>
        <w:rPr>
          <w:rFonts w:hint="eastAsia" w:ascii="宋体" w:hAnsi="宋体" w:eastAsia="宋体" w:cs="宋体"/>
          <w:szCs w:val="32"/>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p>
    <w:p>
      <w:pPr>
        <w:pStyle w:val="3"/>
        <w:pageBreakBefore w:val="0"/>
        <w:kinsoku/>
        <w:wordWrap/>
        <w:topLinePunct w:val="0"/>
        <w:autoSpaceDE/>
        <w:autoSpaceDN/>
        <w:bidi w:val="0"/>
        <w:spacing w:line="360" w:lineRule="auto"/>
        <w:ind w:firstLine="643"/>
        <w:textAlignment w:val="auto"/>
      </w:pPr>
      <w:bookmarkStart w:id="0" w:name="_Toc143761460"/>
      <w:bookmarkStart w:id="1" w:name="_Toc145085511"/>
      <w:r>
        <w:rPr>
          <w:rFonts w:hint="eastAsia"/>
        </w:rPr>
        <w:t>一、</w:t>
      </w:r>
      <w:bookmarkEnd w:id="0"/>
      <w:r>
        <w:rPr>
          <w:rFonts w:hint="eastAsia"/>
        </w:rPr>
        <w:t>基本情况</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 w:name="_Toc145085512"/>
      <w:r>
        <w:rPr>
          <w:rFonts w:hint="eastAsia" w:ascii="楷体_GB2312" w:hAnsi="楷体_GB2312" w:eastAsia="楷体_GB2312" w:cs="楷体_GB2312"/>
          <w:sz w:val="32"/>
          <w:szCs w:val="32"/>
          <w:lang w:val="en-US" w:eastAsia="zh-CN"/>
        </w:rPr>
        <w:t>（一）项目概况</w:t>
      </w:r>
      <w:bookmarkEnd w:id="2"/>
    </w:p>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rPr>
        <w:t>1.项目立项背景</w:t>
      </w:r>
    </w:p>
    <w:p>
      <w:pPr>
        <w:pageBreakBefore w:val="0"/>
        <w:widowControl/>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rPr>
        <w:t>按照北京市委“街乡吹哨、部门报到”和“接诉即办”改革的要求，通州区马驹桥镇自2019年7月起被纳入治理类街乡镇督导范围，由市疏整促专班负责督导。根据《北京市“疏解整治促提升”专项行动2020年工作计划》《治理类街乡镇整治提升2020年工作计划》，马驹桥镇被纳入疏解整治促提升市级引导资金补助范围。</w:t>
      </w:r>
    </w:p>
    <w:p>
      <w:pPr>
        <w:pageBreakBefore w:val="0"/>
        <w:widowControl/>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rPr>
        <w:t>为贯彻落实党的十九届五中全会和市委十二届十六次全体会议精神，落实进一步深化“接诉即办”改革工作的意见和年度工作要点的要求，围绕“19+11”个治理类街乡镇，以“降量提率、排名提升”为目标，紧扣“七有”要求“五性”需求，坚持“两及时一聚焦”“市、区、街乡镇、社区（村）四级联动”的工作方法，按照“整治、治理、改革”多措并举的思路，在夯实基础、完善功能、补齐短板、强化服务、创新政策、破解高频难点问题方面下功夫，持续深化“小事不出社区、大事不出街道、难事条块一块办”工作机制，切实解决好群众身边的操心事、烦心事、揪心事，深化超大型城市基层治理创新，推动治理类街乡镇治理能力不断提升。通过以“小提升解大难题，以小资金带大成效，以小治理见大格局的方法逐步提升治理类乡镇整体服务能力和水平”，马驹桥镇政府申请</w:t>
      </w:r>
      <w:r>
        <w:rPr>
          <w:rFonts w:hint="eastAsia" w:ascii="仿宋_GB2312" w:hAnsi="仿宋_GB2312" w:cs="仿宋_GB2312"/>
          <w:szCs w:val="32"/>
          <w:lang w:val="en-US" w:eastAsia="zh-CN"/>
        </w:rPr>
        <w:t>2020-</w:t>
      </w:r>
      <w:r>
        <w:rPr>
          <w:rFonts w:hint="eastAsia" w:ascii="仿宋_GB2312" w:hAnsi="仿宋_GB2312" w:cs="仿宋_GB2312"/>
          <w:szCs w:val="32"/>
        </w:rPr>
        <w:t>2</w:t>
      </w:r>
      <w:r>
        <w:rPr>
          <w:rFonts w:ascii="仿宋_GB2312" w:hAnsi="仿宋_GB2312" w:cs="仿宋_GB2312"/>
          <w:szCs w:val="32"/>
        </w:rPr>
        <w:t>02</w:t>
      </w:r>
      <w:r>
        <w:rPr>
          <w:rFonts w:hint="eastAsia" w:ascii="仿宋_GB2312" w:hAnsi="仿宋_GB2312" w:cs="仿宋_GB2312"/>
          <w:szCs w:val="32"/>
          <w:lang w:val="en-US" w:eastAsia="zh-CN"/>
        </w:rPr>
        <w:t>2</w:t>
      </w:r>
      <w:r>
        <w:rPr>
          <w:rFonts w:hint="eastAsia" w:ascii="仿宋_GB2312" w:hAnsi="仿宋_GB2312" w:cs="仿宋_GB2312"/>
          <w:szCs w:val="32"/>
        </w:rPr>
        <w:t>年治理类乡镇市级补助项目。</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2.项目内容</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bookmarkStart w:id="3" w:name="_Toc20323"/>
      <w:bookmarkStart w:id="4" w:name="_Toc27029"/>
      <w:r>
        <w:rPr>
          <w:rFonts w:hint="eastAsia" w:ascii="仿宋_GB2312" w:hAnsi="仿宋_GB2312" w:eastAsia="仿宋_GB2312" w:cs="仿宋_GB2312"/>
          <w:kern w:val="2"/>
          <w:sz w:val="32"/>
          <w:szCs w:val="32"/>
          <w:highlight w:val="none"/>
          <w:lang w:val="en-US" w:eastAsia="zh-CN" w:bidi="ar-SA"/>
        </w:rPr>
        <w:t>马驹桥镇202</w:t>
      </w:r>
      <w:r>
        <w:rPr>
          <w:rFonts w:hint="eastAsia" w:ascii="仿宋_GB2312" w:hAnsi="仿宋_GB2312" w:cs="仿宋_GB2312"/>
          <w:kern w:val="2"/>
          <w:sz w:val="32"/>
          <w:szCs w:val="32"/>
          <w:highlight w:val="none"/>
          <w:lang w:val="en-US" w:eastAsia="zh-CN" w:bidi="ar-SA"/>
        </w:rPr>
        <w:t>0</w:t>
      </w:r>
      <w:r>
        <w:rPr>
          <w:rFonts w:hint="eastAsia" w:ascii="仿宋_GB2312" w:hAnsi="仿宋_GB2312" w:eastAsia="仿宋_GB2312" w:cs="仿宋_GB2312"/>
          <w:kern w:val="2"/>
          <w:sz w:val="32"/>
          <w:szCs w:val="32"/>
          <w:highlight w:val="none"/>
          <w:lang w:val="en-US" w:eastAsia="zh-CN" w:bidi="ar-SA"/>
        </w:rPr>
        <w:t>年治理类乡镇项目资金共涉及1</w:t>
      </w:r>
      <w:r>
        <w:rPr>
          <w:rFonts w:hint="eastAsia" w:ascii="仿宋_GB2312"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个子项目，具体内容如下。</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物流园区兴贸南街雨水管线疏通项目位于通州区马驹桥镇物流园区内，该雨水管线东起融商一路与兴贸南街交口处，西至融商七路与兴贸南街交口处，共涉及雨水管线2472米、路两侧206座双箅雨水口和420米雨水方涵的清淤疏通。</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（2）物流园区兴贸南街机动车道破损路面修复工程该项目位于物流园区内，该道路东起融商五路西至融商六路，建设规模1000平方米，现状为沥青混凝土路面，北半幅机动车道宽度3.5m。</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（3）物流园区兴破损人行步道修复工程该项目位于物流园区内，该道国风美仑小区周边，建设规模2780平方米，现状为人行步道砖，人行步道车道宽度3.5m。</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（4）马驹桥2020年老旧小区改造工程（一期）项目主要为神龙辛屯小区绿化升级改造约1.5万平方米，神龙自成外墙装饰面修复约 1100 延米，神龙潼关围栏拆除与更换修复长度约 8000 延米，商业街干部楼外墙修复及保温改造规模约 5000 平方米，宏仁家园道路改造1300米人行步道。</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（5）马驹桥镇小杜社村水源井置换及井房建设项目位于通州区马驹桥镇小杜社村内，主要项目内容包括新建井房工程（建筑工程、装饰工程、电气工程、给水管线工程）、水源井工程。</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北京市通州区马驹桥镇第二社会福利服务中心施工项目，主要包括装饰工程：30间小卫生间与5间大卫生间吊顶、墙面、地面（防滑地砖）、防水、加大门洞30处、新作铝镁合金门30樘、设施恢复、含拆除、渣土外运。电气工程：新做主电缆、总配电箱、水泵控制配电箱、楼道配电箱、楼道分支电缆、居住房间电路改造。给排水工程：新做水泵、自来水主管道、楼道分管、入户管道、新做地漏30处、原热水管道恢复、洁具利旧恢复、新做水表、新做水表检查井。土建工程：给排水、电气改造的路面开够与恢复。</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（7）马驹桥镇无障碍环境建设项目，主要对全区存在问题的无障碍设施点位进行实地测量，出具点位施工图确定最高限价设备供应商进行工程造价精确预算，按照设计图进行点位改造施工。</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通州区马驹桥镇西马各庄小学北侧路道路工程，位于通州区马驹桥镇西马各庄西南侧，该道路起点位于西马各庄外环路，终点止于西马各庄路小学北门，全长约144米，现状为搬迁后遗留的水泥混凝土地面（表面覆有建筑垃圾）。设计起点为西马各庄外环路（K0+000），设计终点为西马各庄路小学北门（K0+143.543），设计段全长143.543米，其中K0+000-K0+130段设计路面宽7米，路基宽12米；K0+130-K0+143.543段设计路面宽10米，路基宽14.5米，技术等级为四级公路，设计速度为20km/h。</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（9）村办园天然气进园工程项目，主要解决村办幼儿园与村内公服冬季取暖与日常炊事问题。</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马驹桥镇应急物资储备库建于九德路东侧300米绿源伟业公司院内，东至公路交通部汽车试验场，西至大杜社派出所），共两个库房，分别为日常库（400平方米）和冷库（100平方米），总面积约500㎡，内含135种应急物资。</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11）马驹桥大产权小区疫情防控常态化设施及系统建设项目位于马驹桥镇，涉及金地格林小镇、天鹅堡、新海南里、新海祥和、新海北里、天和嘉园、米拉小镇、莲水怡园等22个片区，118套人脸识别系统（含测温模块），53套车闸管理系统，建设小区疫情数据防控系统及镇级疫情数据系统。</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（12）马驹桥镇农村幸福晚年驿站和社区养老服务驿站开通燃气项目，为前堰上村幸福晚年驿站、大杜社村幸福晚年驿站2个养老驿站接通燃气，为驿站助餐、日间照料等提供支持</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马驹桥镇2021年治理类乡镇市级补助项目资金共涉及1</w:t>
      </w:r>
      <w:r>
        <w:rPr>
          <w:rFonts w:ascii="仿宋_GB2312" w:hAnsi="仿宋_GB2312" w:cs="仿宋_GB2312"/>
          <w:kern w:val="2"/>
          <w:szCs w:val="32"/>
        </w:rPr>
        <w:t>6</w:t>
      </w:r>
      <w:r>
        <w:rPr>
          <w:rFonts w:hint="eastAsia" w:ascii="仿宋_GB2312" w:hAnsi="仿宋_GB2312" w:cs="仿宋_GB2312"/>
          <w:kern w:val="2"/>
          <w:szCs w:val="32"/>
        </w:rPr>
        <w:t>个子项目，具体内容如下。</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（1）怡静园小区环境综合整治工程（一期），地点位于马驹桥镇怡景园小区内，因本小区内绿化用地地面多裸露，树木杂乱，杂物乱堆乱放，严重影响公共环境卫生，对怡静园绿化修复约800平方米。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2）金桥花园小区环境综合整治工程（一期），地点位于马驹桥镇金桥花园小区内，因小区车棚破损严重，小区绿化用地地面多裸露，杂物乱堆乱放，严重影响公共环境卫生，对小区内自行车棚改造约650平方米，同步实施中心活动区域整治约2800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（3）神龙坚桥小区环境综合整治工程（一期），地点位于马驹桥神龙坚桥小区内，墙皮起泡严重，墙皮脱落，单元门也破损严重，严重影响居民安全感，拟对小区进行楼道清洗粉刷约15000平方米，涉及约251户。</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4）神龙辛屯小区环境综合整治工程（一期），地点位于马驹桥镇辛屯小区内，因小区屋顶防水年久老化，防水层严重破坏，6个自行车棚严重老化，顶棚破损，栏杆腐蚀严重，存在安全隐患，对其进行屋顶防水整治约20000平方米，对小区内6个自行车停车棚提升改造约600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（5）辛屯四合院环境综合整治工程（一期），对其进行路面修复7500平方米及雨污水管网修复，对小区进行楼道清洗粉刷约20000平方米，涉及30个单元360户。</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（6）商业街小区环境综合整治工程（一期），拟进行外墙保温修复约10000平方米，同步实施屋面防水工程约2000平方米。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（7）神龙自成小区环境综合整治工程（一期），拟对小区公共区域环境整治修复约3500平方米。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（8）神龙辛屯小区供电设施增容改造工程（一期），在原有基础上增加两台630kA或800kVA变压器，满足居民日益增长的用电需求。</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（9）神龙潼关小区屋顶防水修复工程，神龙潼关小区18000平方米防水修复。</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0</w:t>
      </w:r>
      <w:r>
        <w:rPr>
          <w:rFonts w:hint="eastAsia" w:ascii="仿宋_GB2312" w:hAnsi="仿宋_GB2312" w:cs="仿宋_GB2312"/>
          <w:kern w:val="2"/>
          <w:szCs w:val="32"/>
        </w:rPr>
        <w:t>）神龙坚桥小区屋顶防水修复工程，位于马驹桥镇神龙坚桥小区内，神龙坚桥小区屋顶防水2800平方米、屋顶瓦片拆除400平方米。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1</w:t>
      </w:r>
      <w:r>
        <w:rPr>
          <w:rFonts w:hint="eastAsia" w:ascii="仿宋_GB2312" w:hAnsi="仿宋_GB2312" w:cs="仿宋_GB2312"/>
          <w:kern w:val="2"/>
          <w:szCs w:val="32"/>
        </w:rPr>
        <w:t>）金桥花园小区防水修复工程，位于马驹桥镇金桥花园小区内，金桥花园屋顶防水8000平方米。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2</w:t>
      </w:r>
      <w:r>
        <w:rPr>
          <w:rFonts w:hint="eastAsia" w:ascii="仿宋_GB2312" w:hAnsi="仿宋_GB2312" w:cs="仿宋_GB2312"/>
          <w:kern w:val="2"/>
          <w:szCs w:val="32"/>
        </w:rPr>
        <w:t>）马驹桥镇</w:t>
      </w:r>
      <w:r>
        <w:rPr>
          <w:rFonts w:hint="eastAsia" w:ascii="微软雅黑" w:hAnsi="微软雅黑" w:eastAsia="微软雅黑" w:cs="微软雅黑"/>
          <w:kern w:val="2"/>
          <w:szCs w:val="32"/>
        </w:rPr>
        <w:t>漷</w:t>
      </w:r>
      <w:r>
        <w:rPr>
          <w:rFonts w:hint="eastAsia" w:ascii="仿宋_GB2312" w:hAnsi="仿宋_GB2312" w:cs="仿宋_GB2312"/>
          <w:kern w:val="2"/>
          <w:szCs w:val="32"/>
        </w:rPr>
        <w:t>马路旧线交通设施治理工程，位于</w:t>
      </w:r>
      <w:r>
        <w:rPr>
          <w:rFonts w:hint="eastAsia" w:ascii="微软雅黑" w:hAnsi="微软雅黑" w:eastAsia="微软雅黑" w:cs="微软雅黑"/>
          <w:kern w:val="2"/>
          <w:szCs w:val="32"/>
        </w:rPr>
        <w:t>漷</w:t>
      </w:r>
      <w:r>
        <w:rPr>
          <w:rFonts w:hint="eastAsia" w:ascii="仿宋_GB2312" w:hAnsi="仿宋_GB2312" w:cs="仿宋_GB2312"/>
          <w:kern w:val="2"/>
          <w:szCs w:val="32"/>
        </w:rPr>
        <w:t>马路旧线兴华中街至老桥路段，全长约1公里、道路平均宽约10米，需要安装交通标志牌45个、禁停标线1800米、路侧禁止线1850米、交通标志架28套等。</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3</w:t>
      </w:r>
      <w:r>
        <w:rPr>
          <w:rFonts w:hint="eastAsia" w:ascii="仿宋_GB2312" w:hAnsi="仿宋_GB2312" w:cs="仿宋_GB2312"/>
          <w:kern w:val="2"/>
          <w:szCs w:val="32"/>
        </w:rPr>
        <w:t>）马驹桥镇二街村、三街村、北门口村房屋外围基础防护层与破损立面加固项目，对部分房屋房外围基础防护层与部分破损台阶重建与修复。</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4</w:t>
      </w:r>
      <w:r>
        <w:rPr>
          <w:rFonts w:hint="eastAsia" w:ascii="仿宋_GB2312" w:hAnsi="仿宋_GB2312" w:cs="仿宋_GB2312"/>
          <w:kern w:val="2"/>
          <w:szCs w:val="32"/>
        </w:rPr>
        <w:t>）马驹桥镇一街村、辛屯村、西后街村房屋外围基础防护层与破损立面加固项目，对部分房屋房外围基础防护层与部分破损台阶重建与修复。</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5</w:t>
      </w:r>
      <w:r>
        <w:rPr>
          <w:rFonts w:hint="eastAsia" w:ascii="仿宋_GB2312" w:hAnsi="仿宋_GB2312" w:cs="仿宋_GB2312"/>
          <w:kern w:val="2"/>
          <w:szCs w:val="32"/>
        </w:rPr>
        <w:t>）马驹桥镇南小营村排水渠改造工程，新建排水管渠，规模约1400米。</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rPr>
      </w:pPr>
      <w:r>
        <w:rPr>
          <w:rFonts w:hint="eastAsia" w:ascii="仿宋_GB2312" w:hAnsi="仿宋_GB2312" w:cs="仿宋_GB2312"/>
          <w:kern w:val="2"/>
          <w:szCs w:val="32"/>
        </w:rPr>
        <w:t>（1</w:t>
      </w:r>
      <w:r>
        <w:rPr>
          <w:rFonts w:ascii="仿宋_GB2312" w:hAnsi="仿宋_GB2312" w:cs="仿宋_GB2312"/>
          <w:kern w:val="2"/>
          <w:szCs w:val="32"/>
        </w:rPr>
        <w:t>6</w:t>
      </w:r>
      <w:r>
        <w:rPr>
          <w:rFonts w:hint="eastAsia" w:ascii="仿宋_GB2312" w:hAnsi="仿宋_GB2312" w:cs="仿宋_GB2312"/>
          <w:kern w:val="2"/>
          <w:szCs w:val="32"/>
        </w:rPr>
        <w:t>）马驹桥镇西田阳村老年活动中心房屋改造项目，重建房屋250平米及新建一座廊架；院内铺装350平方米，新建铁艺围栏及大门200延米。经核实符合村庄规划。目前已完成前期摸底、群众意愿调查和乡镇初审，规模约600平方米。</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马驹桥镇202</w:t>
      </w:r>
      <w:r>
        <w:rPr>
          <w:rFonts w:ascii="仿宋_GB2312" w:hAnsi="仿宋_GB2312" w:cs="仿宋_GB2312"/>
          <w:szCs w:val="32"/>
        </w:rPr>
        <w:t>2</w:t>
      </w:r>
      <w:r>
        <w:rPr>
          <w:rFonts w:hint="eastAsia" w:ascii="仿宋_GB2312" w:hAnsi="仿宋_GB2312" w:cs="仿宋_GB2312"/>
          <w:szCs w:val="32"/>
        </w:rPr>
        <w:t>年治理类乡镇市级补助项目共涉及1</w:t>
      </w:r>
      <w:r>
        <w:rPr>
          <w:rFonts w:ascii="仿宋_GB2312" w:hAnsi="仿宋_GB2312" w:cs="仿宋_GB2312"/>
          <w:szCs w:val="32"/>
        </w:rPr>
        <w:t>8</w:t>
      </w:r>
      <w:r>
        <w:rPr>
          <w:rFonts w:hint="eastAsia" w:ascii="仿宋_GB2312" w:hAnsi="仿宋_GB2312" w:cs="仿宋_GB2312"/>
          <w:szCs w:val="32"/>
        </w:rPr>
        <w:t>个子项目，具体内容如下。</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（1）辛屯四合院小区楼顶保温防水修复工程，地点位于马驹桥镇辛屯四合院小区内，楼顶保温修复防水修复，约7715平方米。（社会办项目）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2）怡静园小区房屋顶、外墙修复工程，地点位于马驹桥镇怡静园小区内，拆除怡静园小区房檐，共计164处，1148延米；侧墙加保温与粉刷7500平方米；屋顶保温防水2394平方米；局部护栏修复500延米。（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w:t>
      </w:r>
      <w:r>
        <w:rPr>
          <w:rFonts w:ascii="仿宋_GB2312" w:hAnsi="仿宋_GB2312" w:cs="仿宋_GB2312"/>
          <w:szCs w:val="32"/>
        </w:rPr>
        <w:t>3</w:t>
      </w:r>
      <w:r>
        <w:rPr>
          <w:rFonts w:hint="eastAsia" w:ascii="仿宋_GB2312" w:hAnsi="仿宋_GB2312" w:cs="仿宋_GB2312"/>
          <w:szCs w:val="32"/>
        </w:rPr>
        <w:t>）商业街小区道路与雨污水管修复工程，地点位于马驹桥镇商业街，道路拆除及恢复2420平方米；更新改造给水管道500米、污水管道500米、雨水管道500米。（社会办项目）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（4）马驹桥镇小区老旧车棚修复工程，怡静园小区、商业街政府楼前车棚破损严重，拆除后原址原尺寸重建。（社会办项目）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（5）辛屯四合院小区外墙修复及保温工程，地点位于马驹桥镇辛屯四合院小区，辛屯四合院小区外墙墙皮脱落破损严重，立面修复及增设保温并喷涂，约5500平方米。（社会办项目）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（6）神龙坚桥小区路面修缮工程，地点位于马驹桥镇神龙坚桥小区，修建路面8000平方米，更换井盖及雨水篦子88个。（社会办项目）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（7）辛屯四合院小区低压电力敷设工程，地点位于马驹桥镇先四合院小区，铺设低压电力线约700米，更换大配电箱一个，小配电箱一个。（社会办项目）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（8）小周易村东四支沟污水治理工程，位于马驹桥镇小周易村，污水管道更新约650米。（农办项目）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（9）西马各庄村北增设雨水排水沟，位于马驹桥镇西马各庄村，在村北侧新增雨水排水沟与村东侧原有排水沟连接，将低洼的雨水引至新建排水沟，解决内部积水严重问题。新建雨水沟约700延米。（农办项目）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0</w:t>
      </w:r>
      <w:r>
        <w:rPr>
          <w:rFonts w:hint="eastAsia" w:ascii="仿宋_GB2312" w:hAnsi="仿宋_GB2312" w:cs="仿宋_GB2312"/>
          <w:szCs w:val="32"/>
        </w:rPr>
        <w:t>）南小营村房屋外围基础防护层与破损立面加固项目，南小营村房屋外围基础防护层破损严重，同时部分立面破损，影响房屋安全。该部分为美丽乡村项目拆违以外的部分。为减少安全隐患，对部分房屋外围基础防护层与部分破损台阶重建与修复。维修房屋基础约5400平方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1</w:t>
      </w:r>
      <w:r>
        <w:rPr>
          <w:rFonts w:hint="eastAsia" w:ascii="仿宋_GB2312" w:hAnsi="仿宋_GB2312" w:cs="仿宋_GB2312"/>
          <w:szCs w:val="32"/>
        </w:rPr>
        <w:t>）东田阳村房屋外围基础防护层与破损立面加固项目，东田阳村房屋外围基础防护层破损严重，同时部分立面破损，影响房屋安全。该部分为美丽乡村项目拆除以外的部分。为减少安全隐患，对部分房屋外围基础防护层与部分破损台阶重建与修复。维修房屋基础约6466平方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2</w:t>
      </w:r>
      <w:r>
        <w:rPr>
          <w:rFonts w:hint="eastAsia" w:ascii="仿宋_GB2312" w:hAnsi="仿宋_GB2312" w:cs="仿宋_GB2312"/>
          <w:szCs w:val="32"/>
        </w:rPr>
        <w:t>）大松垡村房屋外围基础防护层与破损立面加固项目，大松垡村房屋外围基础防护层破损严重，同时部分立面破损，影响房屋安全。该部分为美丽乡村项目拆除以外的部分。为减少安全隐患，我镇利用一年的时间对部分房屋外围基础防护层与部分破损台阶重建与修复。维修房屋基础约6600平方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3</w:t>
      </w:r>
      <w:r>
        <w:rPr>
          <w:rFonts w:hint="eastAsia" w:ascii="仿宋_GB2312" w:hAnsi="仿宋_GB2312" w:cs="仿宋_GB2312"/>
          <w:szCs w:val="32"/>
        </w:rPr>
        <w:t>）陈各庄村房屋外围基础防护层与破损立面加固项目，陈各庄村房屋外围基础防护层破损严重，同时部分立面破损，影响房屋安全。该部分为美丽乡村拆违外的部分。为减少安全隐患，对部分房屋外围基础防护层与部分破损台阶重建与修复。维修房屋基础约1000平方米。（农办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4</w:t>
      </w:r>
      <w:r>
        <w:rPr>
          <w:rFonts w:hint="eastAsia" w:ascii="仿宋_GB2312" w:hAnsi="仿宋_GB2312" w:cs="仿宋_GB2312"/>
          <w:szCs w:val="32"/>
        </w:rPr>
        <w:t>）四支路北段－北五村小区路道路升级改造完善工程，新建3套闯红灯电子警察系统（含900w电子警察、人脸识别卡口摄像机、环保补光灯、频闪补光灯、网络交换设备、设备安装、与上级系统联调）；新增5套机动车违停抓拍系统（含400w违停球机、杆件、设备安装、与上级系统联调）；新增2套高点视频监控系统（含高清全景摄像机、设备安装、与上级系统联调）等。（公路站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5</w:t>
      </w:r>
      <w:r>
        <w:rPr>
          <w:rFonts w:hint="eastAsia" w:ascii="仿宋_GB2312" w:hAnsi="仿宋_GB2312" w:cs="仿宋_GB2312"/>
          <w:szCs w:val="32"/>
        </w:rPr>
        <w:t>）马团路西段道路升级改造完善工程，新建8套智慧违停驱离系统（含400w违停球机、杆件、LED提示屏、语音提示音柱、设备安装、与上级系统联调）；新增规范的各类交通标志及提示牌20处，亮化道钉650个，新建交通设施50处，并对现有破损，老化的交通设施更换拆除。（公路站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6</w:t>
      </w:r>
      <w:r>
        <w:rPr>
          <w:rFonts w:hint="eastAsia" w:ascii="仿宋_GB2312" w:hAnsi="仿宋_GB2312" w:cs="仿宋_GB2312"/>
          <w:szCs w:val="32"/>
        </w:rPr>
        <w:t>）漷马路（兴华中街－三号桥）交通安全升级改造完善工程，新增闯红灯违法抓拍系统1套（含900w电子警察、频闪补光灯、网络交换设备、设备安装、与上级系统联调）；增设违停警示抓拍系统7套（含400w违停球机、杆件、提示屏、语音提示音柱、设备安装、与上级系统联调）；高清视频监控系统2套（含高清全景摄像机、设备安、与上级系统联调装、与上级系统联调）；行人过街关爱系统3套（含行人检测摄像机、过街信号控制终端、地面闪光道钉、过往车辆提示屏、设备安装调试）；机动车不礼让行人抓拍系统3套（含900w电子警察、频闪补光灯、网络交换设备、设备安装、与上级系统联调）；增设路面亮化设施、交通安全设施及公交港湾2处。（公路站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7</w:t>
      </w:r>
      <w:r>
        <w:rPr>
          <w:rFonts w:hint="eastAsia" w:ascii="仿宋_GB2312" w:hAnsi="仿宋_GB2312" w:cs="仿宋_GB2312"/>
          <w:szCs w:val="32"/>
        </w:rPr>
        <w:t>）通州区马驹桥镇尚悦西二路道路开口工程，新建人行步道145平米、中央隔离绿网265米、交通标志8套、交通标线360平米、阻车桩26套等。（公路站项目）</w:t>
      </w:r>
    </w:p>
    <w:p>
      <w:pPr>
        <w:widowControl/>
        <w:overflowPunct w:val="0"/>
        <w:adjustRightInd w:val="0"/>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8</w:t>
      </w:r>
      <w:r>
        <w:rPr>
          <w:rFonts w:hint="eastAsia" w:ascii="仿宋_GB2312" w:hAnsi="仿宋_GB2312" w:cs="仿宋_GB2312"/>
          <w:szCs w:val="32"/>
        </w:rPr>
        <w:t>）编制马驹桥镇2022年整治提升退出方案，梳理治理任务，编制事项清单，推动项目实施，编制2022年整治提升退出方案。</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rPr>
      </w:pPr>
      <w:r>
        <w:rPr>
          <w:rFonts w:hint="eastAsia" w:ascii="仿宋_GB2312" w:hAnsi="仿宋_GB2312" w:cs="仿宋_GB2312"/>
          <w:kern w:val="2"/>
          <w:szCs w:val="32"/>
        </w:rPr>
        <w:t>3.项目资金情况</w:t>
      </w:r>
      <w:bookmarkEnd w:id="3"/>
      <w:bookmarkEnd w:id="4"/>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highlight w:val="none"/>
          <w:lang w:val="en-US" w:eastAsia="zh-CN"/>
        </w:rPr>
      </w:pPr>
      <w:r>
        <w:rPr>
          <w:rFonts w:hint="eastAsia" w:ascii="仿宋_GB2312" w:hAnsi="仿宋_GB2312" w:cs="仿宋_GB2312"/>
          <w:kern w:val="2"/>
          <w:szCs w:val="32"/>
          <w:highlight w:val="none"/>
        </w:rPr>
        <w:t>马驹桥镇202</w:t>
      </w:r>
      <w:r>
        <w:rPr>
          <w:rFonts w:hint="eastAsia" w:ascii="仿宋_GB2312" w:hAnsi="仿宋_GB2312" w:cs="仿宋_GB2312"/>
          <w:kern w:val="2"/>
          <w:szCs w:val="32"/>
          <w:highlight w:val="none"/>
          <w:lang w:val="en-US" w:eastAsia="zh-CN"/>
        </w:rPr>
        <w:t>0</w:t>
      </w:r>
      <w:r>
        <w:rPr>
          <w:rFonts w:hint="eastAsia" w:ascii="仿宋_GB2312" w:hAnsi="仿宋_GB2312" w:cs="仿宋_GB2312"/>
          <w:kern w:val="2"/>
          <w:szCs w:val="32"/>
          <w:highlight w:val="none"/>
        </w:rPr>
        <w:t>年治理类乡镇市级补助项目</w:t>
      </w:r>
      <w:r>
        <w:rPr>
          <w:rFonts w:hint="eastAsia" w:ascii="仿宋_GB2312" w:hAnsi="仿宋_GB2312" w:cs="仿宋_GB2312"/>
          <w:kern w:val="2"/>
          <w:szCs w:val="32"/>
          <w:highlight w:val="none"/>
          <w:lang w:val="en-US" w:eastAsia="zh-CN"/>
        </w:rPr>
        <w:t>、</w:t>
      </w:r>
      <w:r>
        <w:rPr>
          <w:rFonts w:hint="eastAsia" w:ascii="仿宋_GB2312" w:hAnsi="仿宋_GB2312" w:cs="仿宋_GB2312"/>
          <w:kern w:val="2"/>
          <w:szCs w:val="32"/>
          <w:highlight w:val="none"/>
        </w:rPr>
        <w:t>2021年治理类乡镇市级补助项目</w:t>
      </w:r>
      <w:r>
        <w:rPr>
          <w:rFonts w:hint="eastAsia" w:ascii="仿宋_GB2312" w:hAnsi="仿宋_GB2312" w:cs="仿宋_GB2312"/>
          <w:kern w:val="2"/>
          <w:szCs w:val="32"/>
          <w:highlight w:val="none"/>
          <w:lang w:val="en-US" w:eastAsia="zh-CN"/>
        </w:rPr>
        <w:t>和</w:t>
      </w:r>
      <w:r>
        <w:rPr>
          <w:rFonts w:hint="eastAsia" w:ascii="仿宋_GB2312" w:hAnsi="仿宋_GB2312" w:cs="仿宋_GB2312"/>
          <w:kern w:val="2"/>
          <w:szCs w:val="32"/>
          <w:highlight w:val="none"/>
        </w:rPr>
        <w:t>2021年治理类乡镇市级补助项目</w:t>
      </w:r>
      <w:r>
        <w:rPr>
          <w:rFonts w:hint="eastAsia" w:ascii="仿宋_GB2312" w:hAnsi="仿宋_GB2312" w:cs="仿宋_GB2312"/>
          <w:kern w:val="2"/>
          <w:szCs w:val="32"/>
          <w:highlight w:val="none"/>
          <w:lang w:val="en-US" w:eastAsia="zh-CN"/>
        </w:rPr>
        <w:t>2024年合计到镇财政770.47万元，已于2024年12月31日前全部支出，执行率为100.00%。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5" w:name="_Toc145085513"/>
      <w:r>
        <w:rPr>
          <w:rFonts w:hint="eastAsia" w:ascii="楷体_GB2312" w:hAnsi="楷体_GB2312" w:eastAsia="楷体_GB2312" w:cs="楷体_GB2312"/>
          <w:sz w:val="32"/>
          <w:szCs w:val="32"/>
          <w:lang w:val="en-US" w:eastAsia="zh-CN"/>
        </w:rPr>
        <w:t>（二）项目绩效目标</w:t>
      </w:r>
      <w:bookmarkEnd w:id="5"/>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rPr>
      </w:pPr>
      <w:r>
        <w:rPr>
          <w:rFonts w:hint="eastAsia" w:ascii="仿宋_GB2312" w:hAnsi="仿宋_GB2312" w:cs="仿宋_GB2312"/>
          <w:kern w:val="2"/>
          <w:szCs w:val="32"/>
        </w:rPr>
        <w:t>1.总体目标</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eastAsia="仿宋_GB2312" w:cs="仿宋_GB2312"/>
          <w:kern w:val="2"/>
          <w:szCs w:val="32"/>
          <w:lang w:val="en-US" w:eastAsia="zh-CN"/>
        </w:rPr>
      </w:pPr>
      <w:r>
        <w:rPr>
          <w:rFonts w:hint="eastAsia" w:ascii="仿宋_GB2312" w:hAnsi="仿宋_GB2312" w:cs="仿宋_GB2312"/>
          <w:kern w:val="2"/>
          <w:szCs w:val="32"/>
        </w:rPr>
        <w:t>马驹桥镇政府为落实“提高精细化管理水平”的工作要求，从群众需求和城市治理的突出问题出发，将主动治理与“接诉即办”“未诉先办”相结合，优先利用资金突击解决辖区内各小区面临的紧迫性、严重性影响民生的问题。</w:t>
      </w:r>
      <w:r>
        <w:rPr>
          <w:rFonts w:hint="eastAsia" w:ascii="仿宋_GB2312" w:hAnsi="仿宋_GB2312" w:cs="仿宋_GB2312"/>
          <w:kern w:val="2"/>
          <w:szCs w:val="32"/>
          <w:lang w:val="en-US" w:eastAsia="zh-CN"/>
        </w:rPr>
        <w:t>2020年实施治理类乡镇补助资金支持项目共计12项，涉及辛屯小区、宏仁家园、神龙潼关小区、神龙自成小区、商业街、小杜社村、西马各庄村等社区、村居，项目集中在环境治理、道路维修、雨水管线维修、公服设施改造等项目；2021年</w:t>
      </w:r>
      <w:r>
        <w:rPr>
          <w:rFonts w:hint="eastAsia" w:ascii="仿宋_GB2312" w:hAnsi="仿宋_GB2312" w:cs="仿宋_GB2312"/>
          <w:kern w:val="2"/>
          <w:szCs w:val="32"/>
        </w:rPr>
        <w:t>实施治理类乡镇补助资金支持项目共计16项，涉及辛屯小区、金桥花园、神龙潼关小区、神龙自成小区、商业街、一街村、二街村、漷马路旧线等社区、村居、道路，项目实施内容集中在环境治理、道路维修、雨水管线维修、公服设施改造等</w:t>
      </w:r>
      <w:r>
        <w:rPr>
          <w:rFonts w:hint="eastAsia" w:ascii="仿宋_GB2312" w:hAnsi="仿宋_GB2312" w:cs="仿宋_GB2312"/>
          <w:kern w:val="2"/>
          <w:szCs w:val="32"/>
          <w:lang w:eastAsia="zh-CN"/>
        </w:rPr>
        <w:t>；</w:t>
      </w:r>
      <w:r>
        <w:rPr>
          <w:rFonts w:hint="eastAsia" w:ascii="仿宋_GB2312" w:hAnsi="仿宋_GB2312" w:cs="仿宋_GB2312"/>
          <w:kern w:val="2"/>
          <w:szCs w:val="32"/>
          <w:lang w:val="en-US" w:eastAsia="zh-CN"/>
        </w:rPr>
        <w:t>2022年</w:t>
      </w:r>
      <w:r>
        <w:rPr>
          <w:rFonts w:hint="eastAsia" w:ascii="仿宋_GB2312" w:hAnsi="仿宋_GB2312" w:cs="仿宋_GB2312"/>
          <w:kern w:val="2"/>
          <w:szCs w:val="32"/>
        </w:rPr>
        <w:t>实施治理类乡镇补助资金支持项目共计</w:t>
      </w:r>
      <w:r>
        <w:rPr>
          <w:rFonts w:hint="eastAsia" w:ascii="仿宋_GB2312" w:hAnsi="仿宋_GB2312" w:cs="仿宋_GB2312"/>
          <w:kern w:val="2"/>
          <w:szCs w:val="32"/>
          <w:lang w:val="en-US" w:eastAsia="zh-CN"/>
        </w:rPr>
        <w:t>18</w:t>
      </w:r>
      <w:r>
        <w:rPr>
          <w:rFonts w:hint="eastAsia" w:ascii="仿宋_GB2312" w:hAnsi="仿宋_GB2312" w:cs="仿宋_GB2312"/>
          <w:kern w:val="2"/>
          <w:szCs w:val="32"/>
        </w:rPr>
        <w:t>项，涉及</w:t>
      </w:r>
      <w:r>
        <w:rPr>
          <w:rFonts w:hint="eastAsia" w:ascii="仿宋_GB2312" w:hAnsi="仿宋_GB2312" w:cs="仿宋_GB2312"/>
          <w:szCs w:val="32"/>
        </w:rPr>
        <w:t>辛屯四合院</w:t>
      </w:r>
      <w:r>
        <w:rPr>
          <w:rFonts w:hint="eastAsia" w:ascii="仿宋_GB2312" w:hAnsi="仿宋_GB2312" w:cs="仿宋_GB2312"/>
          <w:kern w:val="2"/>
          <w:szCs w:val="32"/>
        </w:rPr>
        <w:t>、</w:t>
      </w:r>
      <w:r>
        <w:rPr>
          <w:rFonts w:hint="eastAsia" w:ascii="仿宋_GB2312" w:hAnsi="仿宋_GB2312" w:cs="仿宋_GB2312"/>
          <w:szCs w:val="32"/>
        </w:rPr>
        <w:t>怡静园小区</w:t>
      </w:r>
      <w:r>
        <w:rPr>
          <w:rFonts w:hint="eastAsia" w:ascii="仿宋_GB2312" w:hAnsi="仿宋_GB2312" w:cs="仿宋_GB2312"/>
          <w:kern w:val="2"/>
          <w:szCs w:val="32"/>
        </w:rPr>
        <w:t>、</w:t>
      </w:r>
      <w:r>
        <w:rPr>
          <w:rFonts w:hint="eastAsia" w:ascii="仿宋_GB2312" w:hAnsi="仿宋_GB2312" w:cs="仿宋_GB2312"/>
          <w:szCs w:val="32"/>
        </w:rPr>
        <w:t>商业街小区</w:t>
      </w:r>
      <w:r>
        <w:rPr>
          <w:rFonts w:hint="eastAsia" w:ascii="仿宋_GB2312" w:hAnsi="仿宋_GB2312" w:cs="仿宋_GB2312"/>
          <w:szCs w:val="32"/>
          <w:lang w:eastAsia="zh-CN"/>
        </w:rPr>
        <w:t>、</w:t>
      </w:r>
      <w:r>
        <w:rPr>
          <w:rFonts w:hint="eastAsia" w:ascii="仿宋_GB2312" w:hAnsi="仿宋_GB2312" w:cs="仿宋_GB2312"/>
          <w:szCs w:val="32"/>
        </w:rPr>
        <w:t>神龙坚桥</w:t>
      </w:r>
      <w:r>
        <w:rPr>
          <w:rFonts w:hint="eastAsia" w:ascii="仿宋_GB2312" w:hAnsi="仿宋_GB2312" w:cs="仿宋_GB2312"/>
          <w:szCs w:val="32"/>
          <w:lang w:eastAsia="zh-CN"/>
        </w:rPr>
        <w:t>、</w:t>
      </w:r>
      <w:r>
        <w:rPr>
          <w:rFonts w:hint="eastAsia" w:ascii="仿宋_GB2312" w:hAnsi="仿宋_GB2312" w:cs="仿宋_GB2312"/>
          <w:szCs w:val="32"/>
        </w:rPr>
        <w:t>小周易村</w:t>
      </w:r>
      <w:r>
        <w:rPr>
          <w:rFonts w:hint="eastAsia" w:ascii="仿宋_GB2312" w:hAnsi="仿宋_GB2312" w:cs="仿宋_GB2312"/>
          <w:szCs w:val="32"/>
          <w:lang w:eastAsia="zh-CN"/>
        </w:rPr>
        <w:t>、</w:t>
      </w:r>
      <w:r>
        <w:rPr>
          <w:rFonts w:hint="eastAsia" w:ascii="仿宋_GB2312" w:hAnsi="仿宋_GB2312" w:cs="仿宋_GB2312"/>
          <w:szCs w:val="32"/>
        </w:rPr>
        <w:t>西马各庄村</w:t>
      </w:r>
      <w:r>
        <w:rPr>
          <w:rFonts w:hint="eastAsia" w:ascii="仿宋_GB2312" w:hAnsi="仿宋_GB2312" w:cs="仿宋_GB2312"/>
          <w:szCs w:val="32"/>
          <w:lang w:eastAsia="zh-CN"/>
        </w:rPr>
        <w:t>、</w:t>
      </w:r>
      <w:r>
        <w:rPr>
          <w:rFonts w:hint="eastAsia" w:ascii="仿宋_GB2312" w:hAnsi="仿宋_GB2312" w:cs="仿宋_GB2312"/>
          <w:szCs w:val="32"/>
        </w:rPr>
        <w:t>南小营村</w:t>
      </w:r>
      <w:r>
        <w:rPr>
          <w:rFonts w:hint="eastAsia" w:ascii="仿宋_GB2312" w:hAnsi="仿宋_GB2312" w:cs="仿宋_GB2312"/>
          <w:szCs w:val="32"/>
          <w:lang w:eastAsia="zh-CN"/>
        </w:rPr>
        <w:t>、</w:t>
      </w:r>
      <w:r>
        <w:rPr>
          <w:rFonts w:hint="eastAsia" w:ascii="仿宋_GB2312" w:hAnsi="仿宋_GB2312" w:cs="仿宋_GB2312"/>
          <w:szCs w:val="32"/>
        </w:rPr>
        <w:t>东田阳村</w:t>
      </w:r>
      <w:r>
        <w:rPr>
          <w:rFonts w:hint="eastAsia" w:ascii="仿宋_GB2312" w:hAnsi="仿宋_GB2312" w:cs="仿宋_GB2312"/>
          <w:szCs w:val="32"/>
          <w:lang w:eastAsia="zh-CN"/>
        </w:rPr>
        <w:t>、</w:t>
      </w:r>
      <w:r>
        <w:rPr>
          <w:rFonts w:hint="eastAsia" w:ascii="仿宋_GB2312" w:hAnsi="仿宋_GB2312" w:cs="仿宋_GB2312"/>
          <w:szCs w:val="32"/>
        </w:rPr>
        <w:t>大松垡村</w:t>
      </w:r>
      <w:r>
        <w:rPr>
          <w:rFonts w:hint="eastAsia" w:ascii="仿宋_GB2312" w:hAnsi="仿宋_GB2312" w:cs="仿宋_GB2312"/>
          <w:szCs w:val="32"/>
          <w:lang w:eastAsia="zh-CN"/>
        </w:rPr>
        <w:t>、</w:t>
      </w:r>
      <w:r>
        <w:rPr>
          <w:rFonts w:hint="eastAsia" w:ascii="仿宋_GB2312" w:hAnsi="仿宋_GB2312" w:cs="仿宋_GB2312"/>
          <w:szCs w:val="32"/>
        </w:rPr>
        <w:t>陈各庄村</w:t>
      </w:r>
      <w:r>
        <w:rPr>
          <w:rFonts w:hint="eastAsia" w:ascii="仿宋_GB2312" w:hAnsi="仿宋_GB2312" w:cs="仿宋_GB2312"/>
          <w:kern w:val="2"/>
          <w:szCs w:val="32"/>
        </w:rPr>
        <w:t>等社区、村居，项目实施内容集中在环境治理、道路维修、雨水管线维修、公服设施改造等</w:t>
      </w:r>
      <w:r>
        <w:rPr>
          <w:rFonts w:hint="eastAsia" w:ascii="仿宋_GB2312" w:hAnsi="仿宋_GB2312" w:cs="仿宋_GB2312"/>
          <w:kern w:val="2"/>
          <w:szCs w:val="32"/>
          <w:lang w:eastAsia="zh-CN"/>
        </w:rPr>
        <w:t>。</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lang w:val="en-US" w:eastAsia="zh-CN"/>
        </w:rPr>
      </w:pPr>
      <w:r>
        <w:rPr>
          <w:rFonts w:hint="eastAsia" w:ascii="仿宋_GB2312" w:hAnsi="仿宋_GB2312" w:cs="仿宋_GB2312"/>
          <w:kern w:val="2"/>
          <w:szCs w:val="32"/>
          <w:lang w:val="en-US" w:eastAsia="zh-CN"/>
        </w:rPr>
        <w:t>2.项目绩效阶段性目标</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default" w:ascii="仿宋_GB2312" w:hAnsi="仿宋_GB2312" w:cs="仿宋_GB2312"/>
          <w:kern w:val="2"/>
          <w:szCs w:val="32"/>
          <w:lang w:val="en-US" w:eastAsia="zh-CN"/>
        </w:rPr>
      </w:pPr>
      <w:r>
        <w:rPr>
          <w:rFonts w:hint="eastAsia" w:ascii="仿宋_GB2312" w:hAnsi="仿宋_GB2312" w:cs="仿宋_GB2312"/>
          <w:kern w:val="2"/>
          <w:szCs w:val="32"/>
          <w:lang w:val="en-US" w:eastAsia="zh-CN"/>
        </w:rPr>
        <w:t>数量指标：2020年治理类乡镇补助资金支持项目共计12项，涉及辛屯小区、宏仁家园、神龙潼关小区、神龙自成小区、商业街、小杜社村、西马各庄村等社区、村居，项目集中在环境治理、道路维修、雨水管线维修、公服设施改造等项目。2021年治理类乡镇市级补助资金支持项目共计16项，涉及辛屯小区、金桥花园小区、神龙潼关小区、神龙自成小区、商业街、一街村、二街村、漷马路旧线等社区、村居、道路，项目集中在环境治理、道路维修、雨水管线维修、公服设施改造等项目。2022年</w:t>
      </w:r>
      <w:r>
        <w:rPr>
          <w:rFonts w:hint="eastAsia" w:ascii="仿宋_GB2312" w:hAnsi="仿宋_GB2312" w:cs="仿宋_GB2312"/>
          <w:kern w:val="2"/>
          <w:szCs w:val="32"/>
        </w:rPr>
        <w:t>实施治理类乡镇补助资金支持项目共计</w:t>
      </w:r>
      <w:r>
        <w:rPr>
          <w:rFonts w:hint="eastAsia" w:ascii="仿宋_GB2312" w:hAnsi="仿宋_GB2312" w:cs="仿宋_GB2312"/>
          <w:kern w:val="2"/>
          <w:szCs w:val="32"/>
          <w:lang w:val="en-US" w:eastAsia="zh-CN"/>
        </w:rPr>
        <w:t>18</w:t>
      </w:r>
      <w:r>
        <w:rPr>
          <w:rFonts w:hint="eastAsia" w:ascii="仿宋_GB2312" w:hAnsi="仿宋_GB2312" w:cs="仿宋_GB2312"/>
          <w:kern w:val="2"/>
          <w:szCs w:val="32"/>
        </w:rPr>
        <w:t>项，涉及</w:t>
      </w:r>
      <w:r>
        <w:rPr>
          <w:rFonts w:hint="eastAsia" w:ascii="仿宋_GB2312" w:hAnsi="仿宋_GB2312" w:cs="仿宋_GB2312"/>
          <w:szCs w:val="32"/>
        </w:rPr>
        <w:t>辛屯四合院</w:t>
      </w:r>
      <w:r>
        <w:rPr>
          <w:rFonts w:hint="eastAsia" w:ascii="仿宋_GB2312" w:hAnsi="仿宋_GB2312" w:cs="仿宋_GB2312"/>
          <w:kern w:val="2"/>
          <w:szCs w:val="32"/>
        </w:rPr>
        <w:t>、</w:t>
      </w:r>
      <w:r>
        <w:rPr>
          <w:rFonts w:hint="eastAsia" w:ascii="仿宋_GB2312" w:hAnsi="仿宋_GB2312" w:cs="仿宋_GB2312"/>
          <w:szCs w:val="32"/>
        </w:rPr>
        <w:t>怡静园小区</w:t>
      </w:r>
      <w:r>
        <w:rPr>
          <w:rFonts w:hint="eastAsia" w:ascii="仿宋_GB2312" w:hAnsi="仿宋_GB2312" w:cs="仿宋_GB2312"/>
          <w:kern w:val="2"/>
          <w:szCs w:val="32"/>
        </w:rPr>
        <w:t>、</w:t>
      </w:r>
      <w:r>
        <w:rPr>
          <w:rFonts w:hint="eastAsia" w:ascii="仿宋_GB2312" w:hAnsi="仿宋_GB2312" w:cs="仿宋_GB2312"/>
          <w:szCs w:val="32"/>
        </w:rPr>
        <w:t>商业街小区</w:t>
      </w:r>
      <w:r>
        <w:rPr>
          <w:rFonts w:hint="eastAsia" w:ascii="仿宋_GB2312" w:hAnsi="仿宋_GB2312" w:cs="仿宋_GB2312"/>
          <w:szCs w:val="32"/>
          <w:lang w:eastAsia="zh-CN"/>
        </w:rPr>
        <w:t>、</w:t>
      </w:r>
      <w:r>
        <w:rPr>
          <w:rFonts w:hint="eastAsia" w:ascii="仿宋_GB2312" w:hAnsi="仿宋_GB2312" w:cs="仿宋_GB2312"/>
          <w:szCs w:val="32"/>
        </w:rPr>
        <w:t>神龙坚桥</w:t>
      </w:r>
      <w:r>
        <w:rPr>
          <w:rFonts w:hint="eastAsia" w:ascii="仿宋_GB2312" w:hAnsi="仿宋_GB2312" w:cs="仿宋_GB2312"/>
          <w:szCs w:val="32"/>
          <w:lang w:eastAsia="zh-CN"/>
        </w:rPr>
        <w:t>、</w:t>
      </w:r>
      <w:r>
        <w:rPr>
          <w:rFonts w:hint="eastAsia" w:ascii="仿宋_GB2312" w:hAnsi="仿宋_GB2312" w:cs="仿宋_GB2312"/>
          <w:szCs w:val="32"/>
        </w:rPr>
        <w:t>小周易村</w:t>
      </w:r>
      <w:r>
        <w:rPr>
          <w:rFonts w:hint="eastAsia" w:ascii="仿宋_GB2312" w:hAnsi="仿宋_GB2312" w:cs="仿宋_GB2312"/>
          <w:szCs w:val="32"/>
          <w:lang w:eastAsia="zh-CN"/>
        </w:rPr>
        <w:t>、</w:t>
      </w:r>
      <w:r>
        <w:rPr>
          <w:rFonts w:hint="eastAsia" w:ascii="仿宋_GB2312" w:hAnsi="仿宋_GB2312" w:cs="仿宋_GB2312"/>
          <w:szCs w:val="32"/>
        </w:rPr>
        <w:t>西马各庄村</w:t>
      </w:r>
      <w:r>
        <w:rPr>
          <w:rFonts w:hint="eastAsia" w:ascii="仿宋_GB2312" w:hAnsi="仿宋_GB2312" w:cs="仿宋_GB2312"/>
          <w:szCs w:val="32"/>
          <w:lang w:eastAsia="zh-CN"/>
        </w:rPr>
        <w:t>、</w:t>
      </w:r>
      <w:r>
        <w:rPr>
          <w:rFonts w:hint="eastAsia" w:ascii="仿宋_GB2312" w:hAnsi="仿宋_GB2312" w:cs="仿宋_GB2312"/>
          <w:szCs w:val="32"/>
        </w:rPr>
        <w:t>南小营村</w:t>
      </w:r>
      <w:r>
        <w:rPr>
          <w:rFonts w:hint="eastAsia" w:ascii="仿宋_GB2312" w:hAnsi="仿宋_GB2312" w:cs="仿宋_GB2312"/>
          <w:szCs w:val="32"/>
          <w:lang w:eastAsia="zh-CN"/>
        </w:rPr>
        <w:t>、</w:t>
      </w:r>
      <w:r>
        <w:rPr>
          <w:rFonts w:hint="eastAsia" w:ascii="仿宋_GB2312" w:hAnsi="仿宋_GB2312" w:cs="仿宋_GB2312"/>
          <w:szCs w:val="32"/>
        </w:rPr>
        <w:t>东田阳村</w:t>
      </w:r>
      <w:r>
        <w:rPr>
          <w:rFonts w:hint="eastAsia" w:ascii="仿宋_GB2312" w:hAnsi="仿宋_GB2312" w:cs="仿宋_GB2312"/>
          <w:szCs w:val="32"/>
          <w:lang w:eastAsia="zh-CN"/>
        </w:rPr>
        <w:t>、</w:t>
      </w:r>
      <w:r>
        <w:rPr>
          <w:rFonts w:hint="eastAsia" w:ascii="仿宋_GB2312" w:hAnsi="仿宋_GB2312" w:cs="仿宋_GB2312"/>
          <w:szCs w:val="32"/>
        </w:rPr>
        <w:t>大松垡村</w:t>
      </w:r>
      <w:r>
        <w:rPr>
          <w:rFonts w:hint="eastAsia" w:ascii="仿宋_GB2312" w:hAnsi="仿宋_GB2312" w:cs="仿宋_GB2312"/>
          <w:szCs w:val="32"/>
          <w:lang w:eastAsia="zh-CN"/>
        </w:rPr>
        <w:t>、</w:t>
      </w:r>
      <w:r>
        <w:rPr>
          <w:rFonts w:hint="eastAsia" w:ascii="仿宋_GB2312" w:hAnsi="仿宋_GB2312" w:cs="仿宋_GB2312"/>
          <w:szCs w:val="32"/>
        </w:rPr>
        <w:t>陈各庄村</w:t>
      </w:r>
      <w:r>
        <w:rPr>
          <w:rFonts w:hint="eastAsia" w:ascii="仿宋_GB2312" w:hAnsi="仿宋_GB2312" w:cs="仿宋_GB2312"/>
          <w:kern w:val="2"/>
          <w:szCs w:val="32"/>
        </w:rPr>
        <w:t>等社区、村居，项目实施内容集中在环境治理、道路维修、雨水管线维修、公服设施改造</w:t>
      </w:r>
      <w:r>
        <w:rPr>
          <w:rFonts w:hint="eastAsia" w:ascii="仿宋_GB2312" w:hAnsi="仿宋_GB2312" w:cs="仿宋_GB2312"/>
          <w:kern w:val="2"/>
          <w:szCs w:val="32"/>
          <w:lang w:val="en-US" w:eastAsia="zh-CN"/>
        </w:rPr>
        <w:t>等项目。总计46项，完成结算并申请资金拨付37项。</w:t>
      </w:r>
    </w:p>
    <w:p>
      <w:pPr>
        <w:pStyle w:val="18"/>
        <w:pageBreakBefore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highlight w:val="none"/>
        </w:rPr>
      </w:pPr>
      <w:r>
        <w:rPr>
          <w:rFonts w:hint="eastAsia" w:ascii="仿宋_GB2312" w:hAnsi="仿宋_GB2312" w:cs="仿宋_GB2312"/>
          <w:kern w:val="2"/>
          <w:szCs w:val="32"/>
          <w:highlight w:val="none"/>
        </w:rPr>
        <w:t>质量指标：项目竣工验收合格率</w:t>
      </w:r>
      <w:r>
        <w:rPr>
          <w:rFonts w:hint="eastAsia" w:ascii="仿宋_GB2312" w:hAnsi="仿宋_GB2312" w:cs="仿宋_GB2312"/>
          <w:kern w:val="2"/>
          <w:szCs w:val="32"/>
          <w:highlight w:val="none"/>
          <w:lang w:val="en-US" w:eastAsia="zh-CN"/>
        </w:rPr>
        <w:t>100.00%</w:t>
      </w:r>
      <w:r>
        <w:rPr>
          <w:rFonts w:hint="eastAsia" w:ascii="仿宋_GB2312" w:hAnsi="仿宋_GB2312" w:cs="仿宋_GB2312"/>
          <w:kern w:val="2"/>
          <w:szCs w:val="32"/>
          <w:highlight w:val="none"/>
        </w:rPr>
        <w:t>。</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default" w:ascii="仿宋_GB2312" w:hAnsi="仿宋_GB2312" w:cs="仿宋_GB2312"/>
          <w:kern w:val="2"/>
          <w:szCs w:val="32"/>
          <w:highlight w:val="none"/>
          <w:lang w:val="en-US"/>
        </w:rPr>
      </w:pPr>
      <w:r>
        <w:rPr>
          <w:rFonts w:hint="eastAsia" w:ascii="仿宋_GB2312" w:hAnsi="仿宋_GB2312" w:cs="仿宋_GB2312"/>
          <w:kern w:val="2"/>
          <w:szCs w:val="32"/>
          <w:highlight w:val="none"/>
        </w:rPr>
        <w:t>时效指标：</w:t>
      </w:r>
      <w:r>
        <w:rPr>
          <w:rFonts w:hint="eastAsia" w:ascii="仿宋_GB2312" w:hAnsi="仿宋_GB2312" w:cs="仿宋_GB2312"/>
          <w:kern w:val="2"/>
          <w:szCs w:val="32"/>
          <w:highlight w:val="none"/>
          <w:lang w:val="en-US" w:eastAsia="zh-CN"/>
        </w:rPr>
        <w:t>工程进度完成100.00%。</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default" w:ascii="仿宋_GB2312" w:hAnsi="仿宋_GB2312" w:cs="仿宋_GB2312"/>
          <w:kern w:val="2"/>
          <w:szCs w:val="32"/>
          <w:highlight w:val="none"/>
          <w:lang w:val="en-US" w:eastAsia="zh-CN"/>
        </w:rPr>
      </w:pPr>
      <w:r>
        <w:rPr>
          <w:rFonts w:hint="eastAsia" w:ascii="仿宋_GB2312" w:hAnsi="仿宋_GB2312" w:cs="仿宋_GB2312"/>
          <w:kern w:val="2"/>
          <w:szCs w:val="32"/>
          <w:highlight w:val="none"/>
          <w:lang w:val="en-US" w:eastAsia="zh-CN"/>
        </w:rPr>
        <w:t>成本指标：项目总投资不超批复概算。</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default" w:ascii="仿宋_GB2312" w:hAnsi="仿宋_GB2312" w:cs="仿宋_GB2312"/>
          <w:kern w:val="2"/>
          <w:szCs w:val="32"/>
          <w:highlight w:val="none"/>
          <w:lang w:val="en-US" w:eastAsia="zh-CN"/>
        </w:rPr>
      </w:pPr>
      <w:r>
        <w:rPr>
          <w:rFonts w:hint="eastAsia" w:ascii="仿宋_GB2312" w:hAnsi="仿宋_GB2312" w:cs="仿宋_GB2312"/>
          <w:kern w:val="2"/>
          <w:szCs w:val="32"/>
          <w:highlight w:val="none"/>
          <w:lang w:val="en-US" w:eastAsia="zh-CN"/>
        </w:rPr>
        <w:t>经济效益指标：无</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eastAsia="仿宋_GB2312" w:cs="仿宋_GB2312"/>
          <w:kern w:val="2"/>
          <w:szCs w:val="32"/>
          <w:highlight w:val="none"/>
          <w:lang w:val="en-US" w:eastAsia="zh-CN"/>
        </w:rPr>
      </w:pPr>
      <w:r>
        <w:rPr>
          <w:rFonts w:hint="eastAsia" w:ascii="仿宋_GB2312" w:hAnsi="仿宋_GB2312" w:cs="仿宋_GB2312"/>
          <w:kern w:val="2"/>
          <w:szCs w:val="32"/>
          <w:highlight w:val="none"/>
          <w:lang w:val="en-US" w:eastAsia="zh-CN"/>
        </w:rPr>
        <w:t>社会效益指标：</w:t>
      </w:r>
      <w:r>
        <w:rPr>
          <w:rFonts w:hint="eastAsia" w:ascii="仿宋_GB2312" w:hAnsi="仿宋_GB2312" w:cs="仿宋_GB2312"/>
          <w:kern w:val="2"/>
          <w:szCs w:val="32"/>
          <w:highlight w:val="none"/>
        </w:rPr>
        <w:t>有效提高居民出行条件</w:t>
      </w:r>
      <w:r>
        <w:rPr>
          <w:rFonts w:hint="eastAsia" w:ascii="仿宋_GB2312" w:hAnsi="仿宋_GB2312" w:cs="仿宋_GB2312"/>
          <w:kern w:val="2"/>
          <w:szCs w:val="32"/>
          <w:highlight w:val="none"/>
          <w:lang w:val="en-US" w:eastAsia="zh-CN"/>
        </w:rPr>
        <w:t>和居民居住环境</w:t>
      </w:r>
      <w:r>
        <w:rPr>
          <w:rFonts w:hint="eastAsia" w:ascii="仿宋_GB2312" w:hAnsi="仿宋_GB2312" w:cs="仿宋_GB2312"/>
          <w:kern w:val="2"/>
          <w:szCs w:val="32"/>
          <w:highlight w:val="none"/>
          <w:lang w:eastAsia="zh-CN"/>
        </w:rPr>
        <w:t>。</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eastAsia="仿宋_GB2312" w:cs="仿宋_GB2312"/>
          <w:kern w:val="2"/>
          <w:szCs w:val="32"/>
          <w:highlight w:val="none"/>
          <w:lang w:val="en-US" w:eastAsia="zh-CN"/>
        </w:rPr>
      </w:pPr>
      <w:r>
        <w:rPr>
          <w:rFonts w:hint="eastAsia" w:ascii="仿宋_GB2312" w:hAnsi="仿宋_GB2312" w:cs="仿宋_GB2312"/>
          <w:kern w:val="2"/>
          <w:szCs w:val="32"/>
          <w:highlight w:val="none"/>
          <w:lang w:val="en-US" w:eastAsia="zh-CN"/>
        </w:rPr>
        <w:t>生态效益指标：</w:t>
      </w:r>
      <w:r>
        <w:rPr>
          <w:rFonts w:hint="eastAsia" w:ascii="仿宋_GB2312" w:hAnsi="仿宋_GB2312" w:cs="仿宋_GB2312"/>
          <w:kern w:val="2"/>
          <w:szCs w:val="32"/>
          <w:highlight w:val="none"/>
        </w:rPr>
        <w:t>有效降低居民生活环境，避免噪声污染</w:t>
      </w:r>
      <w:r>
        <w:rPr>
          <w:rFonts w:hint="eastAsia" w:ascii="仿宋_GB2312" w:hAnsi="仿宋_GB2312" w:cs="仿宋_GB2312"/>
          <w:kern w:val="2"/>
          <w:szCs w:val="32"/>
          <w:highlight w:val="none"/>
          <w:lang w:eastAsia="zh-CN"/>
        </w:rPr>
        <w:t>。</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eastAsia="仿宋_GB2312" w:cs="仿宋_GB2312"/>
          <w:kern w:val="2"/>
          <w:szCs w:val="32"/>
          <w:highlight w:val="none"/>
          <w:lang w:val="en-US" w:eastAsia="zh-CN"/>
        </w:rPr>
      </w:pPr>
      <w:r>
        <w:rPr>
          <w:rFonts w:hint="eastAsia" w:ascii="仿宋_GB2312" w:hAnsi="仿宋_GB2312" w:cs="仿宋_GB2312"/>
          <w:kern w:val="2"/>
          <w:szCs w:val="32"/>
          <w:highlight w:val="none"/>
          <w:lang w:val="en-US" w:eastAsia="zh-CN"/>
        </w:rPr>
        <w:t>可持续影响指标：</w:t>
      </w:r>
      <w:r>
        <w:rPr>
          <w:rFonts w:hint="eastAsia" w:ascii="仿宋_GB2312" w:hAnsi="仿宋_GB2312" w:cs="仿宋_GB2312"/>
          <w:kern w:val="2"/>
          <w:szCs w:val="32"/>
          <w:highlight w:val="none"/>
        </w:rPr>
        <w:t>项目持续发挥作用的期限</w:t>
      </w:r>
      <w:r>
        <w:rPr>
          <w:rFonts w:hint="eastAsia" w:ascii="仿宋_GB2312" w:hAnsi="仿宋_GB2312" w:cs="仿宋_GB2312"/>
          <w:kern w:val="2"/>
          <w:szCs w:val="32"/>
          <w:highlight w:val="none"/>
          <w:lang w:val="en-US" w:eastAsia="zh-CN"/>
        </w:rPr>
        <w:t>至少5年</w:t>
      </w:r>
      <w:r>
        <w:rPr>
          <w:rFonts w:hint="eastAsia" w:ascii="仿宋_GB2312" w:hAnsi="仿宋_GB2312" w:cs="仿宋_GB2312"/>
          <w:kern w:val="2"/>
          <w:szCs w:val="32"/>
          <w:highlight w:val="none"/>
          <w:lang w:eastAsia="zh-CN"/>
        </w:rPr>
        <w:t>。</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highlight w:val="none"/>
        </w:rPr>
      </w:pPr>
      <w:r>
        <w:rPr>
          <w:rFonts w:hint="eastAsia" w:ascii="仿宋_GB2312" w:hAnsi="仿宋_GB2312" w:cs="仿宋_GB2312"/>
          <w:kern w:val="2"/>
          <w:szCs w:val="32"/>
          <w:highlight w:val="none"/>
        </w:rPr>
        <w:t>服务对象满意度指标：</w:t>
      </w:r>
      <w:r>
        <w:rPr>
          <w:rFonts w:hint="eastAsia" w:ascii="仿宋_GB2312" w:hAnsi="仿宋_GB2312" w:cs="仿宋_GB2312"/>
          <w:kern w:val="2"/>
          <w:szCs w:val="32"/>
          <w:highlight w:val="none"/>
          <w:lang w:val="en-US" w:eastAsia="zh-CN"/>
        </w:rPr>
        <w:t>居民</w:t>
      </w:r>
      <w:r>
        <w:rPr>
          <w:rFonts w:hint="eastAsia" w:ascii="仿宋_GB2312" w:hAnsi="仿宋_GB2312" w:cs="仿宋_GB2312"/>
          <w:kern w:val="2"/>
          <w:szCs w:val="32"/>
          <w:highlight w:val="none"/>
        </w:rPr>
        <w:t>满意度100</w:t>
      </w:r>
      <w:r>
        <w:rPr>
          <w:rFonts w:hint="eastAsia" w:ascii="仿宋_GB2312" w:hAnsi="仿宋_GB2312" w:cs="仿宋_GB2312"/>
          <w:kern w:val="2"/>
          <w:szCs w:val="32"/>
          <w:highlight w:val="none"/>
          <w:lang w:val="en-US" w:eastAsia="zh-CN"/>
        </w:rPr>
        <w:t>.00</w:t>
      </w:r>
      <w:r>
        <w:rPr>
          <w:rFonts w:hint="eastAsia" w:ascii="仿宋_GB2312" w:hAnsi="仿宋_GB2312" w:cs="仿宋_GB2312"/>
          <w:kern w:val="2"/>
          <w:szCs w:val="32"/>
          <w:highlight w:val="none"/>
        </w:rPr>
        <w:t>%。</w:t>
      </w:r>
    </w:p>
    <w:p>
      <w:pPr>
        <w:pStyle w:val="3"/>
        <w:pageBreakBefore w:val="0"/>
        <w:kinsoku/>
        <w:wordWrap/>
        <w:topLinePunct w:val="0"/>
        <w:autoSpaceDE/>
        <w:autoSpaceDN/>
        <w:bidi w:val="0"/>
        <w:spacing w:line="360" w:lineRule="auto"/>
        <w:ind w:firstLine="643"/>
        <w:jc w:val="left"/>
        <w:textAlignment w:val="auto"/>
      </w:pPr>
      <w:bookmarkStart w:id="6" w:name="_Toc143761461"/>
      <w:bookmarkStart w:id="7" w:name="_Toc145085514"/>
      <w:r>
        <w:rPr>
          <w:rFonts w:hint="eastAsia"/>
        </w:rPr>
        <w:t>二、</w:t>
      </w:r>
      <w:bookmarkEnd w:id="6"/>
      <w:r>
        <w:rPr>
          <w:rFonts w:hint="eastAsia"/>
        </w:rPr>
        <w:t>绩效评价工作开展情况</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8" w:name="_Toc145085515"/>
      <w:r>
        <w:rPr>
          <w:rFonts w:hint="eastAsia" w:ascii="楷体_GB2312" w:hAnsi="楷体_GB2312" w:eastAsia="楷体_GB2312" w:cs="楷体_GB2312"/>
          <w:sz w:val="32"/>
          <w:szCs w:val="32"/>
          <w:lang w:val="en-US" w:eastAsia="zh-CN"/>
        </w:rPr>
        <w:t>（一）绩效评价目的、对象和范围</w:t>
      </w:r>
      <w:bookmarkEnd w:id="8"/>
    </w:p>
    <w:p>
      <w:pPr>
        <w:pStyle w:val="18"/>
        <w:pageBreakBefore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1.绩效评价目的</w:t>
      </w:r>
    </w:p>
    <w:p>
      <w:pPr>
        <w:pStyle w:val="11"/>
        <w:pageBreakBefore w:val="0"/>
        <w:kinsoku/>
        <w:wordWrap/>
        <w:topLinePunct w:val="0"/>
        <w:autoSpaceDE/>
        <w:autoSpaceDN/>
        <w:bidi w:val="0"/>
        <w:adjustRightInd w:val="0"/>
        <w:snapToGrid w:val="0"/>
        <w:spacing w:after="0" w:line="360" w:lineRule="auto"/>
        <w:ind w:left="0" w:leftChars="0" w:firstLine="640"/>
        <w:textAlignment w:val="auto"/>
        <w:rPr>
          <w:rFonts w:ascii="仿宋_GB2312" w:hAnsi="仿宋_GB2312" w:cs="仿宋_GB2312"/>
          <w:szCs w:val="32"/>
        </w:rPr>
      </w:pPr>
      <w:r>
        <w:rPr>
          <w:rFonts w:hint="eastAsia" w:ascii="仿宋_GB2312"/>
          <w:szCs w:val="32"/>
        </w:rPr>
        <w:t>通过绩效评价，衡量和考核项目资金管理、决策和绩效情况，分析项目资金使用是否达到预期目标、管理是否规范、使用是否有效，进一步改进和加强项目资金管理，提高财政资金使用效益。</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2.绩效评价对象和范围</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highlight w:val="none"/>
        </w:rPr>
      </w:pPr>
      <w:r>
        <w:rPr>
          <w:rFonts w:hint="eastAsia" w:ascii="仿宋_GB2312" w:hAnsi="Times New Roman" w:cs="Times New Roman"/>
          <w:kern w:val="2"/>
          <w:szCs w:val="32"/>
          <w:highlight w:val="none"/>
        </w:rPr>
        <w:t>本次绩效评价对象为北京市通州区马驹桥镇人民政府</w:t>
      </w:r>
      <w:r>
        <w:rPr>
          <w:rFonts w:hint="eastAsia" w:ascii="仿宋_GB2312" w:hAnsi="Times New Roman" w:cs="Times New Roman"/>
          <w:kern w:val="2"/>
          <w:szCs w:val="32"/>
          <w:highlight w:val="none"/>
          <w:lang w:val="en-US" w:eastAsia="zh-CN"/>
        </w:rPr>
        <w:t>2020-</w:t>
      </w:r>
      <w:r>
        <w:rPr>
          <w:rFonts w:ascii="仿宋_GB2312" w:hAnsi="Times New Roman" w:cs="Times New Roman"/>
          <w:kern w:val="2"/>
          <w:szCs w:val="32"/>
          <w:highlight w:val="none"/>
        </w:rPr>
        <w:t>202</w:t>
      </w:r>
      <w:r>
        <w:rPr>
          <w:rFonts w:hint="eastAsia" w:ascii="仿宋_GB2312" w:hAnsi="Times New Roman" w:cs="Times New Roman"/>
          <w:kern w:val="2"/>
          <w:szCs w:val="32"/>
          <w:highlight w:val="none"/>
          <w:lang w:val="en-US" w:eastAsia="zh-CN"/>
        </w:rPr>
        <w:t>2</w:t>
      </w:r>
      <w:r>
        <w:rPr>
          <w:rFonts w:hint="eastAsia" w:ascii="仿宋_GB2312" w:hAnsi="Times New Roman" w:cs="Times New Roman"/>
          <w:kern w:val="2"/>
          <w:szCs w:val="32"/>
          <w:highlight w:val="none"/>
        </w:rPr>
        <w:t>年治理类乡镇市级补助项目，涉及评价金额</w:t>
      </w:r>
      <w:r>
        <w:rPr>
          <w:rFonts w:hint="eastAsia" w:ascii="仿宋_GB2312" w:hAnsi="仿宋_GB2312" w:cs="仿宋_GB2312"/>
          <w:kern w:val="2"/>
          <w:szCs w:val="32"/>
          <w:highlight w:val="none"/>
          <w:lang w:val="en-US" w:eastAsia="zh-CN"/>
        </w:rPr>
        <w:t>770.47</w:t>
      </w:r>
      <w:r>
        <w:rPr>
          <w:rFonts w:hint="eastAsia" w:ascii="仿宋_GB2312" w:hAnsi="仿宋_GB2312" w:cs="仿宋_GB2312"/>
          <w:kern w:val="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9" w:name="_Toc145085516"/>
      <w:r>
        <w:rPr>
          <w:rFonts w:hint="eastAsia" w:ascii="楷体_GB2312" w:hAnsi="楷体_GB2312" w:eastAsia="楷体_GB2312" w:cs="楷体_GB2312"/>
          <w:sz w:val="32"/>
          <w:szCs w:val="32"/>
          <w:lang w:val="en-US" w:eastAsia="zh-CN"/>
        </w:rPr>
        <w:t>（二）绩效评价原则、评价指标体系、评价方法、评价标准等</w:t>
      </w:r>
      <w:bookmarkEnd w:id="9"/>
    </w:p>
    <w:p>
      <w:pPr>
        <w:pageBreakBefore w:val="0"/>
        <w:kinsoku/>
        <w:wordWrap/>
        <w:topLinePunct w:val="0"/>
        <w:autoSpaceDE/>
        <w:autoSpaceDN/>
        <w:bidi w:val="0"/>
        <w:spacing w:line="360" w:lineRule="auto"/>
        <w:ind w:firstLine="640"/>
        <w:textAlignment w:val="auto"/>
        <w:rPr>
          <w:rFonts w:ascii="仿宋_GB2312"/>
          <w:bCs/>
          <w:kern w:val="44"/>
          <w:szCs w:val="32"/>
        </w:rPr>
      </w:pPr>
      <w:r>
        <w:rPr>
          <w:rFonts w:hint="eastAsia" w:ascii="仿宋_GB2312"/>
          <w:bCs/>
          <w:kern w:val="44"/>
          <w:szCs w:val="32"/>
        </w:rPr>
        <w:t>绩效评价遵循“科学公正、统筹兼顾、激励约束”等基本原则，</w:t>
      </w:r>
      <w:r>
        <w:rPr>
          <w:rFonts w:ascii="仿宋_GB2312"/>
          <w:bCs/>
          <w:kern w:val="44"/>
          <w:szCs w:val="32"/>
        </w:rPr>
        <w:t>结合项目特点，</w:t>
      </w:r>
      <w:r>
        <w:rPr>
          <w:rFonts w:hint="eastAsia" w:ascii="仿宋_GB2312"/>
          <w:bCs/>
          <w:kern w:val="44"/>
          <w:szCs w:val="32"/>
        </w:rPr>
        <w:t>统一确定了绩效评价项目的</w:t>
      </w:r>
      <w:r>
        <w:rPr>
          <w:rFonts w:ascii="仿宋_GB2312"/>
          <w:bCs/>
          <w:kern w:val="44"/>
          <w:szCs w:val="32"/>
        </w:rPr>
        <w:t>绩效评价指标体系</w:t>
      </w:r>
      <w:r>
        <w:rPr>
          <w:rFonts w:hint="eastAsia" w:ascii="仿宋_GB2312"/>
          <w:bCs/>
          <w:kern w:val="44"/>
          <w:szCs w:val="32"/>
        </w:rPr>
        <w:t>。评价指标以《北京市通州区项目支出绩效评价管理办法》（通财绩效发〔2023〕37号）的“项目支出绩效评价指标体系框架”为主要参考，结合项目特点，设置</w:t>
      </w:r>
      <w:r>
        <w:rPr>
          <w:rFonts w:hint="eastAsia" w:ascii="仿宋_GB2312"/>
          <w:bCs/>
          <w:kern w:val="44"/>
          <w:szCs w:val="32"/>
          <w:lang w:val="en-US" w:eastAsia="zh-CN"/>
        </w:rPr>
        <w:t>3</w:t>
      </w:r>
      <w:r>
        <w:rPr>
          <w:rFonts w:hint="eastAsia" w:ascii="仿宋_GB2312"/>
          <w:bCs/>
          <w:kern w:val="44"/>
          <w:szCs w:val="32"/>
        </w:rPr>
        <w:t>项一级指标、</w:t>
      </w:r>
      <w:r>
        <w:rPr>
          <w:rFonts w:hint="eastAsia" w:ascii="仿宋_GB2312"/>
          <w:bCs/>
          <w:kern w:val="44"/>
          <w:szCs w:val="32"/>
          <w:lang w:val="en-US" w:eastAsia="zh-CN"/>
        </w:rPr>
        <w:t>9</w:t>
      </w:r>
      <w:r>
        <w:rPr>
          <w:rFonts w:hint="eastAsia" w:ascii="仿宋_GB2312"/>
          <w:bCs/>
          <w:kern w:val="44"/>
          <w:szCs w:val="32"/>
        </w:rPr>
        <w:t>项二级指标、</w:t>
      </w:r>
      <w:r>
        <w:rPr>
          <w:rFonts w:hint="eastAsia" w:ascii="仿宋_GB2312"/>
          <w:bCs/>
          <w:kern w:val="44"/>
          <w:szCs w:val="32"/>
          <w:lang w:val="en-US" w:eastAsia="zh-CN"/>
        </w:rPr>
        <w:t>9</w:t>
      </w:r>
      <w:r>
        <w:rPr>
          <w:rFonts w:hint="eastAsia" w:ascii="仿宋_GB2312"/>
          <w:bCs/>
          <w:kern w:val="44"/>
          <w:szCs w:val="32"/>
        </w:rPr>
        <w:t>项三级指标。</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rPr>
      </w:pPr>
      <w:r>
        <w:rPr>
          <w:rFonts w:hint="eastAsia" w:ascii="仿宋_GB2312" w:hAnsi="Times New Roman" w:cs="Times New Roman"/>
          <w:bCs/>
          <w:kern w:val="44"/>
          <w:szCs w:val="32"/>
        </w:rPr>
        <w:t>本次绩效评价通过政策研究、比较分析</w:t>
      </w:r>
      <w:r>
        <w:rPr>
          <w:rFonts w:hint="eastAsia" w:ascii="仿宋_GB2312" w:hAnsi="Times New Roman" w:cs="Times New Roman"/>
          <w:bCs/>
          <w:kern w:val="44"/>
          <w:szCs w:val="32"/>
          <w:lang w:eastAsia="zh-CN"/>
        </w:rPr>
        <w:t>、</w:t>
      </w:r>
      <w:r>
        <w:rPr>
          <w:rFonts w:hint="eastAsia" w:ascii="仿宋_GB2312" w:hAnsi="Times New Roman" w:cs="Times New Roman"/>
          <w:bCs/>
          <w:kern w:val="44"/>
          <w:szCs w:val="32"/>
          <w:lang w:val="en-US" w:eastAsia="zh-CN"/>
        </w:rPr>
        <w:t>自评</w:t>
      </w:r>
      <w:r>
        <w:rPr>
          <w:rFonts w:hint="eastAsia" w:ascii="仿宋_GB2312" w:hAnsi="Times New Roman" w:cs="Times New Roman"/>
          <w:bCs/>
          <w:kern w:val="44"/>
          <w:szCs w:val="32"/>
        </w:rPr>
        <w:t>等方式开展</w:t>
      </w:r>
      <w:r>
        <w:rPr>
          <w:rFonts w:hint="eastAsia" w:ascii="仿宋_GB2312" w:hAnsi="仿宋_GB2312" w:cs="仿宋_GB2312"/>
          <w:kern w:val="2"/>
          <w:szCs w:val="32"/>
        </w:rPr>
        <w:t>。</w:t>
      </w:r>
    </w:p>
    <w:tbl>
      <w:tblPr>
        <w:tblStyle w:val="22"/>
        <w:tblW w:w="9465" w:type="dxa"/>
        <w:tblInd w:w="-431" w:type="dxa"/>
        <w:tblLayout w:type="fixed"/>
        <w:tblCellMar>
          <w:top w:w="0" w:type="dxa"/>
          <w:left w:w="108" w:type="dxa"/>
          <w:bottom w:w="0" w:type="dxa"/>
          <w:right w:w="108" w:type="dxa"/>
        </w:tblCellMar>
      </w:tblPr>
      <w:tblGrid>
        <w:gridCol w:w="582"/>
        <w:gridCol w:w="728"/>
        <w:gridCol w:w="1152"/>
        <w:gridCol w:w="2200"/>
        <w:gridCol w:w="992"/>
        <w:gridCol w:w="609"/>
        <w:gridCol w:w="3202"/>
      </w:tblGrid>
      <w:tr>
        <w:tblPrEx>
          <w:tblLayout w:type="fixed"/>
          <w:tblCellMar>
            <w:top w:w="0" w:type="dxa"/>
            <w:left w:w="108" w:type="dxa"/>
            <w:bottom w:w="0" w:type="dxa"/>
            <w:right w:w="108" w:type="dxa"/>
          </w:tblCellMar>
        </w:tblPrEx>
        <w:trPr>
          <w:trHeight w:val="315"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uto"/>
              <w:ind w:firstLine="0" w:firstLineChars="0"/>
              <w:rPr>
                <w:rFonts w:ascii="楷体" w:hAnsi="楷体" w:eastAsia="楷体" w:cs="宋体"/>
                <w:b/>
                <w:bCs/>
                <w:color w:val="000000"/>
                <w:kern w:val="0"/>
                <w:sz w:val="20"/>
                <w:szCs w:val="20"/>
                <w:shd w:val="clear" w:color="auto" w:fill="auto"/>
              </w:rPr>
            </w:pPr>
            <w:r>
              <w:rPr>
                <w:rFonts w:hint="eastAsia" w:ascii="楷体" w:hAnsi="楷体" w:eastAsia="楷体" w:cs="宋体"/>
                <w:b/>
                <w:bCs/>
                <w:color w:val="000000"/>
                <w:kern w:val="0"/>
                <w:sz w:val="20"/>
                <w:szCs w:val="20"/>
                <w:shd w:val="clear" w:color="auto" w:fill="auto"/>
              </w:rPr>
              <w:t>项目类型</w:t>
            </w:r>
          </w:p>
        </w:tc>
        <w:tc>
          <w:tcPr>
            <w:tcW w:w="5681" w:type="dxa"/>
            <w:gridSpan w:val="5"/>
            <w:tcBorders>
              <w:top w:val="single" w:color="auto" w:sz="4" w:space="0"/>
              <w:left w:val="nil"/>
              <w:bottom w:val="single" w:color="auto" w:sz="4" w:space="0"/>
              <w:right w:val="single" w:color="000000" w:sz="4" w:space="0"/>
            </w:tcBorders>
            <w:shd w:val="clear" w:color="000000" w:fill="auto"/>
            <w:vAlign w:val="center"/>
          </w:tcPr>
          <w:p>
            <w:pPr>
              <w:widowControl/>
              <w:spacing w:line="240" w:lineRule="auto"/>
              <w:ind w:firstLine="0" w:firstLineChars="0"/>
              <w:jc w:val="center"/>
              <w:rPr>
                <w:rFonts w:ascii="楷体" w:hAnsi="楷体" w:eastAsia="楷体" w:cs="宋体"/>
                <w:b/>
                <w:bCs/>
                <w:color w:val="000000"/>
                <w:kern w:val="0"/>
                <w:sz w:val="20"/>
                <w:szCs w:val="20"/>
                <w:shd w:val="clear" w:color="auto" w:fill="auto"/>
              </w:rPr>
            </w:pPr>
            <w:r>
              <w:rPr>
                <w:rFonts w:hint="eastAsia" w:ascii="楷体" w:hAnsi="楷体" w:eastAsia="楷体" w:cs="宋体"/>
                <w:b/>
                <w:bCs/>
                <w:color w:val="000000"/>
                <w:kern w:val="0"/>
                <w:sz w:val="20"/>
                <w:szCs w:val="20"/>
                <w:shd w:val="clear" w:color="auto" w:fill="auto"/>
              </w:rPr>
              <w:t>绩效指标</w:t>
            </w:r>
          </w:p>
        </w:tc>
        <w:tc>
          <w:tcPr>
            <w:tcW w:w="3202" w:type="dxa"/>
            <w:vMerge w:val="restart"/>
            <w:tcBorders>
              <w:top w:val="single" w:color="auto" w:sz="4" w:space="0"/>
              <w:left w:val="single" w:color="auto" w:sz="4" w:space="0"/>
              <w:right w:val="single" w:color="auto" w:sz="4" w:space="0"/>
            </w:tcBorders>
            <w:shd w:val="clear" w:color="000000" w:fill="auto"/>
            <w:vAlign w:val="center"/>
          </w:tcPr>
          <w:p>
            <w:pPr>
              <w:widowControl/>
              <w:spacing w:line="240" w:lineRule="auto"/>
              <w:ind w:firstLine="0" w:firstLineChars="0"/>
              <w:jc w:val="center"/>
              <w:rPr>
                <w:rFonts w:ascii="楷体" w:hAnsi="楷体" w:eastAsia="楷体" w:cs="宋体"/>
                <w:b/>
                <w:bCs/>
                <w:color w:val="000000"/>
                <w:kern w:val="0"/>
                <w:sz w:val="20"/>
                <w:szCs w:val="20"/>
                <w:shd w:val="clear" w:color="auto" w:fill="auto"/>
              </w:rPr>
            </w:pPr>
            <w:r>
              <w:rPr>
                <w:rFonts w:hint="eastAsia" w:ascii="楷体" w:hAnsi="楷体" w:eastAsia="楷体" w:cs="宋体"/>
                <w:b/>
                <w:bCs/>
                <w:color w:val="000000"/>
                <w:kern w:val="0"/>
                <w:sz w:val="20"/>
                <w:szCs w:val="20"/>
                <w:shd w:val="clear" w:color="auto" w:fill="auto"/>
              </w:rPr>
              <w:t>指标解释</w:t>
            </w:r>
          </w:p>
        </w:tc>
      </w:tr>
      <w:tr>
        <w:tblPrEx>
          <w:tblLayout w:type="fixed"/>
          <w:tblCellMar>
            <w:top w:w="0" w:type="dxa"/>
            <w:left w:w="108" w:type="dxa"/>
            <w:bottom w:w="0" w:type="dxa"/>
            <w:right w:w="108" w:type="dxa"/>
          </w:tblCellMar>
        </w:tblPrEx>
        <w:trPr>
          <w:trHeight w:val="315"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02" w:firstLineChars="0"/>
              <w:jc w:val="left"/>
              <w:rPr>
                <w:rFonts w:ascii="楷体" w:hAnsi="楷体" w:eastAsia="楷体" w:cs="宋体"/>
                <w:b/>
                <w:bCs/>
                <w:color w:val="000000"/>
                <w:kern w:val="0"/>
                <w:sz w:val="20"/>
                <w:szCs w:val="20"/>
              </w:rPr>
            </w:pPr>
          </w:p>
        </w:tc>
        <w:tc>
          <w:tcPr>
            <w:tcW w:w="72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一级指标</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二级指标</w:t>
            </w:r>
          </w:p>
        </w:tc>
        <w:tc>
          <w:tcPr>
            <w:tcW w:w="3801"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三级指标</w:t>
            </w:r>
          </w:p>
        </w:tc>
        <w:tc>
          <w:tcPr>
            <w:tcW w:w="3202" w:type="dxa"/>
            <w:vMerge w:val="continue"/>
            <w:tcBorders>
              <w:left w:val="single" w:color="auto" w:sz="4" w:space="0"/>
              <w:right w:val="single" w:color="auto" w:sz="4" w:space="0"/>
            </w:tcBorders>
            <w:vAlign w:val="center"/>
          </w:tcPr>
          <w:p>
            <w:pPr>
              <w:widowControl/>
              <w:spacing w:line="240" w:lineRule="auto"/>
              <w:ind w:firstLine="402" w:firstLineChars="0"/>
              <w:jc w:val="left"/>
              <w:rPr>
                <w:rFonts w:ascii="楷体" w:hAnsi="楷体" w:eastAsia="楷体" w:cs="宋体"/>
                <w:b/>
                <w:bCs/>
                <w:color w:val="000000"/>
                <w:kern w:val="0"/>
                <w:sz w:val="20"/>
                <w:szCs w:val="20"/>
              </w:rPr>
            </w:pPr>
          </w:p>
        </w:tc>
      </w:tr>
      <w:tr>
        <w:tblPrEx>
          <w:tblLayout w:type="fixed"/>
          <w:tblCellMar>
            <w:top w:w="0" w:type="dxa"/>
            <w:left w:w="108" w:type="dxa"/>
            <w:bottom w:w="0" w:type="dxa"/>
            <w:right w:w="108" w:type="dxa"/>
          </w:tblCellMar>
        </w:tblPrEx>
        <w:trPr>
          <w:trHeight w:val="315"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02" w:firstLineChars="0"/>
              <w:jc w:val="left"/>
              <w:rPr>
                <w:rFonts w:ascii="楷体" w:hAnsi="楷体" w:eastAsia="楷体" w:cs="宋体"/>
                <w:b/>
                <w:bCs/>
                <w:color w:val="000000"/>
                <w:kern w:val="0"/>
                <w:sz w:val="20"/>
                <w:szCs w:val="20"/>
              </w:rPr>
            </w:pPr>
          </w:p>
        </w:tc>
        <w:tc>
          <w:tcPr>
            <w:tcW w:w="72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02" w:firstLineChars="0"/>
              <w:jc w:val="left"/>
              <w:rPr>
                <w:rFonts w:ascii="楷体" w:hAnsi="楷体" w:eastAsia="楷体" w:cs="宋体"/>
                <w:b/>
                <w:bCs/>
                <w:color w:val="000000"/>
                <w:kern w:val="0"/>
                <w:sz w:val="20"/>
                <w:szCs w:val="20"/>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02" w:firstLineChars="0"/>
              <w:jc w:val="left"/>
              <w:rPr>
                <w:rFonts w:ascii="楷体" w:hAnsi="楷体" w:eastAsia="楷体" w:cs="宋体"/>
                <w:b/>
                <w:bCs/>
                <w:color w:val="000000"/>
                <w:kern w:val="0"/>
                <w:sz w:val="20"/>
                <w:szCs w:val="20"/>
              </w:rPr>
            </w:pP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内容</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单位</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b/>
                <w:bCs/>
                <w:color w:val="000000"/>
                <w:kern w:val="0"/>
                <w:sz w:val="20"/>
                <w:szCs w:val="20"/>
              </w:rPr>
            </w:pPr>
            <w:r>
              <w:rPr>
                <w:rFonts w:hint="eastAsia" w:ascii="楷体" w:hAnsi="楷体" w:eastAsia="楷体" w:cs="宋体"/>
                <w:b/>
                <w:bCs/>
                <w:color w:val="000000"/>
                <w:kern w:val="0"/>
                <w:sz w:val="20"/>
                <w:szCs w:val="20"/>
              </w:rPr>
              <w:t>指标值</w:t>
            </w:r>
          </w:p>
        </w:tc>
        <w:tc>
          <w:tcPr>
            <w:tcW w:w="3202" w:type="dxa"/>
            <w:vMerge w:val="continue"/>
            <w:tcBorders>
              <w:left w:val="single" w:color="auto" w:sz="4" w:space="0"/>
              <w:bottom w:val="single" w:color="auto" w:sz="4" w:space="0"/>
              <w:right w:val="single" w:color="auto" w:sz="4" w:space="0"/>
            </w:tcBorders>
            <w:vAlign w:val="center"/>
          </w:tcPr>
          <w:p>
            <w:pPr>
              <w:widowControl/>
              <w:spacing w:line="240" w:lineRule="auto"/>
              <w:ind w:firstLine="402" w:firstLineChars="0"/>
              <w:jc w:val="left"/>
              <w:rPr>
                <w:rFonts w:ascii="楷体" w:hAnsi="楷体" w:eastAsia="楷体" w:cs="宋体"/>
                <w:b/>
                <w:bCs/>
                <w:color w:val="000000"/>
                <w:kern w:val="0"/>
                <w:sz w:val="20"/>
                <w:szCs w:val="20"/>
              </w:rPr>
            </w:pPr>
          </w:p>
        </w:tc>
      </w:tr>
      <w:tr>
        <w:tblPrEx>
          <w:tblLayout w:type="fixed"/>
          <w:tblCellMar>
            <w:top w:w="0" w:type="dxa"/>
            <w:left w:w="108" w:type="dxa"/>
            <w:bottom w:w="0" w:type="dxa"/>
            <w:right w:w="108" w:type="dxa"/>
          </w:tblCellMar>
        </w:tblPrEx>
        <w:trPr>
          <w:trHeight w:val="908"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b/>
                <w:bCs/>
                <w:kern w:val="0"/>
                <w:sz w:val="20"/>
                <w:szCs w:val="20"/>
              </w:rPr>
            </w:pPr>
            <w:r>
              <w:rPr>
                <w:rFonts w:hint="eastAsia" w:ascii="楷体" w:hAnsi="楷体" w:eastAsia="楷体" w:cs="宋体"/>
                <w:b/>
                <w:bCs/>
                <w:kern w:val="0"/>
                <w:sz w:val="20"/>
                <w:szCs w:val="20"/>
              </w:rPr>
              <w:t>工程类</w:t>
            </w:r>
          </w:p>
        </w:tc>
        <w:tc>
          <w:tcPr>
            <w:tcW w:w="7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产出指标</w:t>
            </w:r>
          </w:p>
        </w:tc>
        <w:tc>
          <w:tcPr>
            <w:tcW w:w="1152"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数量指标</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建设（维护、修缮）工程项目数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个</w:t>
            </w:r>
          </w:p>
        </w:tc>
        <w:tc>
          <w:tcPr>
            <w:tcW w:w="6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反映工程建设数量情况</w:t>
            </w:r>
          </w:p>
        </w:tc>
      </w:tr>
      <w:tr>
        <w:tblPrEx>
          <w:tblLayout w:type="fixed"/>
          <w:tblCellMar>
            <w:top w:w="0" w:type="dxa"/>
            <w:left w:w="108" w:type="dxa"/>
            <w:bottom w:w="0" w:type="dxa"/>
            <w:right w:w="108" w:type="dxa"/>
          </w:tblCellMar>
        </w:tblPrEx>
        <w:trPr>
          <w:trHeight w:val="381"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楷体" w:hAnsi="楷体" w:eastAsia="楷体" w:cs="宋体"/>
                <w:kern w:val="0"/>
                <w:sz w:val="20"/>
                <w:szCs w:val="20"/>
                <w:lang w:val="en-US" w:eastAsia="zh-CN"/>
              </w:rPr>
            </w:pPr>
            <w:r>
              <w:rPr>
                <w:rFonts w:hint="eastAsia" w:ascii="楷体" w:hAnsi="楷体" w:eastAsia="楷体" w:cs="宋体"/>
                <w:kern w:val="0"/>
                <w:sz w:val="20"/>
                <w:szCs w:val="20"/>
                <w:lang w:val="en-US" w:eastAsia="zh-CN"/>
              </w:rPr>
              <w:t>质量指标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竣工验收合格率</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反应竣工验收情况</w:t>
            </w:r>
          </w:p>
        </w:tc>
      </w:tr>
      <w:tr>
        <w:tblPrEx>
          <w:tblLayout w:type="fixed"/>
          <w:tblCellMar>
            <w:top w:w="0" w:type="dxa"/>
            <w:left w:w="108" w:type="dxa"/>
            <w:bottom w:w="0" w:type="dxa"/>
            <w:right w:w="108" w:type="dxa"/>
          </w:tblCellMar>
        </w:tblPrEx>
        <w:trPr>
          <w:trHeight w:val="381"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时效指标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工程进度</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据实填写工程进度</w:t>
            </w:r>
          </w:p>
        </w:tc>
      </w:tr>
      <w:tr>
        <w:tblPrEx>
          <w:tblLayout w:type="fixed"/>
          <w:tblCellMar>
            <w:top w:w="0" w:type="dxa"/>
            <w:left w:w="108" w:type="dxa"/>
            <w:bottom w:w="0" w:type="dxa"/>
            <w:right w:w="108" w:type="dxa"/>
          </w:tblCellMar>
        </w:tblPrEx>
        <w:trPr>
          <w:trHeight w:val="54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成本指标</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经济成本指标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超项目批复总投资比重</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反映工程的成本控制情况（一般控制在95%以内）</w:t>
            </w:r>
          </w:p>
        </w:tc>
      </w:tr>
      <w:tr>
        <w:tblPrEx>
          <w:tblLayout w:type="fixed"/>
          <w:tblCellMar>
            <w:top w:w="0" w:type="dxa"/>
            <w:left w:w="108" w:type="dxa"/>
            <w:bottom w:w="0" w:type="dxa"/>
            <w:right w:w="108" w:type="dxa"/>
          </w:tblCellMar>
        </w:tblPrEx>
        <w:trPr>
          <w:trHeight w:val="57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人材机成本</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万元</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反映没有工程定额的小型修缮和特殊修缮工程</w:t>
            </w:r>
          </w:p>
        </w:tc>
      </w:tr>
      <w:tr>
        <w:tblPrEx>
          <w:tblLayout w:type="fixed"/>
          <w:tblCellMar>
            <w:top w:w="0" w:type="dxa"/>
            <w:left w:w="108" w:type="dxa"/>
            <w:bottom w:w="0" w:type="dxa"/>
            <w:right w:w="108" w:type="dxa"/>
          </w:tblCellMar>
        </w:tblPrEx>
        <w:trPr>
          <w:trHeight w:val="57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全生命周期成本</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万元</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反映项目的后续运维成本符合前期论证</w:t>
            </w:r>
          </w:p>
        </w:tc>
      </w:tr>
      <w:tr>
        <w:tblPrEx>
          <w:tblLayout w:type="fixed"/>
          <w:tblCellMar>
            <w:top w:w="0" w:type="dxa"/>
            <w:left w:w="108" w:type="dxa"/>
            <w:bottom w:w="0" w:type="dxa"/>
            <w:right w:w="108" w:type="dxa"/>
          </w:tblCellMar>
        </w:tblPrEx>
        <w:trPr>
          <w:trHeight w:val="578"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r>
              <w:rPr>
                <w:rFonts w:hint="eastAsia" w:ascii="楷体" w:hAnsi="楷体" w:eastAsia="楷体" w:cs="宋体"/>
                <w:kern w:val="0"/>
                <w:sz w:val="20"/>
                <w:szCs w:val="20"/>
              </w:rPr>
              <w:t>社会成本指标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楷体" w:hAnsi="楷体" w:eastAsia="楷体" w:cs="宋体"/>
                <w:kern w:val="0"/>
                <w:sz w:val="20"/>
                <w:szCs w:val="20"/>
              </w:rPr>
            </w:pPr>
            <w:r>
              <w:rPr>
                <w:rFonts w:hint="eastAsia" w:ascii="楷体" w:hAnsi="楷体" w:eastAsia="楷体" w:cs="宋体"/>
                <w:color w:val="000000"/>
                <w:kern w:val="0"/>
                <w:sz w:val="18"/>
                <w:szCs w:val="18"/>
              </w:rPr>
              <w:t>反映实施相关项目对社会发展、公共福利等方面可能造成的负面影响。</w:t>
            </w:r>
          </w:p>
        </w:tc>
      </w:tr>
      <w:tr>
        <w:tblPrEx>
          <w:tblLayout w:type="fixed"/>
          <w:tblCellMar>
            <w:top w:w="0" w:type="dxa"/>
            <w:left w:w="108" w:type="dxa"/>
            <w:bottom w:w="0" w:type="dxa"/>
            <w:right w:w="108" w:type="dxa"/>
          </w:tblCellMar>
        </w:tblPrEx>
        <w:trPr>
          <w:trHeight w:val="578"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r>
              <w:rPr>
                <w:rFonts w:hint="eastAsia" w:ascii="楷体" w:hAnsi="楷体" w:eastAsia="楷体" w:cs="宋体"/>
                <w:kern w:val="0"/>
                <w:sz w:val="20"/>
                <w:szCs w:val="20"/>
              </w:rPr>
              <w:t>生态环境成本指标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楷体" w:hAnsi="楷体" w:eastAsia="楷体" w:cs="宋体"/>
                <w:kern w:val="0"/>
                <w:sz w:val="20"/>
                <w:szCs w:val="20"/>
              </w:rPr>
            </w:pP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楷体" w:hAnsi="楷体" w:eastAsia="楷体" w:cs="宋体"/>
                <w:kern w:val="0"/>
                <w:sz w:val="20"/>
                <w:szCs w:val="20"/>
              </w:rPr>
            </w:pPr>
            <w:r>
              <w:rPr>
                <w:rFonts w:hint="eastAsia" w:ascii="楷体" w:hAnsi="楷体" w:eastAsia="楷体" w:cs="宋体"/>
                <w:color w:val="000000"/>
                <w:kern w:val="0"/>
                <w:sz w:val="20"/>
                <w:szCs w:val="20"/>
              </w:rPr>
              <w:t>反映实施相关项目对自然生态环境可能造成的负面影响。</w:t>
            </w:r>
          </w:p>
        </w:tc>
      </w:tr>
      <w:tr>
        <w:tblPrEx>
          <w:tblLayout w:type="fixed"/>
          <w:tblCellMar>
            <w:top w:w="0" w:type="dxa"/>
            <w:left w:w="108" w:type="dxa"/>
            <w:bottom w:w="0" w:type="dxa"/>
            <w:right w:w="108" w:type="dxa"/>
          </w:tblCellMar>
        </w:tblPrEx>
        <w:trPr>
          <w:trHeight w:val="578"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效益指标</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经济效益指标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税收增加值</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万元</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反映建设项目带来的税收收益</w:t>
            </w:r>
          </w:p>
        </w:tc>
      </w:tr>
      <w:tr>
        <w:tblPrEx>
          <w:tblLayout w:type="fixed"/>
          <w:tblCellMar>
            <w:top w:w="0" w:type="dxa"/>
            <w:left w:w="108" w:type="dxa"/>
            <w:bottom w:w="0" w:type="dxa"/>
            <w:right w:w="108" w:type="dxa"/>
          </w:tblCellMar>
        </w:tblPrEx>
        <w:trPr>
          <w:trHeight w:val="593"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vMerge w:val="restart"/>
            <w:tcBorders>
              <w:top w:val="nil"/>
              <w:left w:val="single" w:color="auto" w:sz="4" w:space="0"/>
              <w:bottom w:val="nil"/>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社会效益指标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新增就业率</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反映建设项目增加的就业岗位数，在促进就业方面的贡献</w:t>
            </w:r>
          </w:p>
        </w:tc>
      </w:tr>
      <w:tr>
        <w:tblPrEx>
          <w:tblLayout w:type="fixed"/>
          <w:tblCellMar>
            <w:top w:w="0" w:type="dxa"/>
            <w:left w:w="108" w:type="dxa"/>
            <w:bottom w:w="0" w:type="dxa"/>
            <w:right w:w="108" w:type="dxa"/>
          </w:tblCellMar>
        </w:tblPrEx>
        <w:trPr>
          <w:trHeight w:val="381"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vMerge w:val="continue"/>
            <w:tcBorders>
              <w:top w:val="nil"/>
              <w:left w:val="single" w:color="auto" w:sz="4" w:space="0"/>
              <w:bottom w:val="nil"/>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建筑（工程）综合利用率</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反映项目综合利用情况</w:t>
            </w:r>
          </w:p>
        </w:tc>
      </w:tr>
      <w:tr>
        <w:tblPrEx>
          <w:tblLayout w:type="fixed"/>
          <w:tblCellMar>
            <w:top w:w="0" w:type="dxa"/>
            <w:left w:w="108" w:type="dxa"/>
            <w:bottom w:w="0" w:type="dxa"/>
            <w:right w:w="108" w:type="dxa"/>
          </w:tblCellMar>
        </w:tblPrEx>
        <w:trPr>
          <w:trHeight w:val="381"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vMerge w:val="continue"/>
            <w:tcBorders>
              <w:top w:val="nil"/>
              <w:left w:val="single" w:color="auto" w:sz="4" w:space="0"/>
              <w:bottom w:val="nil"/>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设施正常运转率</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反映设施运转情况</w:t>
            </w:r>
          </w:p>
        </w:tc>
      </w:tr>
      <w:tr>
        <w:tblPrEx>
          <w:tblLayout w:type="fixed"/>
          <w:tblCellMar>
            <w:top w:w="0" w:type="dxa"/>
            <w:left w:w="108" w:type="dxa"/>
            <w:bottom w:w="0" w:type="dxa"/>
            <w:right w:w="108" w:type="dxa"/>
          </w:tblCellMar>
        </w:tblPrEx>
        <w:trPr>
          <w:trHeight w:val="548"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楷体" w:hAnsi="楷体" w:eastAsia="楷体" w:cs="宋体"/>
                <w:kern w:val="0"/>
                <w:sz w:val="20"/>
                <w:szCs w:val="20"/>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可持续性指标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工程预计使用年限</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年</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反映工程的使用年限</w:t>
            </w:r>
          </w:p>
        </w:tc>
      </w:tr>
      <w:tr>
        <w:tblPrEx>
          <w:tblLayout w:type="fixed"/>
          <w:tblCellMar>
            <w:top w:w="0" w:type="dxa"/>
            <w:left w:w="108" w:type="dxa"/>
            <w:bottom w:w="0" w:type="dxa"/>
            <w:right w:w="108" w:type="dxa"/>
          </w:tblCellMar>
        </w:tblPrEx>
        <w:trPr>
          <w:trHeight w:val="57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楷体" w:hAnsi="楷体" w:eastAsia="楷体" w:cs="宋体"/>
                <w:b/>
                <w:bCs/>
                <w:kern w:val="0"/>
                <w:sz w:val="20"/>
                <w:szCs w:val="20"/>
              </w:rPr>
            </w:pPr>
          </w:p>
        </w:tc>
        <w:tc>
          <w:tcPr>
            <w:tcW w:w="72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满意度指标</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服务对象满意度指标</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用户满意度</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w:t>
            </w:r>
          </w:p>
        </w:tc>
        <w:tc>
          <w:tcPr>
            <w:tcW w:w="60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20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楷体" w:hAnsi="楷体" w:eastAsia="楷体" w:cs="宋体"/>
                <w:kern w:val="0"/>
                <w:sz w:val="20"/>
                <w:szCs w:val="20"/>
              </w:rPr>
            </w:pPr>
            <w:r>
              <w:rPr>
                <w:rFonts w:hint="eastAsia" w:ascii="楷体" w:hAnsi="楷体" w:eastAsia="楷体" w:cs="宋体"/>
                <w:kern w:val="0"/>
                <w:sz w:val="20"/>
                <w:szCs w:val="20"/>
              </w:rPr>
              <w:t>反映用户的满意情况</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楷体_GB2312" w:hAnsi="楷体_GB2312" w:eastAsia="楷体_GB2312" w:cs="楷体_GB2312"/>
          <w:sz w:val="32"/>
          <w:szCs w:val="32"/>
          <w:lang w:val="en-US" w:eastAsia="zh-CN"/>
        </w:rPr>
      </w:pPr>
      <w:bookmarkStart w:id="10" w:name="_Toc2372"/>
      <w:r>
        <w:rPr>
          <w:rFonts w:hint="eastAsia" w:ascii="楷体_GB2312" w:hAnsi="楷体_GB2312" w:eastAsia="楷体_GB2312" w:cs="楷体_GB2312"/>
          <w:sz w:val="32"/>
          <w:szCs w:val="32"/>
          <w:lang w:val="en-US" w:eastAsia="zh-CN"/>
        </w:rPr>
        <w:t>（三）绩效评价工作过程</w:t>
      </w:r>
      <w:bookmarkEnd w:id="10"/>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cs="仿宋_GB2312"/>
          <w:kern w:val="2"/>
          <w:sz w:val="32"/>
          <w:szCs w:val="32"/>
          <w:highlight w:val="none"/>
          <w:lang w:val="en-US" w:eastAsia="zh-CN"/>
        </w:rPr>
        <w:t>1</w:t>
      </w:r>
      <w:r>
        <w:rPr>
          <w:rFonts w:hint="eastAsia" w:ascii="仿宋_GB2312" w:hAnsi="仿宋_GB2312" w:eastAsia="仿宋_GB2312" w:cs="仿宋_GB2312"/>
          <w:kern w:val="2"/>
          <w:sz w:val="32"/>
          <w:szCs w:val="32"/>
          <w:highlight w:val="none"/>
          <w:lang w:val="en-US" w:eastAsia="zh-CN"/>
        </w:rPr>
        <w:t>.现场核查</w:t>
      </w:r>
    </w:p>
    <w:p>
      <w:pPr>
        <w:pStyle w:val="11"/>
        <w:keepNext w:val="0"/>
        <w:keepLines w:val="0"/>
        <w:pageBreakBefore w:val="0"/>
        <w:kinsoku/>
        <w:wordWrap/>
        <w:overflowPunct/>
        <w:topLinePunct w:val="0"/>
        <w:autoSpaceDE/>
        <w:autoSpaceDN/>
        <w:bidi w:val="0"/>
        <w:adjustRightInd w:val="0"/>
        <w:snapToGrid w:val="0"/>
        <w:spacing w:after="0" w:line="360" w:lineRule="auto"/>
        <w:ind w:left="0"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一是了解绩效目标设立及完成情况。通过查阅项目申报文本等资料，了解预期绩效目标设立情况，并将反映项目完成结果的相关材料与各项预期绩效目标进行比对，评价项目绩效目标的完成情况。</w:t>
      </w:r>
    </w:p>
    <w:p>
      <w:pPr>
        <w:pStyle w:val="11"/>
        <w:keepNext w:val="0"/>
        <w:keepLines w:val="0"/>
        <w:pageBreakBefore w:val="0"/>
        <w:kinsoku/>
        <w:wordWrap/>
        <w:overflowPunct/>
        <w:topLinePunct w:val="0"/>
        <w:autoSpaceDE/>
        <w:autoSpaceDN/>
        <w:bidi w:val="0"/>
        <w:adjustRightInd w:val="0"/>
        <w:snapToGrid w:val="0"/>
        <w:spacing w:after="0" w:line="360" w:lineRule="auto"/>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eastAsia="仿宋_GB2312"/>
          <w:sz w:val="32"/>
          <w:szCs w:val="32"/>
          <w:highlight w:val="none"/>
          <w:lang w:val="en-US" w:eastAsia="zh-CN"/>
        </w:rPr>
        <w:t>二是了解项目效益实现情况。项目实现的效益情况，主要是</w:t>
      </w:r>
      <w:r>
        <w:rPr>
          <w:rFonts w:hint="eastAsia" w:ascii="仿宋_GB2312"/>
          <w:sz w:val="32"/>
          <w:szCs w:val="32"/>
          <w:highlight w:val="none"/>
          <w:lang w:val="en-US" w:eastAsia="zh-CN"/>
        </w:rPr>
        <w:t>通过了解</w:t>
      </w:r>
      <w:r>
        <w:rPr>
          <w:rFonts w:hint="eastAsia" w:ascii="仿宋_GB2312" w:eastAsia="仿宋_GB2312"/>
          <w:sz w:val="32"/>
          <w:szCs w:val="32"/>
          <w:highlight w:val="none"/>
          <w:lang w:val="en-US" w:eastAsia="zh-CN"/>
        </w:rPr>
        <w:t>项目社会效益、可持续影响及服务对象满意度等相关资料情况。</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lang w:val="en-US" w:eastAsia="zh-CN"/>
        </w:rPr>
        <w:t>.形成绩效评价报告</w:t>
      </w:r>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hint="eastAsia" w:ascii="仿宋_GB2312" w:hAnsi="仿宋_GB2312" w:cs="仿宋_GB2312"/>
          <w:kern w:val="2"/>
          <w:szCs w:val="32"/>
        </w:rPr>
      </w:pPr>
      <w:r>
        <w:rPr>
          <w:rFonts w:hint="eastAsia" w:ascii="仿宋_GB2312"/>
          <w:sz w:val="32"/>
          <w:szCs w:val="32"/>
          <w:highlight w:val="none"/>
          <w:lang w:val="en-US" w:eastAsia="zh-CN"/>
        </w:rPr>
        <w:t>根据</w:t>
      </w:r>
      <w:r>
        <w:rPr>
          <w:rFonts w:hint="eastAsia" w:ascii="仿宋_GB2312" w:eastAsia="仿宋_GB2312"/>
          <w:sz w:val="32"/>
          <w:szCs w:val="32"/>
          <w:highlight w:val="none"/>
          <w:lang w:val="en-US" w:eastAsia="zh-CN"/>
        </w:rPr>
        <w:t>评价</w:t>
      </w:r>
      <w:r>
        <w:rPr>
          <w:rFonts w:hint="eastAsia" w:ascii="仿宋_GB2312"/>
          <w:sz w:val="32"/>
          <w:szCs w:val="32"/>
          <w:highlight w:val="none"/>
          <w:lang w:val="en-US" w:eastAsia="zh-CN"/>
        </w:rPr>
        <w:t>指标完成情况</w:t>
      </w:r>
      <w:r>
        <w:rPr>
          <w:rFonts w:hint="eastAsia" w:ascii="仿宋_GB2312" w:eastAsia="仿宋_GB2312"/>
          <w:sz w:val="32"/>
          <w:szCs w:val="32"/>
          <w:highlight w:val="none"/>
          <w:lang w:val="en-US" w:eastAsia="zh-CN"/>
        </w:rPr>
        <w:t>完成绩效评价报告的撰写工作。</w:t>
      </w:r>
    </w:p>
    <w:p>
      <w:pPr>
        <w:pStyle w:val="3"/>
        <w:pageBreakBefore w:val="0"/>
        <w:kinsoku/>
        <w:wordWrap/>
        <w:topLinePunct w:val="0"/>
        <w:autoSpaceDE/>
        <w:autoSpaceDN/>
        <w:bidi w:val="0"/>
        <w:spacing w:line="360" w:lineRule="auto"/>
        <w:ind w:firstLine="643"/>
        <w:jc w:val="left"/>
        <w:textAlignment w:val="auto"/>
      </w:pPr>
      <w:bookmarkStart w:id="11" w:name="_Toc143761462"/>
      <w:bookmarkStart w:id="12" w:name="_Toc145085518"/>
      <w:r>
        <w:rPr>
          <w:rFonts w:hint="eastAsia"/>
        </w:rPr>
        <w:t>三、</w:t>
      </w:r>
      <w:bookmarkEnd w:id="11"/>
      <w:r>
        <w:rPr>
          <w:rFonts w:hint="eastAsia"/>
        </w:rPr>
        <w:t>综合评价情况及评价结论</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13" w:name="_Toc145085519"/>
      <w:bookmarkStart w:id="14" w:name="_Toc24113"/>
      <w:bookmarkStart w:id="15" w:name="_Toc13023"/>
      <w:bookmarkStart w:id="16" w:name="_Toc22927"/>
      <w:r>
        <w:rPr>
          <w:rFonts w:hint="eastAsia" w:ascii="楷体_GB2312" w:hAnsi="楷体_GB2312" w:eastAsia="楷体_GB2312" w:cs="楷体_GB2312"/>
          <w:sz w:val="32"/>
          <w:szCs w:val="32"/>
          <w:lang w:val="en-US" w:eastAsia="zh-CN"/>
        </w:rPr>
        <w:t>（一）综合评价情况</w:t>
      </w:r>
      <w:bookmarkEnd w:id="13"/>
    </w:p>
    <w:bookmarkEnd w:id="14"/>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lang w:val="en-US" w:eastAsia="zh-CN"/>
        </w:rPr>
        <w:t>2020-</w:t>
      </w:r>
      <w:r>
        <w:rPr>
          <w:rFonts w:hint="eastAsia" w:ascii="仿宋_GB2312" w:hAnsi="仿宋_GB2312" w:cs="仿宋_GB2312"/>
          <w:szCs w:val="32"/>
        </w:rPr>
        <w:t>2</w:t>
      </w:r>
      <w:r>
        <w:rPr>
          <w:rFonts w:ascii="仿宋_GB2312" w:hAnsi="仿宋_GB2312" w:cs="仿宋_GB2312"/>
          <w:szCs w:val="32"/>
        </w:rPr>
        <w:t>02</w:t>
      </w:r>
      <w:r>
        <w:rPr>
          <w:rFonts w:hint="eastAsia" w:ascii="仿宋_GB2312" w:hAnsi="仿宋_GB2312" w:cs="仿宋_GB2312"/>
          <w:szCs w:val="32"/>
          <w:lang w:val="en-US" w:eastAsia="zh-CN"/>
        </w:rPr>
        <w:t>2</w:t>
      </w:r>
      <w:r>
        <w:rPr>
          <w:rFonts w:hint="eastAsia" w:ascii="仿宋_GB2312" w:hAnsi="仿宋_GB2312" w:cs="仿宋_GB2312"/>
          <w:szCs w:val="32"/>
        </w:rPr>
        <w:t>年治理类乡镇市级补助项目的实施能够提升周边居民居住生活环境，填补社区（村）治理工作中的缺失空白。马驹桥镇政府能够根据通州区“疏解整治促提升”专项行动工作办公室及区政府相关文件要求，开展并推动了治理类乡镇整治项目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17" w:name="_Toc145085520"/>
      <w:r>
        <w:rPr>
          <w:rFonts w:hint="eastAsia" w:ascii="楷体_GB2312" w:hAnsi="楷体_GB2312" w:eastAsia="楷体_GB2312" w:cs="楷体_GB2312"/>
          <w:sz w:val="32"/>
          <w:szCs w:val="32"/>
          <w:lang w:val="en-US" w:eastAsia="zh-CN"/>
        </w:rPr>
        <w:t>（二）评价结论</w:t>
      </w:r>
      <w:bookmarkEnd w:id="17"/>
    </w:p>
    <w:p>
      <w:pPr>
        <w:pageBreakBefore w:val="0"/>
        <w:kinsoku/>
        <w:wordWrap/>
        <w:topLinePunct w:val="0"/>
        <w:autoSpaceDE/>
        <w:autoSpaceDN/>
        <w:bidi w:val="0"/>
        <w:adjustRightInd w:val="0"/>
        <w:snapToGrid w:val="0"/>
        <w:spacing w:line="360" w:lineRule="auto"/>
        <w:ind w:firstLine="640"/>
        <w:textAlignment w:val="auto"/>
        <w:rPr>
          <w:rFonts w:hint="eastAsia" w:ascii="仿宋_GB2312" w:hAnsi="仿宋_GB2312" w:cs="仿宋_GB2312"/>
          <w:szCs w:val="32"/>
        </w:rPr>
      </w:pPr>
      <w:r>
        <w:rPr>
          <w:rFonts w:hint="eastAsia" w:ascii="仿宋_GB2312" w:hAnsi="仿宋_GB2312" w:cs="仿宋_GB2312"/>
          <w:szCs w:val="32"/>
        </w:rPr>
        <w:t>经</w:t>
      </w:r>
      <w:r>
        <w:rPr>
          <w:rFonts w:hint="eastAsia" w:ascii="仿宋_GB2312" w:hAnsi="仿宋_GB2312" w:cs="仿宋_GB2312"/>
          <w:szCs w:val="32"/>
          <w:lang w:val="en-US" w:eastAsia="zh-CN"/>
        </w:rPr>
        <w:t>自评</w:t>
      </w:r>
      <w:r>
        <w:rPr>
          <w:rFonts w:hint="eastAsia" w:ascii="仿宋_GB2312" w:hAnsi="仿宋_GB2312" w:cs="仿宋_GB2312"/>
          <w:szCs w:val="32"/>
        </w:rPr>
        <w:t>，该项目综合得分</w:t>
      </w:r>
      <w:r>
        <w:rPr>
          <w:rFonts w:hint="eastAsia" w:ascii="仿宋_GB2312" w:hAnsi="仿宋_GB2312" w:cs="仿宋_GB2312"/>
          <w:szCs w:val="32"/>
          <w:lang w:val="en-US" w:eastAsia="zh-CN"/>
        </w:rPr>
        <w:t>92</w:t>
      </w:r>
      <w:r>
        <w:rPr>
          <w:rFonts w:hint="eastAsia" w:ascii="仿宋_GB2312" w:hAnsi="仿宋_GB2312" w:cs="仿宋_GB2312"/>
          <w:szCs w:val="32"/>
        </w:rPr>
        <w:t>分，其中</w:t>
      </w:r>
      <w:r>
        <w:rPr>
          <w:rFonts w:hint="eastAsia" w:ascii="仿宋_GB2312" w:hAnsi="仿宋_GB2312" w:cs="仿宋_GB2312"/>
          <w:szCs w:val="32"/>
          <w:lang w:val="en-US" w:eastAsia="zh-CN"/>
        </w:rPr>
        <w:t>预算执行率10</w:t>
      </w:r>
      <w:r>
        <w:rPr>
          <w:rFonts w:hint="eastAsia" w:ascii="仿宋_GB2312" w:hAnsi="仿宋_GB2312" w:cs="仿宋_GB2312"/>
          <w:szCs w:val="32"/>
        </w:rPr>
        <w:t>分，</w:t>
      </w:r>
      <w:r>
        <w:rPr>
          <w:rFonts w:hint="eastAsia" w:ascii="仿宋_GB2312" w:hAnsi="仿宋_GB2312" w:cs="仿宋_GB2312"/>
          <w:szCs w:val="32"/>
          <w:lang w:val="en-US" w:eastAsia="zh-CN"/>
        </w:rPr>
        <w:t>产出指标50</w:t>
      </w:r>
      <w:r>
        <w:rPr>
          <w:rFonts w:hint="eastAsia" w:ascii="仿宋_GB2312" w:hAnsi="仿宋_GB2312" w:cs="仿宋_GB2312"/>
          <w:szCs w:val="32"/>
        </w:rPr>
        <w:t>分，</w:t>
      </w:r>
      <w:r>
        <w:rPr>
          <w:rFonts w:hint="eastAsia" w:ascii="仿宋_GB2312" w:hAnsi="仿宋_GB2312" w:cs="仿宋_GB2312"/>
          <w:szCs w:val="32"/>
          <w:lang w:val="en-US" w:eastAsia="zh-CN"/>
        </w:rPr>
        <w:t>效益指标22</w:t>
      </w:r>
      <w:r>
        <w:rPr>
          <w:rFonts w:hint="eastAsia" w:ascii="仿宋_GB2312" w:hAnsi="仿宋_GB2312" w:cs="仿宋_GB2312"/>
          <w:szCs w:val="32"/>
        </w:rPr>
        <w:t>分，</w:t>
      </w:r>
      <w:r>
        <w:rPr>
          <w:rFonts w:hint="eastAsia" w:ascii="仿宋_GB2312" w:hAnsi="仿宋_GB2312" w:cs="仿宋_GB2312"/>
          <w:szCs w:val="32"/>
          <w:lang w:val="en-US" w:eastAsia="zh-CN"/>
        </w:rPr>
        <w:t>服务对象满意度指标10</w:t>
      </w:r>
      <w:r>
        <w:rPr>
          <w:rFonts w:hint="eastAsia" w:ascii="仿宋_GB2312" w:hAnsi="仿宋_GB2312" w:cs="仿宋_GB2312"/>
          <w:szCs w:val="32"/>
        </w:rPr>
        <w:t>分，绩效级别评定为“</w:t>
      </w:r>
      <w:r>
        <w:rPr>
          <w:rFonts w:hint="eastAsia" w:ascii="仿宋_GB2312" w:hAnsi="仿宋_GB2312" w:cs="仿宋_GB2312"/>
          <w:szCs w:val="32"/>
          <w:lang w:val="en-US" w:eastAsia="zh-CN"/>
        </w:rPr>
        <w:t>优</w:t>
      </w:r>
      <w:r>
        <w:rPr>
          <w:rFonts w:hint="eastAsia" w:ascii="仿宋_GB2312" w:hAnsi="仿宋_GB2312" w:cs="仿宋_GB2312"/>
          <w:szCs w:val="32"/>
        </w:rPr>
        <w:t>”。</w:t>
      </w:r>
    </w:p>
    <w:tbl>
      <w:tblPr>
        <w:tblStyle w:val="22"/>
        <w:tblW w:w="8928" w:type="dxa"/>
        <w:jc w:val="center"/>
        <w:tblInd w:w="0" w:type="dxa"/>
        <w:tblLayout w:type="fixed"/>
        <w:tblCellMar>
          <w:top w:w="0" w:type="dxa"/>
          <w:left w:w="108" w:type="dxa"/>
          <w:bottom w:w="0" w:type="dxa"/>
          <w:right w:w="108" w:type="dxa"/>
        </w:tblCellMar>
      </w:tblPr>
      <w:tblGrid>
        <w:gridCol w:w="578"/>
        <w:gridCol w:w="969"/>
        <w:gridCol w:w="1086"/>
        <w:gridCol w:w="718"/>
        <w:gridCol w:w="1118"/>
        <w:gridCol w:w="1178"/>
        <w:gridCol w:w="773"/>
        <w:gridCol w:w="405"/>
        <w:gridCol w:w="152"/>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pPr>
              <w:widowControl/>
              <w:spacing w:line="500" w:lineRule="exact"/>
              <w:ind w:firstLine="0" w:firstLineChars="0"/>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tcPr>
          <w:p>
            <w:pPr>
              <w:widowControl/>
              <w:spacing w:line="24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w:t>
            </w:r>
            <w:r>
              <w:rPr>
                <w:rFonts w:hint="eastAsia" w:ascii="宋体" w:hAnsi="宋体" w:eastAsia="宋体" w:cs="宋体"/>
                <w:color w:val="auto"/>
                <w:kern w:val="0"/>
                <w:sz w:val="22"/>
                <w:lang w:val="en-US" w:eastAsia="zh-CN"/>
              </w:rPr>
              <w:t>2024</w:t>
            </w:r>
            <w:r>
              <w:rPr>
                <w:rFonts w:hint="eastAsia" w:ascii="宋体" w:hAnsi="宋体" w:eastAsia="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2020-2022治理类乡镇资金</w:t>
            </w:r>
          </w:p>
        </w:tc>
      </w:tr>
      <w:tr>
        <w:tblPrEx>
          <w:tblLayout w:type="fixed"/>
          <w:tblCellMar>
            <w:top w:w="0" w:type="dxa"/>
            <w:left w:w="108" w:type="dxa"/>
            <w:bottom w:w="0" w:type="dxa"/>
            <w:right w:w="108" w:type="dxa"/>
          </w:tblCellMar>
        </w:tblPrEx>
        <w:trPr>
          <w:trHeight w:val="98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100" w:type="dxa"/>
            <w:gridSpan w:val="4"/>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市民诉求处置中心</w:t>
            </w: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实施单位</w:t>
            </w:r>
          </w:p>
        </w:tc>
        <w:tc>
          <w:tcPr>
            <w:tcW w:w="2103"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北京国创伟业建筑工程有限公司、北京中建华昊建筑工程有限公司等</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p>
        </w:tc>
        <w:tc>
          <w:tcPr>
            <w:tcW w:w="111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年初</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执行数</w:t>
            </w:r>
          </w:p>
        </w:tc>
        <w:tc>
          <w:tcPr>
            <w:tcW w:w="56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年度资金总额</w:t>
            </w:r>
          </w:p>
        </w:tc>
        <w:tc>
          <w:tcPr>
            <w:tcW w:w="111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56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SA"/>
              </w:rPr>
              <w:t>100.00%</w:t>
            </w:r>
          </w:p>
        </w:tc>
        <w:tc>
          <w:tcPr>
            <w:tcW w:w="69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1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770.465552</w:t>
            </w:r>
          </w:p>
        </w:tc>
        <w:tc>
          <w:tcPr>
            <w:tcW w:w="56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6"/>
                <w:szCs w:val="16"/>
              </w:rPr>
            </w:pPr>
            <w:r>
              <w:rPr>
                <w:rFonts w:hint="eastAsia" w:ascii="宋体" w:hAnsi="宋体" w:eastAsia="宋体" w:cs="宋体"/>
                <w:color w:val="auto"/>
                <w:kern w:val="0"/>
                <w:sz w:val="16"/>
                <w:szCs w:val="16"/>
                <w:highlight w:val="none"/>
                <w:lang w:val="en-US" w:eastAsia="zh-CN" w:bidi="ar-SA"/>
              </w:rPr>
              <w:t>100.00%</w:t>
            </w:r>
          </w:p>
        </w:tc>
        <w:tc>
          <w:tcPr>
            <w:tcW w:w="69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1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6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1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7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68"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5069"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281"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041"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069"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2020-2022年三年治理类乡镇项目37个全部竣工验收合格，完成结算工作，并按结算金额支出工程尾款</w:t>
            </w:r>
          </w:p>
        </w:tc>
        <w:tc>
          <w:tcPr>
            <w:tcW w:w="3281" w:type="dxa"/>
            <w:gridSpan w:val="7"/>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2020-2022年三年治理类乡镇项目37个全部竣工验收合格，完成结算工作，并按结算金额支出工程尾款</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37"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数量指标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建设工程项目数</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37</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37</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61"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验收合格率</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100.00%</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100.00%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5"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时效指标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工程进度</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100.00%</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100.00%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5"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成本指标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超项目批复总投资比重</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0.00%</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0.00%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6"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经济效益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是否促进农民增收</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是</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否</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06"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社会效益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是否带动就业增长</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是</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是</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07"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生态效益</w:t>
            </w:r>
          </w:p>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节能减排效果</w:t>
            </w:r>
          </w:p>
        </w:tc>
        <w:tc>
          <w:tcPr>
            <w:tcW w:w="117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良好</w:t>
            </w:r>
            <w:r>
              <w:rPr>
                <w:rFonts w:hint="eastAsia" w:ascii="宋体" w:hAnsi="宋体" w:eastAsia="宋体" w:cs="宋体"/>
                <w:color w:val="auto"/>
                <w:kern w:val="0"/>
                <w:sz w:val="18"/>
                <w:szCs w:val="18"/>
                <w:highlight w:val="none"/>
                <w:lang w:val="en-US" w:eastAsia="zh-CN"/>
              </w:rPr>
              <w:t>/优/良</w:t>
            </w:r>
          </w:p>
        </w:tc>
        <w:tc>
          <w:tcPr>
            <w:tcW w:w="77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良好</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1780"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可持续影响指标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项目持续发挥作用的期限</w:t>
            </w:r>
          </w:p>
        </w:tc>
        <w:tc>
          <w:tcPr>
            <w:tcW w:w="1178"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长期（</w:t>
            </w:r>
            <w:r>
              <w:rPr>
                <w:rFonts w:hint="eastAsia" w:ascii="宋体" w:hAnsi="宋体" w:eastAsia="宋体" w:cs="宋体"/>
                <w:color w:val="auto"/>
                <w:kern w:val="0"/>
                <w:sz w:val="18"/>
                <w:szCs w:val="18"/>
                <w:highlight w:val="none"/>
                <w:lang w:val="en-US" w:eastAsia="zh-CN"/>
              </w:rPr>
              <w:t>&gt;25年</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/中短期（15-25年）/短期（0-15年）/不可持续</w:t>
            </w:r>
          </w:p>
        </w:tc>
        <w:tc>
          <w:tcPr>
            <w:tcW w:w="773"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5年</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37" w:hRule="exact"/>
          <w:jc w:val="center"/>
        </w:trPr>
        <w:tc>
          <w:tcPr>
            <w:tcW w:w="578" w:type="dxa"/>
            <w:vMerge w:val="continue"/>
            <w:tcBorders>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满意度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1836"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居民满意度</w:t>
            </w:r>
          </w:p>
        </w:tc>
        <w:tc>
          <w:tcPr>
            <w:tcW w:w="1178"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100.00%</w:t>
            </w:r>
          </w:p>
        </w:tc>
        <w:tc>
          <w:tcPr>
            <w:tcW w:w="773" w:type="dxa"/>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100.00%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auto"/>
                <w:kern w:val="0"/>
                <w:sz w:val="18"/>
                <w:szCs w:val="18"/>
              </w:rPr>
            </w:pPr>
          </w:p>
        </w:tc>
      </w:tr>
      <w:bookmarkEnd w:id="15"/>
      <w:bookmarkEnd w:id="16"/>
    </w:tbl>
    <w:p>
      <w:pPr>
        <w:pStyle w:val="3"/>
        <w:pageBreakBefore w:val="0"/>
        <w:kinsoku/>
        <w:wordWrap/>
        <w:topLinePunct w:val="0"/>
        <w:autoSpaceDE/>
        <w:autoSpaceDN/>
        <w:bidi w:val="0"/>
        <w:spacing w:line="360" w:lineRule="auto"/>
        <w:ind w:firstLine="643"/>
        <w:jc w:val="left"/>
        <w:textAlignment w:val="auto"/>
        <w:rPr>
          <w:highlight w:val="none"/>
        </w:rPr>
      </w:pPr>
      <w:bookmarkStart w:id="18" w:name="_Toc143761463"/>
      <w:bookmarkStart w:id="19" w:name="_Toc145085521"/>
      <w:r>
        <w:rPr>
          <w:rFonts w:hint="eastAsia"/>
          <w:highlight w:val="none"/>
        </w:rPr>
        <w:t>四、</w:t>
      </w:r>
      <w:bookmarkEnd w:id="18"/>
      <w:r>
        <w:rPr>
          <w:rFonts w:hint="eastAsia"/>
          <w:highlight w:val="none"/>
        </w:rPr>
        <w:t>绩效评价指标分析</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0" w:name="_Toc19007"/>
      <w:bookmarkStart w:id="21" w:name="_Toc145085524"/>
      <w:r>
        <w:rPr>
          <w:rFonts w:hint="eastAsia" w:ascii="楷体_GB2312" w:hAnsi="楷体_GB2312" w:eastAsia="楷体_GB2312" w:cs="楷体_GB2312"/>
          <w:sz w:val="32"/>
          <w:szCs w:val="32"/>
          <w:lang w:val="en-US" w:eastAsia="zh-CN"/>
        </w:rPr>
        <w:t>（一）项目决策情况</w:t>
      </w:r>
      <w:bookmarkEnd w:id="20"/>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napToGrid/>
          <w:kern w:val="2"/>
          <w:sz w:val="32"/>
          <w:szCs w:val="32"/>
          <w:highlight w:val="none"/>
          <w:lang w:val="en-US" w:eastAsia="zh-CN" w:bidi="ar-SA"/>
        </w:rPr>
      </w:pPr>
      <w:r>
        <w:rPr>
          <w:rFonts w:hint="eastAsia" w:ascii="仿宋_GB2312" w:hAnsi="仿宋_GB2312" w:eastAsia="仿宋_GB2312" w:cs="仿宋_GB2312"/>
          <w:b w:val="0"/>
          <w:bCs w:val="0"/>
          <w:snapToGrid/>
          <w:kern w:val="2"/>
          <w:sz w:val="32"/>
          <w:szCs w:val="32"/>
          <w:highlight w:val="none"/>
          <w:lang w:val="en-US" w:eastAsia="zh-CN" w:bidi="ar-SA"/>
        </w:rPr>
        <w:t>1.项目立项情况</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napToGrid/>
          <w:kern w:val="2"/>
          <w:sz w:val="32"/>
          <w:szCs w:val="32"/>
          <w:highlight w:val="none"/>
          <w:lang w:val="en-US" w:eastAsia="zh-CN" w:bidi="ar-SA"/>
        </w:rPr>
      </w:pPr>
      <w:r>
        <w:rPr>
          <w:rFonts w:hint="eastAsia" w:ascii="仿宋_GB2312" w:hAnsi="仿宋_GB2312" w:eastAsia="仿宋_GB2312" w:cs="仿宋_GB2312"/>
          <w:b w:val="0"/>
          <w:bCs w:val="0"/>
          <w:snapToGrid/>
          <w:kern w:val="2"/>
          <w:sz w:val="32"/>
          <w:szCs w:val="32"/>
          <w:highlight w:val="none"/>
          <w:lang w:val="en-US" w:eastAsia="zh-CN" w:bidi="ar-SA"/>
        </w:rPr>
        <w:t>（1）立项依据充分性分析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napToGrid/>
          <w:kern w:val="2"/>
          <w:sz w:val="32"/>
          <w:szCs w:val="32"/>
          <w:highlight w:val="none"/>
          <w:lang w:val="en-US" w:eastAsia="zh-CN" w:bidi="ar-SA"/>
        </w:rPr>
        <w:t>项目依据依照《北京市“疏解整治促提升”专项行动2020年工作计划》和《北京市财政局北京市发展和改革委员会关于加强治理类街乡镇整治提升工作市级补助资金保障的意见》（京财预[2020]1938号）等文件予以开展，并结合居民热线投诉的强烈事项和前期摸排汇总，着力解决重点问题小区的老大难问题。</w:t>
      </w:r>
      <w:r>
        <w:rPr>
          <w:rFonts w:hint="eastAsia" w:ascii="仿宋_GB2312" w:hAnsi="仿宋_GB2312" w:eastAsia="仿宋_GB2312" w:cs="仿宋_GB2312"/>
          <w:sz w:val="32"/>
          <w:szCs w:val="32"/>
          <w:highlight w:val="none"/>
          <w:lang w:val="en-US" w:eastAsia="zh-CN"/>
        </w:rPr>
        <w:t>项目立项具有一定的政策依据及现实需求，与马驹桥镇职能相符，项目立项依据较为充分。</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napToGrid/>
          <w:kern w:val="2"/>
          <w:sz w:val="32"/>
          <w:szCs w:val="32"/>
          <w:highlight w:val="none"/>
          <w:lang w:val="en-US" w:eastAsia="zh-CN" w:bidi="ar-SA"/>
        </w:rPr>
      </w:pPr>
      <w:r>
        <w:rPr>
          <w:rFonts w:hint="eastAsia" w:ascii="仿宋_GB2312" w:hAnsi="仿宋_GB2312" w:eastAsia="仿宋_GB2312" w:cs="仿宋_GB2312"/>
          <w:b w:val="0"/>
          <w:bCs w:val="0"/>
          <w:snapToGrid/>
          <w:kern w:val="2"/>
          <w:sz w:val="32"/>
          <w:szCs w:val="32"/>
          <w:highlight w:val="none"/>
          <w:lang w:val="en-US" w:eastAsia="zh-CN" w:bidi="ar-SA"/>
        </w:rPr>
        <w:t>（2）立项程序规范性分析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立项履行了自下而上申报，结合居民热线投诉的强烈事项和前期摸排汇总等问题进行申报立项。但马驹桥镇在履行“三重一大”会议决策时部分村镇资料不充分，关于审核确定项目的会议纪要不充分，针对安监科应急库项目和第二社会福利服务中心的权责边界不清晰，应急物资库装修、应急物资采购、增加建筑面积等实施子项目缺少相关规划部门的批复文件；且应急物资采购是否属于乡镇治理类整治提升项目的范畴缺少相关的决策、论证资料。马驹桥大产权小区疫情防控常态化设施及系统建设等是否与疫情防控专项资金重复投资的论证不清晰。各个项目需求迫切性与规划相符性以及职责相关性论证分析不到位。项目立项程序规范性不足。</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napToGrid/>
          <w:kern w:val="2"/>
          <w:sz w:val="32"/>
          <w:szCs w:val="32"/>
          <w:highlight w:val="none"/>
          <w:lang w:val="en-US" w:eastAsia="zh-CN" w:bidi="ar-SA"/>
        </w:rPr>
      </w:pPr>
      <w:r>
        <w:rPr>
          <w:rFonts w:hint="eastAsia" w:ascii="仿宋_GB2312" w:hAnsi="仿宋_GB2312" w:eastAsia="仿宋_GB2312" w:cs="仿宋_GB2312"/>
          <w:b w:val="0"/>
          <w:bCs w:val="0"/>
          <w:snapToGrid/>
          <w:kern w:val="2"/>
          <w:sz w:val="32"/>
          <w:szCs w:val="32"/>
          <w:highlight w:val="none"/>
          <w:lang w:val="en-US" w:eastAsia="zh-CN" w:bidi="ar-SA"/>
        </w:rPr>
        <w:t>2.项目绩效目标情况</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（1）绩效目标合理性分析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该项目绩效目标的设定符合部门职能，与项目年度工作计划相关，绩效目标设定合理，具体指标量化</w:t>
      </w:r>
      <w:r>
        <w:rPr>
          <w:rFonts w:hint="eastAsia" w:ascii="仿宋_GB2312" w:hAnsi="仿宋_GB2312" w:cs="仿宋_GB2312"/>
          <w:sz w:val="32"/>
          <w:szCs w:val="32"/>
          <w:highlight w:val="none"/>
          <w:lang w:val="en-US" w:eastAsia="zh-CN"/>
        </w:rPr>
        <w:t>性足</w:t>
      </w:r>
      <w:r>
        <w:rPr>
          <w:rFonts w:hint="eastAsia" w:ascii="仿宋_GB2312" w:hAnsi="仿宋_GB2312" w:eastAsia="仿宋_GB2312" w:cs="仿宋_GB2312"/>
          <w:sz w:val="32"/>
          <w:szCs w:val="32"/>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（2）绩效指标明确性分析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该项目设定的绩效目标包括产出指标、效益指标和服务对象满意度指标。产出指标</w:t>
      </w:r>
      <w:r>
        <w:rPr>
          <w:rFonts w:hint="eastAsia" w:ascii="仿宋_GB2312" w:hAnsi="仿宋_GB2312" w:cs="仿宋_GB2312"/>
          <w:sz w:val="32"/>
          <w:szCs w:val="32"/>
          <w:highlight w:val="none"/>
          <w:lang w:val="en-US" w:eastAsia="zh-CN"/>
        </w:rPr>
        <w:t>已</w:t>
      </w:r>
      <w:r>
        <w:rPr>
          <w:rFonts w:hint="eastAsia" w:ascii="仿宋_GB2312" w:hAnsi="仿宋_GB2312" w:eastAsia="仿宋_GB2312" w:cs="仿宋_GB2312"/>
          <w:sz w:val="32"/>
          <w:szCs w:val="32"/>
          <w:highlight w:val="none"/>
          <w:lang w:val="en-US" w:eastAsia="zh-CN"/>
        </w:rPr>
        <w:t>细化数量指标、质量指标、时效指标、成本指，效益指标区分为社会效益指标、生态效益指标、经济效益指标以及可持续效益指标，指标</w:t>
      </w:r>
      <w:r>
        <w:rPr>
          <w:rFonts w:hint="eastAsia" w:ascii="仿宋_GB2312" w:hAnsi="仿宋_GB2312" w:cs="仿宋_GB2312"/>
          <w:sz w:val="32"/>
          <w:szCs w:val="32"/>
          <w:highlight w:val="none"/>
          <w:lang w:val="en-US" w:eastAsia="zh-CN"/>
        </w:rPr>
        <w:t>具有</w:t>
      </w:r>
      <w:r>
        <w:rPr>
          <w:rFonts w:hint="eastAsia" w:ascii="仿宋_GB2312" w:hAnsi="仿宋_GB2312" w:eastAsia="仿宋_GB2312" w:cs="仿宋_GB2312"/>
          <w:sz w:val="32"/>
          <w:szCs w:val="32"/>
          <w:highlight w:val="none"/>
          <w:lang w:val="en-US" w:eastAsia="zh-CN"/>
        </w:rPr>
        <w:t>明确性。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（二）项目过程情况</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snapToGrid/>
          <w:kern w:val="2"/>
          <w:sz w:val="32"/>
          <w:szCs w:val="32"/>
          <w:highlight w:val="none"/>
          <w:lang w:val="en-US" w:eastAsia="zh-CN" w:bidi="ar-SA"/>
        </w:rPr>
        <w:t>项目资金管理情况</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资金到位率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Times New Roman" w:cs="Times New Roman"/>
          <w:kern w:val="2"/>
          <w:szCs w:val="32"/>
          <w:highlight w:val="none"/>
          <w:lang w:val="en-US" w:eastAsia="zh-CN"/>
        </w:rPr>
        <w:t>2020-</w:t>
      </w:r>
      <w:r>
        <w:rPr>
          <w:rFonts w:ascii="仿宋_GB2312" w:hAnsi="Times New Roman" w:cs="Times New Roman"/>
          <w:kern w:val="2"/>
          <w:szCs w:val="32"/>
          <w:highlight w:val="none"/>
        </w:rPr>
        <w:t>202</w:t>
      </w:r>
      <w:r>
        <w:rPr>
          <w:rFonts w:hint="eastAsia" w:ascii="仿宋_GB2312" w:hAnsi="Times New Roman" w:cs="Times New Roman"/>
          <w:kern w:val="2"/>
          <w:szCs w:val="32"/>
          <w:highlight w:val="none"/>
          <w:lang w:val="en-US" w:eastAsia="zh-CN"/>
        </w:rPr>
        <w:t>2</w:t>
      </w:r>
      <w:r>
        <w:rPr>
          <w:rFonts w:hint="eastAsia" w:ascii="仿宋_GB2312" w:hAnsi="Times New Roman" w:cs="Times New Roman"/>
          <w:kern w:val="2"/>
          <w:szCs w:val="32"/>
          <w:highlight w:val="none"/>
        </w:rPr>
        <w:t>年治理类乡镇市级补助项目，涉及评价金额</w:t>
      </w:r>
      <w:r>
        <w:rPr>
          <w:rFonts w:hint="eastAsia" w:ascii="仿宋_GB2312" w:hAnsi="仿宋_GB2312" w:cs="仿宋_GB2312"/>
          <w:kern w:val="2"/>
          <w:szCs w:val="32"/>
          <w:highlight w:val="none"/>
          <w:lang w:val="en-US" w:eastAsia="zh-CN"/>
        </w:rPr>
        <w:t>770.47</w:t>
      </w:r>
      <w:r>
        <w:rPr>
          <w:rFonts w:hint="eastAsia" w:ascii="仿宋_GB2312" w:hAnsi="仿宋_GB2312" w:cs="仿宋_GB2312"/>
          <w:kern w:val="2"/>
          <w:szCs w:val="32"/>
          <w:highlight w:val="none"/>
        </w:rPr>
        <w:t>万元</w:t>
      </w:r>
      <w:r>
        <w:rPr>
          <w:rFonts w:hint="eastAsia" w:ascii="仿宋_GB2312" w:hAnsi="Times New Roman" w:eastAsia="仿宋_GB2312" w:cs="Times New Roman"/>
          <w:sz w:val="32"/>
          <w:highlight w:val="none"/>
          <w:lang w:val="en-US" w:eastAsia="zh-CN"/>
        </w:rPr>
        <w:t>，</w:t>
      </w:r>
      <w:r>
        <w:rPr>
          <w:rFonts w:hint="eastAsia" w:ascii="仿宋_GB2312" w:hAnsi="仿宋_GB2312" w:eastAsia="仿宋_GB2312" w:cs="仿宋_GB2312"/>
          <w:sz w:val="32"/>
          <w:szCs w:val="32"/>
          <w:highlight w:val="none"/>
          <w:lang w:val="en-US" w:eastAsia="zh-CN"/>
        </w:rPr>
        <w:t>截至202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年12月31日，项目实际到位资金</w:t>
      </w:r>
      <w:r>
        <w:rPr>
          <w:rFonts w:hint="eastAsia" w:ascii="仿宋_GB2312" w:hAnsi="仿宋_GB2312" w:cs="仿宋_GB2312"/>
          <w:kern w:val="2"/>
          <w:szCs w:val="32"/>
          <w:highlight w:val="none"/>
          <w:lang w:val="en-US" w:eastAsia="zh-CN"/>
        </w:rPr>
        <w:t>770.47</w:t>
      </w:r>
      <w:r>
        <w:rPr>
          <w:rFonts w:hint="eastAsia" w:ascii="仿宋_GB2312" w:hAnsi="仿宋_GB2312" w:eastAsia="仿宋_GB2312" w:cs="仿宋_GB2312"/>
          <w:sz w:val="32"/>
          <w:szCs w:val="32"/>
          <w:highlight w:val="none"/>
          <w:lang w:val="en-US" w:eastAsia="zh-CN"/>
        </w:rPr>
        <w:t>万元，资金到位率100</w:t>
      </w:r>
      <w:r>
        <w:rPr>
          <w:rFonts w:hint="eastAsia" w:ascii="仿宋_GB2312" w:hAnsi="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预算执行率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lang w:val="en-US" w:eastAsia="zh-CN"/>
        </w:rPr>
        <w:t>截至202</w:t>
      </w:r>
      <w:r>
        <w:rPr>
          <w:rFonts w:hint="eastAsia" w:ascii="仿宋_GB2312" w:hAnsi="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lang w:val="en-US" w:eastAsia="zh-CN"/>
        </w:rPr>
        <w:t>年12月31日，项目实际支出</w:t>
      </w:r>
      <w:r>
        <w:rPr>
          <w:rFonts w:hint="eastAsia" w:ascii="仿宋_GB2312" w:hAnsi="仿宋_GB2312" w:cs="仿宋_GB2312"/>
          <w:kern w:val="2"/>
          <w:szCs w:val="32"/>
          <w:highlight w:val="none"/>
          <w:lang w:val="en-US" w:eastAsia="zh-CN"/>
        </w:rPr>
        <w:t>770.47</w:t>
      </w:r>
      <w:r>
        <w:rPr>
          <w:rFonts w:hint="eastAsia" w:ascii="仿宋_GB2312" w:hAnsi="仿宋_GB2312" w:eastAsia="仿宋_GB2312" w:cs="仿宋_GB2312"/>
          <w:kern w:val="2"/>
          <w:sz w:val="32"/>
          <w:szCs w:val="32"/>
          <w:highlight w:val="none"/>
          <w:lang w:val="en-US" w:eastAsia="zh-CN"/>
        </w:rPr>
        <w:t>万元，预算执行率100</w:t>
      </w:r>
      <w:r>
        <w:rPr>
          <w:rFonts w:hint="eastAsia" w:ascii="仿宋_GB2312" w:hAnsi="仿宋_GB2312" w:cs="仿宋_GB2312"/>
          <w:kern w:val="2"/>
          <w:sz w:val="32"/>
          <w:szCs w:val="32"/>
          <w:highlight w:val="none"/>
          <w:lang w:val="en-US" w:eastAsia="zh-CN"/>
        </w:rPr>
        <w:t>.00</w:t>
      </w:r>
      <w:r>
        <w:rPr>
          <w:rFonts w:hint="eastAsia" w:ascii="仿宋_GB2312" w:hAnsi="仿宋_GB2312" w:eastAsia="仿宋_GB2312" w:cs="仿宋_GB2312"/>
          <w:kern w:val="2"/>
          <w:sz w:val="32"/>
          <w:szCs w:val="32"/>
          <w:highlight w:val="none"/>
          <w:lang w:val="en-US" w:eastAsia="zh-CN"/>
        </w:rPr>
        <w:t>%。</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资金使用合规性分析</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Times New Roman"/>
          <w:sz w:val="32"/>
          <w:highlight w:val="none"/>
          <w:lang w:val="en-US" w:eastAsia="zh-CN"/>
        </w:rPr>
      </w:pPr>
      <w:r>
        <w:rPr>
          <w:rFonts w:hint="eastAsia" w:ascii="仿宋_GB2312" w:hAnsi="Times New Roman" w:eastAsia="仿宋_GB2312" w:cs="Times New Roman"/>
          <w:sz w:val="32"/>
          <w:highlight w:val="none"/>
          <w:lang w:val="en-US" w:eastAsia="zh-CN"/>
        </w:rPr>
        <w:t>在资金的使用过程中，马驹桥镇按照单位财务管理制度要求支出资金，为加强项目和资金的监督管理，马驹桥镇</w:t>
      </w:r>
      <w:r>
        <w:rPr>
          <w:rFonts w:hint="eastAsia" w:ascii="仿宋_GB2312" w:cs="Times New Roman"/>
          <w:sz w:val="32"/>
          <w:highlight w:val="none"/>
          <w:lang w:val="en-US" w:eastAsia="zh-CN"/>
        </w:rPr>
        <w:t>市民诉求处置中心、经发科</w:t>
      </w:r>
      <w:r>
        <w:rPr>
          <w:rFonts w:hint="eastAsia" w:ascii="仿宋_GB2312" w:hAnsi="Times New Roman" w:eastAsia="仿宋_GB2312" w:cs="Times New Roman"/>
          <w:sz w:val="32"/>
          <w:highlight w:val="none"/>
          <w:lang w:val="en-US" w:eastAsia="zh-CN"/>
        </w:rPr>
        <w:t>、纪委、财政科、审计科组成联合审查小组，不定期对项目建设实施、资金管理使用进行抽查核验，经镇长办公会或党委会审议通过后，财政科依据项目预算评审结果以项目为单位拨付</w:t>
      </w:r>
      <w:r>
        <w:rPr>
          <w:rFonts w:hint="eastAsia" w:ascii="仿宋_GB2312" w:cs="Times New Roman"/>
          <w:sz w:val="32"/>
          <w:highlight w:val="none"/>
          <w:lang w:val="en-US" w:eastAsia="zh-CN"/>
        </w:rPr>
        <w:t>资金</w:t>
      </w:r>
      <w:r>
        <w:rPr>
          <w:rFonts w:hint="eastAsia" w:ascii="仿宋_GB2312" w:hAnsi="Times New Roman" w:eastAsia="仿宋_GB2312" w:cs="Times New Roman"/>
          <w:sz w:val="32"/>
          <w:highlight w:val="none"/>
          <w:lang w:val="en-US" w:eastAsia="zh-CN"/>
        </w:rPr>
        <w:t>。项目资金核算相对合理规范。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napToGrid/>
          <w:kern w:val="2"/>
          <w:sz w:val="32"/>
          <w:szCs w:val="32"/>
          <w:highlight w:val="none"/>
          <w:lang w:val="en-US" w:eastAsia="zh-CN" w:bidi="ar-SA"/>
        </w:rPr>
        <w:t>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sz w:val="32"/>
          <w:highlight w:val="none"/>
          <w:lang w:val="en-US" w:eastAsia="zh-CN"/>
        </w:rPr>
      </w:pPr>
      <w:r>
        <w:rPr>
          <w:rFonts w:hint="default" w:ascii="仿宋_GB2312" w:hAnsi="Times New Roman" w:eastAsia="仿宋_GB2312" w:cs="Times New Roman"/>
          <w:sz w:val="32"/>
          <w:highlight w:val="none"/>
          <w:lang w:val="en-US" w:eastAsia="zh-CN"/>
        </w:rPr>
        <w:t>为保障项目工程顺利开展实施，</w:t>
      </w:r>
      <w:r>
        <w:rPr>
          <w:rFonts w:hint="eastAsia" w:ascii="仿宋_GB2312" w:hAnsi="Times New Roman" w:eastAsia="仿宋_GB2312" w:cs="Times New Roman"/>
          <w:sz w:val="32"/>
          <w:highlight w:val="none"/>
          <w:lang w:val="en-US" w:eastAsia="zh-CN"/>
        </w:rPr>
        <w:t>马驹桥镇关于治理类乡镇整治提升项目建立了项目领导小组，由副镇长领导，各相关科室主导该项目，</w:t>
      </w:r>
      <w:r>
        <w:rPr>
          <w:rFonts w:hint="eastAsia" w:ascii="仿宋_GB2312" w:cs="Times New Roman"/>
          <w:sz w:val="32"/>
          <w:highlight w:val="none"/>
          <w:lang w:val="en-US" w:eastAsia="zh-CN"/>
        </w:rPr>
        <w:t>市民诉求处置中心</w:t>
      </w:r>
      <w:r>
        <w:rPr>
          <w:rFonts w:hint="eastAsia" w:ascii="仿宋_GB2312" w:hAnsi="Times New Roman" w:eastAsia="仿宋_GB2312" w:cs="Times New Roman"/>
          <w:sz w:val="32"/>
          <w:highlight w:val="none"/>
          <w:lang w:val="en-US" w:eastAsia="zh-CN"/>
        </w:rPr>
        <w:t>配合，资金管理由镇财政科控制，整体组织管理机制相对健全、完整。为保障项目工程顺利开展实施，特制定技术管理制度及现场管理制度。技术管理制度主要包含：图纸自审、施工组织设计、技术交底、工程施工记录等四方面。现场施工管理制度主要包含：施工现场安全生产、施工现场临时用电管理、施工现场质量管理、项目工程例会等四方面内容。项目组织机构相对健全，</w:t>
      </w:r>
      <w:r>
        <w:rPr>
          <w:rFonts w:hint="eastAsia" w:ascii="仿宋_GB2312" w:hAnsi="仿宋_GB2312" w:eastAsia="仿宋_GB2312" w:cs="仿宋_GB2312"/>
          <w:sz w:val="32"/>
          <w:szCs w:val="32"/>
          <w:highlight w:val="none"/>
          <w:lang w:val="en-US" w:eastAsia="zh-CN"/>
        </w:rPr>
        <w:t>管理制度建设较完整。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（3）制度执行有效性分析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sz w:val="32"/>
          <w:highlight w:val="none"/>
          <w:lang w:val="en-US" w:eastAsia="zh-CN"/>
        </w:rPr>
      </w:pPr>
      <w:r>
        <w:rPr>
          <w:rFonts w:hint="eastAsia" w:ascii="仿宋_GB2312" w:hAnsi="Times New Roman" w:eastAsia="仿宋_GB2312" w:cs="Times New Roman"/>
          <w:sz w:val="32"/>
          <w:highlight w:val="none"/>
          <w:lang w:val="en-US" w:eastAsia="zh-CN"/>
        </w:rPr>
        <w:t>在项目实施过程中，马驹桥镇关于项目</w:t>
      </w:r>
      <w:r>
        <w:rPr>
          <w:rFonts w:hint="eastAsia" w:ascii="仿宋_GB2312" w:cs="Times New Roman"/>
          <w:sz w:val="32"/>
          <w:highlight w:val="none"/>
          <w:lang w:val="en-US" w:eastAsia="zh-CN"/>
        </w:rPr>
        <w:t>按</w:t>
      </w:r>
      <w:r>
        <w:rPr>
          <w:rFonts w:hint="eastAsia" w:ascii="仿宋_GB2312" w:hAnsi="Times New Roman" w:eastAsia="仿宋_GB2312" w:cs="Times New Roman"/>
          <w:sz w:val="32"/>
          <w:highlight w:val="none"/>
          <w:lang w:val="en-US" w:eastAsia="zh-CN"/>
        </w:rPr>
        <w:t>全程管控职责落实，</w:t>
      </w:r>
      <w:r>
        <w:rPr>
          <w:rFonts w:hint="eastAsia" w:ascii="仿宋_GB2312" w:cs="Times New Roman"/>
          <w:sz w:val="32"/>
          <w:highlight w:val="none"/>
          <w:lang w:val="en-US" w:eastAsia="zh-CN"/>
        </w:rPr>
        <w:t>各参建单位严格履职尽责，政府依据考核办法严格对各参建方进行考核并加强成本控制</w:t>
      </w:r>
      <w:r>
        <w:rPr>
          <w:rFonts w:hint="eastAsia" w:ascii="仿宋_GB2312" w:hAnsi="Times New Roman"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2" w:name="_Toc2485"/>
      <w:r>
        <w:rPr>
          <w:rFonts w:hint="eastAsia" w:ascii="楷体_GB2312" w:hAnsi="楷体_GB2312" w:eastAsia="楷体_GB2312" w:cs="楷体_GB2312"/>
          <w:sz w:val="32"/>
          <w:szCs w:val="32"/>
          <w:lang w:val="en-US" w:eastAsia="zh-CN"/>
        </w:rPr>
        <w:t>（三）项目产出情况</w:t>
      </w:r>
      <w:bookmarkEnd w:id="22"/>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1.项目产出数量分析</w:t>
      </w:r>
    </w:p>
    <w:p>
      <w:pPr>
        <w:adjustRightInd w:val="0"/>
        <w:snapToGrid w:val="0"/>
        <w:spacing w:beforeLines="0" w:afterLines="0" w:line="360" w:lineRule="auto"/>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Times New Roman" w:eastAsia="仿宋_GB2312" w:cs="Times New Roman"/>
          <w:sz w:val="32"/>
          <w:szCs w:val="32"/>
          <w:highlight w:val="none"/>
          <w:lang w:val="en-US" w:eastAsia="zh-CN"/>
        </w:rPr>
        <w:t>截至202</w:t>
      </w:r>
      <w:r>
        <w:rPr>
          <w:rFonts w:hint="eastAsia" w:ascii="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年12月31日，马驹桥镇按照</w:t>
      </w:r>
      <w:r>
        <w:rPr>
          <w:rFonts w:hint="eastAsia" w:ascii="仿宋_GB2312" w:eastAsia="仿宋_GB2312" w:cs="Times New Roman"/>
          <w:sz w:val="32"/>
          <w:szCs w:val="32"/>
          <w:highlight w:val="none"/>
          <w:lang w:val="en-US" w:eastAsia="zh-CN"/>
        </w:rPr>
        <w:t>202</w:t>
      </w:r>
      <w:r>
        <w:rPr>
          <w:rFonts w:hint="eastAsia" w:ascii="仿宋_GB2312" w:cs="Times New Roman"/>
          <w:sz w:val="32"/>
          <w:szCs w:val="32"/>
          <w:highlight w:val="none"/>
          <w:lang w:val="en-US" w:eastAsia="zh-CN"/>
        </w:rPr>
        <w:t>4</w:t>
      </w:r>
      <w:r>
        <w:rPr>
          <w:rFonts w:hint="eastAsia" w:ascii="仿宋_GB2312" w:eastAsia="仿宋_GB2312" w:cs="Times New Roman"/>
          <w:sz w:val="32"/>
          <w:szCs w:val="32"/>
          <w:highlight w:val="none"/>
          <w:lang w:val="en-US" w:eastAsia="zh-CN"/>
        </w:rPr>
        <w:t>年</w:t>
      </w:r>
      <w:r>
        <w:rPr>
          <w:rFonts w:hint="eastAsia" w:ascii="仿宋_GB2312" w:hAnsi="Times New Roman" w:eastAsia="仿宋_GB2312" w:cs="Times New Roman"/>
          <w:sz w:val="32"/>
          <w:szCs w:val="32"/>
          <w:highlight w:val="none"/>
          <w:lang w:val="en-US" w:eastAsia="zh-CN"/>
        </w:rPr>
        <w:t>工作计划基本完成了年度预期绩效目标，</w:t>
      </w:r>
      <w:r>
        <w:rPr>
          <w:rFonts w:hint="eastAsia" w:ascii="仿宋_GB2312" w:eastAsia="仿宋_GB2312" w:cs="Times New Roman"/>
          <w:sz w:val="32"/>
          <w:szCs w:val="32"/>
          <w:highlight w:val="none"/>
          <w:lang w:val="en-US" w:eastAsia="zh-CN"/>
        </w:rPr>
        <w:t>完成的子项目已</w:t>
      </w:r>
      <w:r>
        <w:rPr>
          <w:rFonts w:hint="eastAsia" w:ascii="仿宋_GB2312" w:hAnsi="Times New Roman" w:eastAsia="仿宋_GB2312" w:cs="Times New Roman"/>
          <w:sz w:val="32"/>
          <w:szCs w:val="32"/>
          <w:highlight w:val="none"/>
          <w:lang w:val="en-US" w:eastAsia="zh-CN"/>
        </w:rPr>
        <w:t>通过竣工验收</w:t>
      </w:r>
      <w:r>
        <w:rPr>
          <w:rFonts w:hint="eastAsia" w:ascii="仿宋_GB2312" w:cs="Times New Roman"/>
          <w:sz w:val="32"/>
          <w:szCs w:val="32"/>
          <w:highlight w:val="none"/>
          <w:lang w:val="en-US" w:eastAsia="zh-CN"/>
        </w:rPr>
        <w:t>，并完成结算工作</w:t>
      </w:r>
      <w:r>
        <w:rPr>
          <w:rFonts w:hint="eastAsia" w:ascii="仿宋_GB2312" w:eastAsia="仿宋_GB2312" w:cs="Times New Roman"/>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2.项目产出质量分析</w:t>
      </w:r>
    </w:p>
    <w:p>
      <w:pPr>
        <w:adjustRightInd w:val="0"/>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Hans"/>
        </w:rPr>
        <w:t>该项目产出质量指标设定为“</w:t>
      </w:r>
      <w:r>
        <w:rPr>
          <w:rFonts w:hint="eastAsia" w:ascii="仿宋_GB2312" w:hAnsi="Times New Roman" w:eastAsia="仿宋_GB2312" w:cs="Times New Roman"/>
          <w:sz w:val="32"/>
          <w:szCs w:val="32"/>
          <w:highlight w:val="none"/>
          <w:lang w:val="en-US" w:eastAsia="zh-CN"/>
        </w:rPr>
        <w:t>实施完毕项目竣工验收合格率100</w:t>
      </w:r>
      <w:r>
        <w:rPr>
          <w:rFonts w:hint="eastAsia" w:ascii="仿宋_GB2312" w:cs="Times New Roman"/>
          <w:sz w:val="32"/>
          <w:szCs w:val="32"/>
          <w:highlight w:val="none"/>
          <w:lang w:val="en-US" w:eastAsia="zh-CN"/>
        </w:rPr>
        <w:t>.00</w:t>
      </w:r>
      <w:r>
        <w:rPr>
          <w:rFonts w:hint="eastAsia" w:ascii="仿宋_GB2312" w:hAnsi="Times New Roman"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Hans"/>
        </w:rPr>
        <w:t>”</w:t>
      </w:r>
      <w:r>
        <w:rPr>
          <w:rFonts w:hint="eastAsia" w:ascii="仿宋_GB2312" w:hAnsi="Times New Roman" w:eastAsia="仿宋_GB2312" w:cs="Times New Roman"/>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3.项目产出时效分析</w:t>
      </w:r>
    </w:p>
    <w:p>
      <w:pPr>
        <w:adjustRightInd w:val="0"/>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Hans"/>
        </w:rPr>
        <w:t>根据项目进度指标设定“</w:t>
      </w:r>
      <w:r>
        <w:rPr>
          <w:rFonts w:hint="eastAsia" w:ascii="仿宋_GB2312" w:cs="Times New Roman"/>
          <w:sz w:val="32"/>
          <w:szCs w:val="32"/>
          <w:highlight w:val="none"/>
          <w:lang w:val="en-US" w:eastAsia="zh-CN"/>
        </w:rPr>
        <w:t>工程</w:t>
      </w:r>
      <w:r>
        <w:rPr>
          <w:rFonts w:hint="eastAsia" w:ascii="仿宋_GB2312" w:hAnsi="Times New Roman" w:eastAsia="仿宋_GB2312" w:cs="Times New Roman"/>
          <w:sz w:val="32"/>
          <w:szCs w:val="32"/>
          <w:highlight w:val="none"/>
          <w:lang w:val="en-US" w:eastAsia="zh-CN"/>
        </w:rPr>
        <w:t>进度</w:t>
      </w:r>
      <w:r>
        <w:rPr>
          <w:rFonts w:hint="eastAsia" w:ascii="仿宋_GB2312" w:cs="Times New Roman"/>
          <w:sz w:val="32"/>
          <w:szCs w:val="32"/>
          <w:highlight w:val="none"/>
          <w:lang w:val="en-US" w:eastAsia="zh-CN"/>
        </w:rPr>
        <w:t>已完成10</w:t>
      </w:r>
      <w:r>
        <w:rPr>
          <w:rFonts w:hint="eastAsia" w:ascii="仿宋_GB2312" w:hAnsi="Times New Roman" w:eastAsia="仿宋_GB2312" w:cs="Times New Roman"/>
          <w:sz w:val="32"/>
          <w:szCs w:val="32"/>
          <w:highlight w:val="none"/>
          <w:lang w:val="en-US" w:eastAsia="zh-CN"/>
        </w:rPr>
        <w:t>0</w:t>
      </w:r>
      <w:r>
        <w:rPr>
          <w:rFonts w:hint="eastAsia" w:ascii="仿宋_GB2312" w:cs="Times New Roman"/>
          <w:sz w:val="32"/>
          <w:szCs w:val="32"/>
          <w:highlight w:val="none"/>
          <w:lang w:val="en-US" w:eastAsia="zh-CN"/>
        </w:rPr>
        <w:t>.00</w:t>
      </w:r>
      <w:r>
        <w:rPr>
          <w:rFonts w:hint="eastAsia" w:ascii="仿宋_GB2312" w:hAnsi="Times New Roman"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Hans"/>
        </w:rPr>
        <w:t>”</w:t>
      </w:r>
      <w:r>
        <w:rPr>
          <w:rFonts w:hint="eastAsia" w:ascii="仿宋_GB2312" w:hAnsi="Times New Roman" w:eastAsia="仿宋_GB2312" w:cs="Times New Roman"/>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highlight w:val="none"/>
          <w:lang w:val="en-US" w:eastAsia="zh-CN"/>
        </w:rPr>
      </w:pPr>
      <w:r>
        <w:rPr>
          <w:rFonts w:hint="eastAsia" w:ascii="仿宋_GB2312" w:hAnsi="仿宋_GB2312" w:eastAsia="仿宋_GB2312" w:cs="仿宋_GB2312"/>
          <w:kern w:val="2"/>
          <w:sz w:val="32"/>
          <w:szCs w:val="32"/>
          <w:highlight w:val="none"/>
          <w:lang w:val="en-US" w:eastAsia="zh-CN" w:bidi="ar-SA"/>
        </w:rPr>
        <w:t>4.项目产出成本</w:t>
      </w:r>
    </w:p>
    <w:p>
      <w:pPr>
        <w:adjustRightInd w:val="0"/>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该项目202</w:t>
      </w:r>
      <w:r>
        <w:rPr>
          <w:rFonts w:hint="eastAsia" w:ascii="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年到位资金</w:t>
      </w:r>
      <w:r>
        <w:rPr>
          <w:rFonts w:hint="eastAsia" w:ascii="仿宋_GB2312" w:hAnsi="仿宋_GB2312" w:cs="仿宋_GB2312"/>
          <w:kern w:val="2"/>
          <w:szCs w:val="32"/>
          <w:highlight w:val="none"/>
          <w:lang w:val="en-US" w:eastAsia="zh-CN"/>
        </w:rPr>
        <w:t>770.47</w:t>
      </w:r>
      <w:r>
        <w:rPr>
          <w:rFonts w:hint="eastAsia" w:ascii="仿宋_GB2312" w:hAnsi="Times New Roman" w:eastAsia="仿宋_GB2312" w:cs="Times New Roman"/>
          <w:sz w:val="32"/>
          <w:szCs w:val="32"/>
          <w:highlight w:val="none"/>
          <w:lang w:val="en-US" w:eastAsia="zh-CN"/>
        </w:rPr>
        <w:t>万元，截至202</w:t>
      </w:r>
      <w:r>
        <w:rPr>
          <w:rFonts w:hint="eastAsia" w:ascii="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年12月31日，实际支出</w:t>
      </w:r>
      <w:r>
        <w:rPr>
          <w:rFonts w:hint="eastAsia" w:ascii="仿宋_GB2312" w:hAnsi="仿宋_GB2312" w:cs="仿宋_GB2312"/>
          <w:kern w:val="2"/>
          <w:szCs w:val="32"/>
          <w:highlight w:val="none"/>
          <w:lang w:val="en-US" w:eastAsia="zh-CN"/>
        </w:rPr>
        <w:t>770.47</w:t>
      </w:r>
      <w:r>
        <w:rPr>
          <w:rFonts w:hint="eastAsia" w:ascii="仿宋_GB2312" w:hAnsi="Times New Roman" w:eastAsia="仿宋_GB2312" w:cs="Times New Roman"/>
          <w:sz w:val="32"/>
          <w:szCs w:val="32"/>
          <w:highlight w:val="none"/>
          <w:lang w:val="en-US" w:eastAsia="zh-CN"/>
        </w:rPr>
        <w:t>万元，预算执行率100</w:t>
      </w:r>
      <w:r>
        <w:rPr>
          <w:rFonts w:hint="eastAsia" w:ascii="仿宋_GB2312" w:cs="Times New Roman"/>
          <w:sz w:val="32"/>
          <w:szCs w:val="32"/>
          <w:highlight w:val="none"/>
          <w:lang w:val="en-US" w:eastAsia="zh-CN"/>
        </w:rPr>
        <w:t>.00</w:t>
      </w:r>
      <w:bookmarkStart w:id="32" w:name="_GoBack"/>
      <w:bookmarkEnd w:id="32"/>
      <w:r>
        <w:rPr>
          <w:rFonts w:hint="eastAsia" w:ascii="仿宋_GB2312" w:hAnsi="Times New Roman" w:eastAsia="仿宋_GB2312" w:cs="Times New Roman"/>
          <w:sz w:val="32"/>
          <w:szCs w:val="32"/>
          <w:highlight w:val="none"/>
          <w:lang w:val="en-US" w:eastAsia="zh-CN"/>
        </w:rPr>
        <w:t>%</w:t>
      </w:r>
      <w:r>
        <w:rPr>
          <w:rFonts w:hint="eastAsia" w:ascii="仿宋_GB2312" w:cs="Times New Roman"/>
          <w:sz w:val="32"/>
          <w:szCs w:val="32"/>
          <w:highlight w:val="none"/>
          <w:lang w:val="en-US" w:eastAsia="zh-CN"/>
        </w:rPr>
        <w:t>；所有项目均为超批复概算</w:t>
      </w:r>
      <w:r>
        <w:rPr>
          <w:rFonts w:hint="eastAsia" w:ascii="仿宋_GB2312" w:hAnsi="Times New Roman" w:eastAsia="仿宋_GB2312" w:cs="Times New Roman"/>
          <w:sz w:val="32"/>
          <w:szCs w:val="32"/>
          <w:highlight w:val="none"/>
          <w:lang w:val="en-US" w:eastAsia="zh-CN"/>
        </w:rPr>
        <w:t>。</w:t>
      </w:r>
    </w:p>
    <w:bookmarkEnd w:id="2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3" w:name="_Toc145085525"/>
      <w:r>
        <w:rPr>
          <w:rFonts w:hint="eastAsia" w:ascii="楷体_GB2312" w:hAnsi="楷体_GB2312" w:eastAsia="楷体_GB2312" w:cs="楷体_GB2312"/>
          <w:sz w:val="32"/>
          <w:szCs w:val="32"/>
          <w:lang w:val="en-US" w:eastAsia="zh-CN"/>
        </w:rPr>
        <w:t>（四）项目效益情况</w:t>
      </w:r>
      <w:bookmarkEnd w:id="23"/>
    </w:p>
    <w:p>
      <w:pPr>
        <w:pageBreakBefore w:val="0"/>
        <w:kinsoku/>
        <w:wordWrap/>
        <w:topLinePunct w:val="0"/>
        <w:autoSpaceDE/>
        <w:autoSpaceDN/>
        <w:bidi w:val="0"/>
        <w:adjustRightInd w:val="0"/>
        <w:snapToGrid w:val="0"/>
        <w:spacing w:line="360" w:lineRule="auto"/>
        <w:ind w:firstLine="64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社会</w:t>
      </w:r>
      <w:r>
        <w:rPr>
          <w:rFonts w:hint="eastAsia" w:ascii="仿宋_GB2312" w:hAnsi="仿宋_GB2312" w:cs="仿宋_GB2312"/>
          <w:szCs w:val="32"/>
        </w:rPr>
        <w:t>效益指标完成情况</w:t>
      </w:r>
    </w:p>
    <w:p>
      <w:pPr>
        <w:pageBreakBefore w:val="0"/>
        <w:kinsoku/>
        <w:wordWrap/>
        <w:topLinePunct w:val="0"/>
        <w:autoSpaceDE/>
        <w:autoSpaceDN/>
        <w:bidi w:val="0"/>
        <w:adjustRightInd w:val="0"/>
        <w:snapToGrid w:val="0"/>
        <w:spacing w:line="360" w:lineRule="auto"/>
        <w:ind w:firstLine="640"/>
        <w:textAlignment w:val="auto"/>
        <w:rPr>
          <w:rFonts w:hint="eastAsia" w:ascii="仿宋_GB2312" w:hAnsi="仿宋_GB2312" w:cs="仿宋_GB2312"/>
          <w:szCs w:val="32"/>
        </w:rPr>
      </w:pPr>
      <w:r>
        <w:rPr>
          <w:rFonts w:hint="eastAsia" w:ascii="仿宋_GB2312" w:hAnsi="仿宋_GB2312" w:cs="仿宋_GB2312"/>
          <w:szCs w:val="32"/>
        </w:rPr>
        <w:t>通过项目的实施，改善了周围居民的生活条</w:t>
      </w:r>
      <w:r>
        <w:rPr>
          <w:rFonts w:hint="eastAsia" w:ascii="仿宋_GB2312"/>
          <w:szCs w:val="32"/>
        </w:rPr>
        <w:t>件，保障了居民生活安全，有效开发小区潜在停车资源</w:t>
      </w:r>
      <w:r>
        <w:rPr>
          <w:rFonts w:hint="eastAsia" w:ascii="仿宋_GB2312"/>
          <w:szCs w:val="32"/>
          <w:lang w:eastAsia="zh-CN"/>
        </w:rPr>
        <w:t>，</w:t>
      </w:r>
      <w:r>
        <w:rPr>
          <w:rFonts w:hint="eastAsia" w:ascii="仿宋_GB2312"/>
          <w:szCs w:val="32"/>
        </w:rPr>
        <w:t>为居民的生活、生产活动提供了有力的交通保障。项目的实施具有较高的社会效益</w:t>
      </w:r>
      <w:r>
        <w:rPr>
          <w:rFonts w:hint="eastAsia" w:ascii="仿宋_GB2312" w:hAnsi="仿宋_GB2312" w:cs="仿宋_GB2312"/>
          <w:szCs w:val="32"/>
        </w:rPr>
        <w:t>。</w:t>
      </w:r>
    </w:p>
    <w:p>
      <w:pPr>
        <w:pageBreakBefore w:val="0"/>
        <w:kinsoku/>
        <w:wordWrap/>
        <w:topLinePunct w:val="0"/>
        <w:autoSpaceDE/>
        <w:autoSpaceDN/>
        <w:bidi w:val="0"/>
        <w:adjustRightInd w:val="0"/>
        <w:snapToGrid w:val="0"/>
        <w:spacing w:line="360" w:lineRule="auto"/>
        <w:ind w:firstLine="640"/>
        <w:textAlignment w:val="auto"/>
        <w:rPr>
          <w:rFonts w:hint="eastAsia" w:ascii="仿宋_GB2312" w:hAnsi="仿宋_GB2312" w:cs="仿宋_GB2312"/>
          <w:szCs w:val="32"/>
        </w:rPr>
      </w:pPr>
      <w:r>
        <w:rPr>
          <w:rFonts w:hint="eastAsia" w:ascii="仿宋_GB2312" w:hAnsi="仿宋_GB2312" w:cs="仿宋_GB2312"/>
          <w:szCs w:val="32"/>
          <w:lang w:val="en-US" w:eastAsia="zh-CN"/>
        </w:rPr>
        <w:t>2</w:t>
      </w:r>
      <w:r>
        <w:rPr>
          <w:rFonts w:hint="eastAsia" w:ascii="仿宋_GB2312" w:hAnsi="仿宋_GB2312" w:cs="仿宋_GB2312"/>
          <w:szCs w:val="32"/>
        </w:rPr>
        <w:t>.</w:t>
      </w:r>
      <w:r>
        <w:rPr>
          <w:rFonts w:hint="eastAsia" w:ascii="仿宋_GB2312" w:hAnsi="仿宋_GB2312" w:cs="仿宋_GB2312"/>
          <w:szCs w:val="32"/>
          <w:lang w:val="en-US" w:eastAsia="zh-CN"/>
        </w:rPr>
        <w:t>生态</w:t>
      </w:r>
      <w:r>
        <w:rPr>
          <w:rFonts w:hint="eastAsia" w:ascii="仿宋_GB2312" w:hAnsi="仿宋_GB2312" w:cs="仿宋_GB2312"/>
          <w:szCs w:val="32"/>
        </w:rPr>
        <w:t>效益指标完成情况</w:t>
      </w:r>
    </w:p>
    <w:p>
      <w:pPr>
        <w:pStyle w:val="8"/>
        <w:rPr>
          <w:rFonts w:hint="eastAsia"/>
          <w:lang w:val="en-US" w:eastAsia="zh-CN"/>
        </w:rPr>
      </w:pPr>
      <w:r>
        <w:rPr>
          <w:rFonts w:hint="eastAsia" w:ascii="仿宋_GB2312" w:hAnsi="仿宋_GB2312" w:cs="仿宋_GB2312"/>
          <w:szCs w:val="32"/>
        </w:rPr>
        <w:t>通过项目的实施</w:t>
      </w:r>
      <w:r>
        <w:rPr>
          <w:rFonts w:hint="eastAsia" w:ascii="仿宋_GB2312" w:hAnsi="仿宋_GB2312" w:cs="仿宋_GB2312"/>
          <w:szCs w:val="32"/>
          <w:lang w:eastAsia="zh-CN"/>
        </w:rPr>
        <w:t>，</w:t>
      </w:r>
      <w:r>
        <w:rPr>
          <w:rFonts w:hint="eastAsia"/>
          <w:lang w:val="en-US" w:eastAsia="zh-CN"/>
        </w:rPr>
        <w:t>有效提升了居民生活环境，避免噪音污染，</w:t>
      </w:r>
      <w:r>
        <w:rPr>
          <w:rFonts w:hint="eastAsia" w:ascii="仿宋_GB2312"/>
          <w:szCs w:val="32"/>
        </w:rPr>
        <w:t>具有较高的</w:t>
      </w:r>
      <w:r>
        <w:rPr>
          <w:rFonts w:hint="eastAsia" w:ascii="仿宋_GB2312"/>
          <w:szCs w:val="32"/>
          <w:lang w:val="en-US" w:eastAsia="zh-CN"/>
        </w:rPr>
        <w:t>生态</w:t>
      </w:r>
      <w:r>
        <w:rPr>
          <w:rFonts w:hint="eastAsia" w:ascii="仿宋_GB2312"/>
          <w:szCs w:val="32"/>
        </w:rPr>
        <w:t>效益</w:t>
      </w:r>
      <w:r>
        <w:rPr>
          <w:rFonts w:hint="eastAsia" w:ascii="仿宋_GB2312" w:hAnsi="仿宋_GB2312" w:cs="仿宋_GB2312"/>
          <w:szCs w:val="32"/>
        </w:rPr>
        <w:t>。</w:t>
      </w:r>
    </w:p>
    <w:p>
      <w:pPr>
        <w:pStyle w:val="8"/>
        <w:rPr>
          <w:rFonts w:hint="default" w:eastAsia="仿宋_GB2312"/>
          <w:lang w:val="en-US" w:eastAsia="zh-CN"/>
        </w:rPr>
      </w:pPr>
      <w:r>
        <w:rPr>
          <w:rFonts w:hint="eastAsia"/>
          <w:lang w:val="en-US" w:eastAsia="zh-CN"/>
        </w:rPr>
        <w:t>3.可持续影响指标完成情况</w:t>
      </w:r>
    </w:p>
    <w:p>
      <w:pPr>
        <w:pStyle w:val="8"/>
        <w:rPr>
          <w:rFonts w:hint="default" w:eastAsia="仿宋_GB2312"/>
          <w:lang w:val="en-US" w:eastAsia="zh-CN"/>
        </w:rPr>
      </w:pPr>
      <w:r>
        <w:rPr>
          <w:rFonts w:hint="eastAsia" w:ascii="仿宋_GB2312" w:hAnsi="仿宋_GB2312" w:cs="仿宋_GB2312"/>
          <w:szCs w:val="32"/>
        </w:rPr>
        <w:t>通过项目的实施</w:t>
      </w:r>
      <w:r>
        <w:rPr>
          <w:rFonts w:hint="eastAsia" w:ascii="仿宋_GB2312" w:hAnsi="仿宋_GB2312" w:cs="仿宋_GB2312"/>
          <w:szCs w:val="32"/>
          <w:lang w:eastAsia="zh-CN"/>
        </w:rPr>
        <w:t>，</w:t>
      </w:r>
      <w:r>
        <w:rPr>
          <w:rFonts w:hint="eastAsia"/>
          <w:lang w:val="en-US" w:eastAsia="zh-CN"/>
        </w:rPr>
        <w:t>有效提升了居民生活环境，</w:t>
      </w:r>
      <w:r>
        <w:rPr>
          <w:rFonts w:hint="eastAsia" w:ascii="仿宋_GB2312" w:hAnsi="仿宋_GB2312" w:cs="仿宋_GB2312"/>
          <w:szCs w:val="32"/>
        </w:rPr>
        <w:t>改善了居民的生活条</w:t>
      </w:r>
      <w:r>
        <w:rPr>
          <w:rFonts w:hint="eastAsia" w:ascii="仿宋_GB2312"/>
          <w:szCs w:val="32"/>
        </w:rPr>
        <w:t>件，保障了居民生活安全</w:t>
      </w:r>
      <w:r>
        <w:rPr>
          <w:rFonts w:hint="eastAsia" w:ascii="仿宋_GB2312"/>
          <w:szCs w:val="32"/>
          <w:lang w:eastAsia="zh-CN"/>
        </w:rPr>
        <w:t>，</w:t>
      </w:r>
      <w:r>
        <w:rPr>
          <w:rFonts w:hint="eastAsia" w:ascii="仿宋_GB2312"/>
          <w:szCs w:val="32"/>
          <w:lang w:val="en-US" w:eastAsia="zh-CN"/>
        </w:rPr>
        <w:t>有效降低了12345投诉率。</w:t>
      </w:r>
    </w:p>
    <w:p>
      <w:pPr>
        <w:pStyle w:val="3"/>
        <w:pageBreakBefore w:val="0"/>
        <w:kinsoku/>
        <w:wordWrap/>
        <w:topLinePunct w:val="0"/>
        <w:autoSpaceDE/>
        <w:autoSpaceDN/>
        <w:bidi w:val="0"/>
        <w:spacing w:line="360" w:lineRule="auto"/>
        <w:ind w:firstLine="643"/>
        <w:jc w:val="left"/>
        <w:textAlignment w:val="auto"/>
      </w:pPr>
      <w:bookmarkStart w:id="24" w:name="_Toc143761464"/>
      <w:bookmarkStart w:id="25" w:name="_Toc145085526"/>
      <w:r>
        <w:rPr>
          <w:rFonts w:hint="eastAsia"/>
        </w:rPr>
        <w:t>五、</w:t>
      </w:r>
      <w:bookmarkEnd w:id="24"/>
      <w:r>
        <w:rPr>
          <w:rFonts w:hint="eastAsia"/>
        </w:rPr>
        <w:t>主要经验及做法、存在的问题及原因分析</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6" w:name="_Toc145085527"/>
      <w:r>
        <w:rPr>
          <w:rFonts w:hint="eastAsia" w:ascii="楷体_GB2312" w:hAnsi="楷体_GB2312" w:eastAsia="楷体_GB2312" w:cs="楷体_GB2312"/>
          <w:sz w:val="32"/>
          <w:szCs w:val="32"/>
          <w:lang w:val="en-US" w:eastAsia="zh-CN"/>
        </w:rPr>
        <w:t>（一）主要经验及做法</w:t>
      </w:r>
      <w:bookmarkEnd w:id="26"/>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为深入落实全市接诉即办工作条例要求，进一步强化“主动治理，未诉先办”，按照市“接诉即办”改革专项小组的整体工作部署，马驹桥镇能够围绕群众诉求集中领域，聚焦群众诉求集中的重难点问题，梳理了</w:t>
      </w:r>
      <w:r>
        <w:rPr>
          <w:rFonts w:hint="eastAsia" w:ascii="仿宋_GB2312" w:hAnsi="仿宋_GB2312" w:cs="仿宋_GB2312"/>
          <w:kern w:val="2"/>
          <w:szCs w:val="32"/>
          <w:lang w:val="en-US" w:eastAsia="zh-CN"/>
        </w:rPr>
        <w:t>2020-</w:t>
      </w:r>
      <w:r>
        <w:rPr>
          <w:rFonts w:hint="eastAsia" w:ascii="仿宋_GB2312" w:hAnsi="仿宋_GB2312" w:cs="仿宋_GB2312"/>
          <w:kern w:val="2"/>
          <w:szCs w:val="32"/>
        </w:rPr>
        <w:t>2</w:t>
      </w:r>
      <w:r>
        <w:rPr>
          <w:rFonts w:ascii="仿宋_GB2312" w:hAnsi="仿宋_GB2312" w:cs="仿宋_GB2312"/>
          <w:kern w:val="2"/>
          <w:szCs w:val="32"/>
        </w:rPr>
        <w:t>02</w:t>
      </w:r>
      <w:r>
        <w:rPr>
          <w:rFonts w:hint="eastAsia" w:ascii="仿宋_GB2312" w:hAnsi="仿宋_GB2312" w:cs="仿宋_GB2312"/>
          <w:kern w:val="2"/>
          <w:szCs w:val="32"/>
          <w:lang w:val="en-US" w:eastAsia="zh-CN"/>
        </w:rPr>
        <w:t>2</w:t>
      </w:r>
      <w:r>
        <w:rPr>
          <w:rFonts w:hint="eastAsia" w:ascii="仿宋_GB2312" w:hAnsi="仿宋_GB2312" w:cs="仿宋_GB2312"/>
          <w:kern w:val="2"/>
          <w:szCs w:val="32"/>
        </w:rPr>
        <w:t>年度治理类乡镇市级补助各子项目，项目涉及居民诉求类型较多，较高效地解决老百姓的民生需求问题。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lang w:val="en-US" w:eastAsia="zh-CN"/>
        </w:rPr>
      </w:pPr>
      <w:bookmarkStart w:id="27" w:name="_Toc145085528"/>
      <w:r>
        <w:rPr>
          <w:rFonts w:hint="eastAsia" w:ascii="楷体_GB2312" w:hAnsi="楷体_GB2312" w:eastAsia="楷体_GB2312" w:cs="楷体_GB2312"/>
          <w:sz w:val="32"/>
          <w:szCs w:val="32"/>
          <w:lang w:val="en-US" w:eastAsia="zh-CN"/>
        </w:rPr>
        <w:t>（二）存在的问题及原因分析</w:t>
      </w:r>
      <w:bookmarkEnd w:id="27"/>
    </w:p>
    <w:p>
      <w:pPr>
        <w:pStyle w:val="18"/>
        <w:pageBreakBefore w:val="0"/>
        <w:widowControl w:val="0"/>
        <w:kinsoku/>
        <w:wordWrap/>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仿宋_GB2312" w:cs="仿宋_GB2312"/>
          <w:kern w:val="2"/>
          <w:szCs w:val="32"/>
        </w:rPr>
      </w:pPr>
      <w:r>
        <w:rPr>
          <w:rFonts w:hint="eastAsia" w:ascii="仿宋_GB2312" w:hAnsi="仿宋_GB2312" w:cs="仿宋_GB2312"/>
          <w:kern w:val="2"/>
          <w:szCs w:val="32"/>
        </w:rPr>
        <w:t>1.项目前期决策资料不完整：缺少可研报告，未对项目背景、整治点位、资金投入的必要性进行阐述。</w:t>
      </w:r>
    </w:p>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lang w:val="en-US" w:eastAsia="zh-CN"/>
        </w:rPr>
        <w:t>2</w:t>
      </w:r>
      <w:r>
        <w:rPr>
          <w:rFonts w:ascii="仿宋_GB2312" w:hAnsi="仿宋_GB2312" w:cs="仿宋_GB2312"/>
          <w:szCs w:val="32"/>
        </w:rPr>
        <w:t>.</w:t>
      </w:r>
      <w:r>
        <w:rPr>
          <w:rFonts w:hint="eastAsia" w:ascii="仿宋_GB2312" w:hAnsi="仿宋_GB2312" w:cs="仿宋_GB2312"/>
          <w:szCs w:val="32"/>
        </w:rPr>
        <w:t>项目产生效益呈现不足，缺少对间接经济效益的统计分析。</w:t>
      </w:r>
    </w:p>
    <w:p>
      <w:pPr>
        <w:pStyle w:val="3"/>
        <w:pageBreakBefore w:val="0"/>
        <w:kinsoku/>
        <w:wordWrap/>
        <w:topLinePunct w:val="0"/>
        <w:autoSpaceDE/>
        <w:autoSpaceDN/>
        <w:bidi w:val="0"/>
        <w:spacing w:line="360" w:lineRule="auto"/>
        <w:ind w:firstLine="643"/>
        <w:textAlignment w:val="auto"/>
      </w:pPr>
      <w:bookmarkStart w:id="28" w:name="_Toc143761465"/>
      <w:bookmarkStart w:id="29" w:name="_Toc145085529"/>
      <w:r>
        <w:rPr>
          <w:rFonts w:hint="eastAsia"/>
        </w:rPr>
        <w:t>六、</w:t>
      </w:r>
      <w:bookmarkEnd w:id="28"/>
      <w:r>
        <w:rPr>
          <w:rFonts w:hint="eastAsia"/>
        </w:rPr>
        <w:t>有关建议</w:t>
      </w:r>
      <w:bookmarkEnd w:id="29"/>
    </w:p>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highlight w:val="yellow"/>
        </w:rPr>
      </w:pPr>
      <w:r>
        <w:rPr>
          <w:rFonts w:hint="eastAsia" w:ascii="仿宋_GB2312" w:hAnsi="仿宋_GB2312" w:cs="仿宋_GB2312"/>
          <w:szCs w:val="32"/>
        </w:rPr>
        <w:t>（一）提高决策的科学性，加强项目前期需求调研及分析，完善项目库，完整呈现项目决策全过程，并对决策资料进行留存。</w:t>
      </w:r>
    </w:p>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二</w:t>
      </w:r>
      <w:r>
        <w:rPr>
          <w:rFonts w:hint="eastAsia" w:ascii="仿宋_GB2312" w:hAnsi="仿宋_GB2312" w:cs="仿宋_GB2312"/>
          <w:szCs w:val="32"/>
        </w:rPr>
        <w:t>）加强预算编制，预算支出应符合相关政策要求，预算测算标准应有据可依，提高预算编制的合理性、准确性。</w:t>
      </w:r>
    </w:p>
    <w:p>
      <w:pPr>
        <w:pStyle w:val="8"/>
        <w:pageBreakBefore w:val="0"/>
        <w:kinsoku/>
        <w:wordWrap/>
        <w:topLinePunct w:val="0"/>
        <w:autoSpaceDE/>
        <w:autoSpaceDN/>
        <w:bidi w:val="0"/>
        <w:adjustRightInd w:val="0"/>
        <w:snapToGrid w:val="0"/>
        <w:spacing w:after="0" w:line="360" w:lineRule="auto"/>
        <w:ind w:firstLine="640"/>
        <w:textAlignment w:val="auto"/>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三</w:t>
      </w:r>
      <w:r>
        <w:rPr>
          <w:rFonts w:hint="eastAsia" w:ascii="仿宋_GB2312" w:hAnsi="仿宋_GB2312" w:cs="仿宋_GB2312"/>
          <w:szCs w:val="32"/>
        </w:rPr>
        <w:t>）重视工作成果的反馈，对于直接关系到民众的项目，有效开展服务对象满意度调查工作，科学设计调查问卷，通过综合分析，倾听公众的声音和诉求，持续解决项目组织实施过程中存在的问题，增强项目的社会效益。</w:t>
      </w:r>
    </w:p>
    <w:p>
      <w:pPr>
        <w:pStyle w:val="3"/>
        <w:pageBreakBefore w:val="0"/>
        <w:kinsoku/>
        <w:wordWrap/>
        <w:topLinePunct w:val="0"/>
        <w:autoSpaceDE/>
        <w:autoSpaceDN/>
        <w:bidi w:val="0"/>
        <w:spacing w:line="360" w:lineRule="auto"/>
        <w:ind w:firstLine="643"/>
        <w:textAlignment w:val="auto"/>
      </w:pPr>
      <w:bookmarkStart w:id="30" w:name="_Toc143761466"/>
      <w:bookmarkStart w:id="31" w:name="_Toc145085530"/>
      <w:r>
        <w:rPr>
          <w:rFonts w:hint="eastAsia"/>
        </w:rPr>
        <w:t>七、</w:t>
      </w:r>
      <w:bookmarkEnd w:id="30"/>
      <w:r>
        <w:rPr>
          <w:rFonts w:hint="eastAsia"/>
        </w:rPr>
        <w:t>其他需要说明的问题</w:t>
      </w:r>
      <w:bookmarkEnd w:id="31"/>
    </w:p>
    <w:p>
      <w:pPr>
        <w:pageBreakBefore w:val="0"/>
        <w:kinsoku/>
        <w:wordWrap/>
        <w:topLinePunct w:val="0"/>
        <w:autoSpaceDE/>
        <w:autoSpaceDN/>
        <w:bidi w:val="0"/>
        <w:adjustRightInd w:val="0"/>
        <w:snapToGrid w:val="0"/>
        <w:spacing w:line="360" w:lineRule="auto"/>
        <w:ind w:firstLine="640"/>
        <w:textAlignment w:val="auto"/>
        <w:rPr>
          <w:rFonts w:ascii="仿宋_GB2312" w:hAnsi="仿宋_GB2312" w:cs="仿宋_GB2312"/>
          <w:szCs w:val="32"/>
        </w:rPr>
      </w:pPr>
      <w:r>
        <w:rPr>
          <w:rFonts w:hint="eastAsia" w:ascii="仿宋_GB2312" w:hAnsi="仿宋_GB2312" w:cs="仿宋_GB2312"/>
          <w:szCs w:val="32"/>
          <w:lang w:val="en-US" w:eastAsia="zh-CN"/>
        </w:rPr>
        <w:t>无</w:t>
      </w:r>
      <w:r>
        <w:rPr>
          <w:rFonts w:hint="eastAsia" w:ascii="仿宋_GB2312" w:hAnsi="仿宋_GB2312" w:cs="仿宋_GB2312"/>
          <w:szCs w:val="32"/>
        </w:rPr>
        <w:t>。</w:t>
      </w:r>
    </w:p>
    <w:p>
      <w:pPr>
        <w:pStyle w:val="5"/>
        <w:pageBreakBefore w:val="0"/>
        <w:kinsoku/>
        <w:wordWrap/>
        <w:topLinePunct w:val="0"/>
        <w:autoSpaceDE/>
        <w:autoSpaceDN/>
        <w:bidi w:val="0"/>
        <w:spacing w:line="360" w:lineRule="auto"/>
        <w:ind w:firstLine="0" w:firstLineChars="0"/>
        <w:textAlignment w:val="auto"/>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8E796-58F4-49A3-877F-6039AB7F00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56B329E-1FC1-492C-8C29-033AE6346832}"/>
  </w:font>
  <w:font w:name="仿宋_GB2312">
    <w:panose1 w:val="02010609030101010101"/>
    <w:charset w:val="86"/>
    <w:family w:val="modern"/>
    <w:pitch w:val="default"/>
    <w:sig w:usb0="00000000" w:usb1="00000000" w:usb2="00000000" w:usb3="00000000" w:csb0="00000000" w:csb1="00000000"/>
    <w:embedRegular r:id="rId3" w:fontKey="{FBC41F25-F25A-481A-A306-E5E758EC6F0D}"/>
  </w:font>
  <w:font w:name="楷体_GB2312">
    <w:panose1 w:val="02010609030101010101"/>
    <w:charset w:val="86"/>
    <w:family w:val="modern"/>
    <w:pitch w:val="default"/>
    <w:sig w:usb0="00000000" w:usb1="00000000" w:usb2="00000000" w:usb3="00000000" w:csb0="00000000" w:csb1="00000000"/>
    <w:embedRegular r:id="rId4" w:fontKey="{94DBD384-38F1-4D6D-AC26-E5B1E06B4FDD}"/>
  </w:font>
  <w:font w:name="楷体">
    <w:panose1 w:val="02010609060101010101"/>
    <w:charset w:val="86"/>
    <w:family w:val="auto"/>
    <w:pitch w:val="default"/>
    <w:sig w:usb0="800002BF" w:usb1="38CF7CFA" w:usb2="00000016" w:usb3="00000000" w:csb0="00040001" w:csb1="00000000"/>
    <w:embedRegular r:id="rId5" w:fontKey="{67C2B409-69D1-418C-92D1-CFA0C3071132}"/>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6" w:fontKey="{242D70C5-0BF8-4F2E-B2B9-78540773A131}"/>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094191"/>
    </w:sdtPr>
    <w:sdtContent>
      <w:p>
        <w:pPr>
          <w:pStyle w:val="13"/>
          <w:ind w:firstLine="360"/>
          <w:jc w:val="center"/>
        </w:pPr>
        <w:r>
          <w:fldChar w:fldCharType="begin"/>
        </w:r>
        <w:r>
          <w:instrText xml:space="preserve">PAGE   \* MERGEFORMAT</w:instrText>
        </w:r>
        <w:r>
          <w:fldChar w:fldCharType="separate"/>
        </w:r>
        <w:r>
          <w:rPr>
            <w:lang w:val="zh-CN"/>
          </w:rPr>
          <w:t>16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D98FC"/>
    <w:multiLevelType w:val="singleLevel"/>
    <w:tmpl w:val="889D98FC"/>
    <w:lvl w:ilvl="0" w:tentative="0">
      <w:start w:val="3"/>
      <w:numFmt w:val="decimal"/>
      <w:suff w:val="nothing"/>
      <w:lvlText w:val="（%1）"/>
      <w:lvlJc w:val="left"/>
    </w:lvl>
  </w:abstractNum>
  <w:abstractNum w:abstractNumId="1">
    <w:nsid w:val="1C2C1009"/>
    <w:multiLevelType w:val="multilevel"/>
    <w:tmpl w:val="1C2C1009"/>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1276"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M2Y2ODMyMDQzMWQwM2QzMjMyYWQzNzAyMTY5NWQifQ=="/>
  </w:docVars>
  <w:rsids>
    <w:rsidRoot w:val="00946B34"/>
    <w:rsid w:val="0000377B"/>
    <w:rsid w:val="0001331F"/>
    <w:rsid w:val="000454FA"/>
    <w:rsid w:val="000466EE"/>
    <w:rsid w:val="0005054E"/>
    <w:rsid w:val="00060EB3"/>
    <w:rsid w:val="00061A29"/>
    <w:rsid w:val="000622B3"/>
    <w:rsid w:val="00075D65"/>
    <w:rsid w:val="000820E0"/>
    <w:rsid w:val="000852E5"/>
    <w:rsid w:val="00090737"/>
    <w:rsid w:val="000A6CA3"/>
    <w:rsid w:val="000A7B95"/>
    <w:rsid w:val="000B1815"/>
    <w:rsid w:val="000C1BB6"/>
    <w:rsid w:val="000D163E"/>
    <w:rsid w:val="000D401D"/>
    <w:rsid w:val="000F4404"/>
    <w:rsid w:val="00106660"/>
    <w:rsid w:val="00111329"/>
    <w:rsid w:val="00116CFC"/>
    <w:rsid w:val="001274FD"/>
    <w:rsid w:val="00130FB0"/>
    <w:rsid w:val="00131C56"/>
    <w:rsid w:val="001344BD"/>
    <w:rsid w:val="001469E7"/>
    <w:rsid w:val="00175D39"/>
    <w:rsid w:val="001800AE"/>
    <w:rsid w:val="0018076D"/>
    <w:rsid w:val="00180789"/>
    <w:rsid w:val="00184394"/>
    <w:rsid w:val="001C0339"/>
    <w:rsid w:val="001C0B8D"/>
    <w:rsid w:val="001D5954"/>
    <w:rsid w:val="001E0D93"/>
    <w:rsid w:val="001F0A52"/>
    <w:rsid w:val="001F1EB3"/>
    <w:rsid w:val="001F2AFD"/>
    <w:rsid w:val="001F4AB4"/>
    <w:rsid w:val="002028C3"/>
    <w:rsid w:val="00204F47"/>
    <w:rsid w:val="002154A4"/>
    <w:rsid w:val="00217012"/>
    <w:rsid w:val="002270E0"/>
    <w:rsid w:val="0024142B"/>
    <w:rsid w:val="0025030E"/>
    <w:rsid w:val="00271838"/>
    <w:rsid w:val="002743E5"/>
    <w:rsid w:val="00280B21"/>
    <w:rsid w:val="00283A2A"/>
    <w:rsid w:val="002A473B"/>
    <w:rsid w:val="002A546C"/>
    <w:rsid w:val="002A7B3F"/>
    <w:rsid w:val="002B7999"/>
    <w:rsid w:val="002C27E3"/>
    <w:rsid w:val="002E1FFB"/>
    <w:rsid w:val="002F446D"/>
    <w:rsid w:val="002F7A13"/>
    <w:rsid w:val="003254C9"/>
    <w:rsid w:val="00325769"/>
    <w:rsid w:val="003272BE"/>
    <w:rsid w:val="00334254"/>
    <w:rsid w:val="00334C92"/>
    <w:rsid w:val="00353BFE"/>
    <w:rsid w:val="00363B95"/>
    <w:rsid w:val="003644CB"/>
    <w:rsid w:val="00364840"/>
    <w:rsid w:val="003657D0"/>
    <w:rsid w:val="00366D31"/>
    <w:rsid w:val="0038010A"/>
    <w:rsid w:val="003849D1"/>
    <w:rsid w:val="003A427E"/>
    <w:rsid w:val="003A4D76"/>
    <w:rsid w:val="003A66D2"/>
    <w:rsid w:val="003B0620"/>
    <w:rsid w:val="003E3A03"/>
    <w:rsid w:val="0040274D"/>
    <w:rsid w:val="00406FF6"/>
    <w:rsid w:val="004118B7"/>
    <w:rsid w:val="004302B2"/>
    <w:rsid w:val="00430C3A"/>
    <w:rsid w:val="00433955"/>
    <w:rsid w:val="00433D25"/>
    <w:rsid w:val="00436F73"/>
    <w:rsid w:val="00444563"/>
    <w:rsid w:val="00454093"/>
    <w:rsid w:val="004543A6"/>
    <w:rsid w:val="0046195B"/>
    <w:rsid w:val="004639B7"/>
    <w:rsid w:val="00475921"/>
    <w:rsid w:val="004C4ACE"/>
    <w:rsid w:val="00502628"/>
    <w:rsid w:val="005166C7"/>
    <w:rsid w:val="00520C82"/>
    <w:rsid w:val="00521641"/>
    <w:rsid w:val="00534BBE"/>
    <w:rsid w:val="0054100D"/>
    <w:rsid w:val="00544FEB"/>
    <w:rsid w:val="00547662"/>
    <w:rsid w:val="0055239E"/>
    <w:rsid w:val="00553CE2"/>
    <w:rsid w:val="00573555"/>
    <w:rsid w:val="00576A8F"/>
    <w:rsid w:val="005811AA"/>
    <w:rsid w:val="00587752"/>
    <w:rsid w:val="005A47D5"/>
    <w:rsid w:val="005B0CE4"/>
    <w:rsid w:val="005B1C51"/>
    <w:rsid w:val="005D52B5"/>
    <w:rsid w:val="005E1940"/>
    <w:rsid w:val="005F1C46"/>
    <w:rsid w:val="00601516"/>
    <w:rsid w:val="00605071"/>
    <w:rsid w:val="00605640"/>
    <w:rsid w:val="00606A11"/>
    <w:rsid w:val="00614CD2"/>
    <w:rsid w:val="006151C5"/>
    <w:rsid w:val="00627F95"/>
    <w:rsid w:val="0063256B"/>
    <w:rsid w:val="0063740C"/>
    <w:rsid w:val="006463F9"/>
    <w:rsid w:val="0064780E"/>
    <w:rsid w:val="00653B02"/>
    <w:rsid w:val="0065504F"/>
    <w:rsid w:val="00660B0B"/>
    <w:rsid w:val="00666629"/>
    <w:rsid w:val="00677E02"/>
    <w:rsid w:val="0069090B"/>
    <w:rsid w:val="00692179"/>
    <w:rsid w:val="00694CDB"/>
    <w:rsid w:val="00697A9C"/>
    <w:rsid w:val="006A58F3"/>
    <w:rsid w:val="006B680F"/>
    <w:rsid w:val="006D72C0"/>
    <w:rsid w:val="006E5F2C"/>
    <w:rsid w:val="007002EF"/>
    <w:rsid w:val="007003BD"/>
    <w:rsid w:val="007133C7"/>
    <w:rsid w:val="0072569E"/>
    <w:rsid w:val="00732F6D"/>
    <w:rsid w:val="00741829"/>
    <w:rsid w:val="0074384A"/>
    <w:rsid w:val="0076234F"/>
    <w:rsid w:val="007666B5"/>
    <w:rsid w:val="00767EDF"/>
    <w:rsid w:val="00777343"/>
    <w:rsid w:val="00777FDB"/>
    <w:rsid w:val="0078078D"/>
    <w:rsid w:val="00782165"/>
    <w:rsid w:val="00784AF9"/>
    <w:rsid w:val="007900A5"/>
    <w:rsid w:val="007950AB"/>
    <w:rsid w:val="007B323E"/>
    <w:rsid w:val="007E6A41"/>
    <w:rsid w:val="007E6E3B"/>
    <w:rsid w:val="007F0C02"/>
    <w:rsid w:val="007F615C"/>
    <w:rsid w:val="007F6E12"/>
    <w:rsid w:val="007F7417"/>
    <w:rsid w:val="00804DA5"/>
    <w:rsid w:val="0081797C"/>
    <w:rsid w:val="00820743"/>
    <w:rsid w:val="0082659C"/>
    <w:rsid w:val="00834502"/>
    <w:rsid w:val="00834B5A"/>
    <w:rsid w:val="00844169"/>
    <w:rsid w:val="008445BC"/>
    <w:rsid w:val="00855A00"/>
    <w:rsid w:val="00861D59"/>
    <w:rsid w:val="008669B5"/>
    <w:rsid w:val="008866BC"/>
    <w:rsid w:val="008941F2"/>
    <w:rsid w:val="008A24F1"/>
    <w:rsid w:val="008B240B"/>
    <w:rsid w:val="008B5A43"/>
    <w:rsid w:val="008B7CFA"/>
    <w:rsid w:val="008D3D5A"/>
    <w:rsid w:val="008E01DB"/>
    <w:rsid w:val="008E4703"/>
    <w:rsid w:val="008F635C"/>
    <w:rsid w:val="0090328D"/>
    <w:rsid w:val="00903836"/>
    <w:rsid w:val="00910DD7"/>
    <w:rsid w:val="00912B2F"/>
    <w:rsid w:val="00921F1F"/>
    <w:rsid w:val="00925757"/>
    <w:rsid w:val="00925837"/>
    <w:rsid w:val="00925E60"/>
    <w:rsid w:val="0092756A"/>
    <w:rsid w:val="00931067"/>
    <w:rsid w:val="00946B34"/>
    <w:rsid w:val="00954A89"/>
    <w:rsid w:val="0096050D"/>
    <w:rsid w:val="00960D5E"/>
    <w:rsid w:val="00961854"/>
    <w:rsid w:val="00963D85"/>
    <w:rsid w:val="009642DE"/>
    <w:rsid w:val="00971E3A"/>
    <w:rsid w:val="0097393A"/>
    <w:rsid w:val="00986727"/>
    <w:rsid w:val="00992145"/>
    <w:rsid w:val="00996BD1"/>
    <w:rsid w:val="009A7A08"/>
    <w:rsid w:val="009C65C0"/>
    <w:rsid w:val="009D0222"/>
    <w:rsid w:val="009F66F8"/>
    <w:rsid w:val="00A2001C"/>
    <w:rsid w:val="00A32ED0"/>
    <w:rsid w:val="00A3573B"/>
    <w:rsid w:val="00A3644D"/>
    <w:rsid w:val="00A36A8B"/>
    <w:rsid w:val="00A47823"/>
    <w:rsid w:val="00A47AFC"/>
    <w:rsid w:val="00A61536"/>
    <w:rsid w:val="00A62449"/>
    <w:rsid w:val="00A7172A"/>
    <w:rsid w:val="00A75998"/>
    <w:rsid w:val="00A77892"/>
    <w:rsid w:val="00A8146E"/>
    <w:rsid w:val="00A830A4"/>
    <w:rsid w:val="00A8740C"/>
    <w:rsid w:val="00A90891"/>
    <w:rsid w:val="00A94DE6"/>
    <w:rsid w:val="00AA41B4"/>
    <w:rsid w:val="00AB6669"/>
    <w:rsid w:val="00AB6F58"/>
    <w:rsid w:val="00AB7F2A"/>
    <w:rsid w:val="00AE4CA7"/>
    <w:rsid w:val="00AE7819"/>
    <w:rsid w:val="00AF4C27"/>
    <w:rsid w:val="00AF72B1"/>
    <w:rsid w:val="00B01DCE"/>
    <w:rsid w:val="00B15404"/>
    <w:rsid w:val="00B16A62"/>
    <w:rsid w:val="00B16B1D"/>
    <w:rsid w:val="00B21919"/>
    <w:rsid w:val="00B36AF4"/>
    <w:rsid w:val="00B441A9"/>
    <w:rsid w:val="00B4545F"/>
    <w:rsid w:val="00B46744"/>
    <w:rsid w:val="00B73D16"/>
    <w:rsid w:val="00B92EA8"/>
    <w:rsid w:val="00B9527B"/>
    <w:rsid w:val="00B97EA4"/>
    <w:rsid w:val="00BB110B"/>
    <w:rsid w:val="00BB222E"/>
    <w:rsid w:val="00BC5C40"/>
    <w:rsid w:val="00BC781F"/>
    <w:rsid w:val="00BE3913"/>
    <w:rsid w:val="00BE609A"/>
    <w:rsid w:val="00BF1DA6"/>
    <w:rsid w:val="00BF5F91"/>
    <w:rsid w:val="00C10574"/>
    <w:rsid w:val="00C30F12"/>
    <w:rsid w:val="00C36D50"/>
    <w:rsid w:val="00C46A95"/>
    <w:rsid w:val="00C53A8D"/>
    <w:rsid w:val="00C70A26"/>
    <w:rsid w:val="00C8209D"/>
    <w:rsid w:val="00CB05DE"/>
    <w:rsid w:val="00CB6626"/>
    <w:rsid w:val="00CB6700"/>
    <w:rsid w:val="00CC22B8"/>
    <w:rsid w:val="00CC5833"/>
    <w:rsid w:val="00CF59C0"/>
    <w:rsid w:val="00D16235"/>
    <w:rsid w:val="00D245BE"/>
    <w:rsid w:val="00D36717"/>
    <w:rsid w:val="00D5742E"/>
    <w:rsid w:val="00D8358C"/>
    <w:rsid w:val="00D94D12"/>
    <w:rsid w:val="00D96EB4"/>
    <w:rsid w:val="00DA2041"/>
    <w:rsid w:val="00DA2A35"/>
    <w:rsid w:val="00DB537E"/>
    <w:rsid w:val="00E00EBA"/>
    <w:rsid w:val="00E200C3"/>
    <w:rsid w:val="00E33383"/>
    <w:rsid w:val="00E359AA"/>
    <w:rsid w:val="00E42C6D"/>
    <w:rsid w:val="00E81AD3"/>
    <w:rsid w:val="00E9360D"/>
    <w:rsid w:val="00EA6F0F"/>
    <w:rsid w:val="00EC56A9"/>
    <w:rsid w:val="00EC580A"/>
    <w:rsid w:val="00ED5977"/>
    <w:rsid w:val="00EE49D6"/>
    <w:rsid w:val="00EE4F1C"/>
    <w:rsid w:val="00EF7565"/>
    <w:rsid w:val="00F311A0"/>
    <w:rsid w:val="00F34A70"/>
    <w:rsid w:val="00F351D8"/>
    <w:rsid w:val="00F368C2"/>
    <w:rsid w:val="00F42487"/>
    <w:rsid w:val="00F46175"/>
    <w:rsid w:val="00F47ED8"/>
    <w:rsid w:val="00F518F1"/>
    <w:rsid w:val="00F66D03"/>
    <w:rsid w:val="00F730EF"/>
    <w:rsid w:val="00F806C8"/>
    <w:rsid w:val="00F8511E"/>
    <w:rsid w:val="00F854E1"/>
    <w:rsid w:val="00F8640C"/>
    <w:rsid w:val="00FA2EAF"/>
    <w:rsid w:val="00FB0CE7"/>
    <w:rsid w:val="00FB18F1"/>
    <w:rsid w:val="00FB1F41"/>
    <w:rsid w:val="00FB362D"/>
    <w:rsid w:val="00FC60E9"/>
    <w:rsid w:val="00FD6610"/>
    <w:rsid w:val="00FD6F9C"/>
    <w:rsid w:val="00FE547A"/>
    <w:rsid w:val="02035707"/>
    <w:rsid w:val="020476B4"/>
    <w:rsid w:val="07162014"/>
    <w:rsid w:val="080E0079"/>
    <w:rsid w:val="08732001"/>
    <w:rsid w:val="08E37D4F"/>
    <w:rsid w:val="0C0E1C52"/>
    <w:rsid w:val="0D411279"/>
    <w:rsid w:val="0D8747D8"/>
    <w:rsid w:val="10930BC1"/>
    <w:rsid w:val="130C5FE5"/>
    <w:rsid w:val="151716A0"/>
    <w:rsid w:val="158E31FE"/>
    <w:rsid w:val="15D278A8"/>
    <w:rsid w:val="16154424"/>
    <w:rsid w:val="189C04ED"/>
    <w:rsid w:val="1CE66BC7"/>
    <w:rsid w:val="1EF27866"/>
    <w:rsid w:val="225D0B6B"/>
    <w:rsid w:val="267E260F"/>
    <w:rsid w:val="27E60C15"/>
    <w:rsid w:val="28ED08C7"/>
    <w:rsid w:val="2CE65353"/>
    <w:rsid w:val="2DE26899"/>
    <w:rsid w:val="33AD61FB"/>
    <w:rsid w:val="33F82483"/>
    <w:rsid w:val="34F37462"/>
    <w:rsid w:val="3659425A"/>
    <w:rsid w:val="39091F35"/>
    <w:rsid w:val="3D462997"/>
    <w:rsid w:val="428B3B9F"/>
    <w:rsid w:val="42AE33DD"/>
    <w:rsid w:val="45AD2F03"/>
    <w:rsid w:val="4AF42FB8"/>
    <w:rsid w:val="587548F5"/>
    <w:rsid w:val="599E6143"/>
    <w:rsid w:val="63DF3152"/>
    <w:rsid w:val="6BF01A44"/>
    <w:rsid w:val="6FEE6BDA"/>
    <w:rsid w:val="702B3802"/>
    <w:rsid w:val="70FE3A2F"/>
    <w:rsid w:val="730D4DC8"/>
    <w:rsid w:val="74102215"/>
    <w:rsid w:val="75A51EEB"/>
    <w:rsid w:val="766730BB"/>
    <w:rsid w:val="7722213F"/>
    <w:rsid w:val="784F5E5E"/>
    <w:rsid w:val="7B243FC6"/>
    <w:rsid w:val="7C3D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1044"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6"/>
    <w:qFormat/>
    <w:uiPriority w:val="0"/>
    <w:pPr>
      <w:keepNext/>
      <w:keepLines/>
      <w:outlineLvl w:val="0"/>
    </w:pPr>
    <w:rPr>
      <w:rFonts w:eastAsia="黑体"/>
      <w:b/>
      <w:bCs/>
      <w:kern w:val="44"/>
      <w:szCs w:val="44"/>
    </w:rPr>
  </w:style>
  <w:style w:type="paragraph" w:styleId="4">
    <w:name w:val="heading 2"/>
    <w:basedOn w:val="1"/>
    <w:next w:val="1"/>
    <w:link w:val="28"/>
    <w:unhideWhenUsed/>
    <w:qFormat/>
    <w:uiPriority w:val="0"/>
    <w:pPr>
      <w:keepNext/>
      <w:keepLines/>
      <w:numPr>
        <w:ilvl w:val="1"/>
        <w:numId w:val="1"/>
      </w:numPr>
      <w:ind w:firstLineChars="0"/>
      <w:outlineLvl w:val="1"/>
    </w:pPr>
    <w:rPr>
      <w:rFonts w:ascii="Arial" w:hAnsi="Arial" w:eastAsia="楷体_GB231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unhideWhenUsed/>
    <w:qFormat/>
    <w:uiPriority w:val="99"/>
    <w:pPr>
      <w:widowControl w:val="0"/>
      <w:spacing w:line="560" w:lineRule="exact"/>
      <w:ind w:left="3360" w:firstLine="862" w:firstLineChars="200"/>
      <w:jc w:val="left"/>
    </w:pPr>
    <w:rPr>
      <w:rFonts w:ascii="Times New Roman" w:hAnsi="Times New Roman" w:eastAsia="仿宋_GB2312" w:cs="Times New Roman"/>
      <w:kern w:val="2"/>
      <w:sz w:val="32"/>
      <w:szCs w:val="20"/>
      <w:lang w:val="en-US" w:eastAsia="zh-CN" w:bidi="ar-SA"/>
    </w:rPr>
  </w:style>
  <w:style w:type="paragraph" w:styleId="5">
    <w:name w:val="Normal Indent"/>
    <w:basedOn w:val="1"/>
    <w:qFormat/>
    <w:uiPriority w:val="0"/>
    <w:pPr>
      <w:ind w:firstLine="420"/>
    </w:pPr>
    <w:rPr>
      <w:szCs w:val="20"/>
    </w:rPr>
  </w:style>
  <w:style w:type="paragraph" w:styleId="6">
    <w:name w:val="caption"/>
    <w:basedOn w:val="1"/>
    <w:next w:val="1"/>
    <w:link w:val="40"/>
    <w:unhideWhenUsed/>
    <w:qFormat/>
    <w:uiPriority w:val="35"/>
    <w:rPr>
      <w:rFonts w:ascii="Arial" w:hAnsi="Arial" w:eastAsia="黑体"/>
      <w:sz w:val="20"/>
    </w:rPr>
  </w:style>
  <w:style w:type="paragraph" w:styleId="7">
    <w:name w:val="annotation text"/>
    <w:basedOn w:val="1"/>
    <w:link w:val="37"/>
    <w:semiHidden/>
    <w:unhideWhenUsed/>
    <w:qFormat/>
    <w:uiPriority w:val="99"/>
    <w:pPr>
      <w:snapToGrid w:val="0"/>
      <w:ind w:firstLine="0" w:firstLineChars="0"/>
      <w:jc w:val="left"/>
    </w:pPr>
  </w:style>
  <w:style w:type="paragraph" w:styleId="8">
    <w:name w:val="Body Text"/>
    <w:basedOn w:val="1"/>
    <w:next w:val="1"/>
    <w:link w:val="33"/>
    <w:qFormat/>
    <w:uiPriority w:val="0"/>
    <w:pPr>
      <w:spacing w:after="120"/>
    </w:pPr>
  </w:style>
  <w:style w:type="paragraph" w:styleId="9">
    <w:name w:val="Body Text Indent"/>
    <w:basedOn w:val="1"/>
    <w:qFormat/>
    <w:uiPriority w:val="0"/>
    <w:pPr>
      <w:tabs>
        <w:tab w:val="left" w:pos="8610"/>
      </w:tabs>
      <w:ind w:left="420"/>
    </w:pPr>
    <w:rPr>
      <w:rFonts w:ascii="Times New Roman" w:hAnsi="Times New Roman" w:eastAsia="宋体" w:cs="Times New Roman"/>
      <w:sz w:val="21"/>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ody Text Indent 2"/>
    <w:basedOn w:val="1"/>
    <w:link w:val="32"/>
    <w:qFormat/>
    <w:uiPriority w:val="0"/>
    <w:pPr>
      <w:spacing w:after="120" w:line="480" w:lineRule="auto"/>
      <w:ind w:left="420" w:leftChars="200"/>
    </w:pPr>
  </w:style>
  <w:style w:type="paragraph" w:styleId="12">
    <w:name w:val="Balloon Text"/>
    <w:basedOn w:val="1"/>
    <w:link w:val="36"/>
    <w:semiHidden/>
    <w:unhideWhenUsed/>
    <w:qFormat/>
    <w:uiPriority w:val="99"/>
    <w:rPr>
      <w:sz w:val="18"/>
      <w:szCs w:val="18"/>
    </w:rPr>
  </w:style>
  <w:style w:type="paragraph" w:styleId="13">
    <w:name w:val="footer"/>
    <w:basedOn w:val="1"/>
    <w:next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29"/>
    <w:qFormat/>
    <w:uiPriority w:val="0"/>
    <w:pPr>
      <w:spacing w:before="240" w:after="60" w:line="312" w:lineRule="auto"/>
      <w:jc w:val="center"/>
      <w:outlineLvl w:val="1"/>
    </w:pPr>
    <w:rPr>
      <w:rFonts w:eastAsia="楷体"/>
      <w:bCs/>
      <w:kern w:val="28"/>
      <w:szCs w:val="32"/>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9">
    <w:name w:val="Title"/>
    <w:basedOn w:val="1"/>
    <w:next w:val="1"/>
    <w:link w:val="27"/>
    <w:qFormat/>
    <w:uiPriority w:val="0"/>
    <w:pPr>
      <w:spacing w:line="600" w:lineRule="atLeast"/>
      <w:jc w:val="center"/>
      <w:outlineLvl w:val="0"/>
    </w:pPr>
    <w:rPr>
      <w:rFonts w:eastAsia="微软雅黑" w:asciiTheme="majorHAnsi" w:hAnsiTheme="majorHAnsi" w:cstheme="majorBidi"/>
      <w:bCs/>
      <w:sz w:val="44"/>
      <w:szCs w:val="32"/>
    </w:rPr>
  </w:style>
  <w:style w:type="paragraph" w:styleId="20">
    <w:name w:val="annotation subject"/>
    <w:basedOn w:val="7"/>
    <w:next w:val="7"/>
    <w:link w:val="38"/>
    <w:semiHidden/>
    <w:unhideWhenUsed/>
    <w:qFormat/>
    <w:uiPriority w:val="99"/>
    <w:rPr>
      <w:b/>
      <w:bCs/>
    </w:rPr>
  </w:style>
  <w:style w:type="paragraph" w:styleId="21">
    <w:name w:val="Body Text First Indent"/>
    <w:basedOn w:val="8"/>
    <w:next w:val="9"/>
    <w:qFormat/>
    <w:uiPriority w:val="0"/>
    <w:pPr>
      <w:tabs>
        <w:tab w:val="left" w:pos="8610"/>
      </w:tabs>
      <w:spacing w:line="560" w:lineRule="exact"/>
      <w:ind w:firstLineChars="200"/>
    </w:pPr>
    <w:rPr>
      <w:rFonts w:ascii="Calibri" w:hAnsi="Calibri" w:eastAsia="宋体" w:cs="Times New Roman"/>
      <w:szCs w:val="24"/>
    </w:r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3"/>
    <w:qFormat/>
    <w:uiPriority w:val="0"/>
    <w:rPr>
      <w:rFonts w:eastAsia="黑体"/>
      <w:b/>
      <w:bCs/>
      <w:kern w:val="44"/>
      <w:sz w:val="32"/>
      <w:szCs w:val="44"/>
    </w:rPr>
  </w:style>
  <w:style w:type="character" w:customStyle="1" w:styleId="27">
    <w:name w:val="标题 字符"/>
    <w:basedOn w:val="23"/>
    <w:link w:val="19"/>
    <w:qFormat/>
    <w:uiPriority w:val="0"/>
    <w:rPr>
      <w:rFonts w:eastAsia="微软雅黑" w:asciiTheme="majorHAnsi" w:hAnsiTheme="majorHAnsi" w:cstheme="majorBidi"/>
      <w:bCs/>
      <w:sz w:val="44"/>
      <w:szCs w:val="32"/>
    </w:rPr>
  </w:style>
  <w:style w:type="character" w:customStyle="1" w:styleId="28">
    <w:name w:val="标题 2 字符"/>
    <w:link w:val="4"/>
    <w:qFormat/>
    <w:uiPriority w:val="0"/>
    <w:rPr>
      <w:rFonts w:ascii="Arial" w:hAnsi="Arial" w:eastAsia="楷体_GB2312"/>
      <w:sz w:val="32"/>
    </w:rPr>
  </w:style>
  <w:style w:type="character" w:customStyle="1" w:styleId="29">
    <w:name w:val="副标题 字符"/>
    <w:basedOn w:val="23"/>
    <w:link w:val="16"/>
    <w:qFormat/>
    <w:uiPriority w:val="0"/>
    <w:rPr>
      <w:rFonts w:eastAsia="楷体"/>
      <w:bCs/>
      <w:kern w:val="28"/>
      <w:sz w:val="32"/>
      <w:szCs w:val="32"/>
    </w:rPr>
  </w:style>
  <w:style w:type="character" w:customStyle="1" w:styleId="30">
    <w:name w:val="页眉 字符"/>
    <w:basedOn w:val="23"/>
    <w:link w:val="14"/>
    <w:qFormat/>
    <w:uiPriority w:val="99"/>
    <w:rPr>
      <w:rFonts w:eastAsia="仿宋"/>
      <w:sz w:val="18"/>
      <w:szCs w:val="18"/>
    </w:rPr>
  </w:style>
  <w:style w:type="character" w:customStyle="1" w:styleId="31">
    <w:name w:val="页脚 字符"/>
    <w:basedOn w:val="23"/>
    <w:link w:val="13"/>
    <w:qFormat/>
    <w:uiPriority w:val="99"/>
    <w:rPr>
      <w:rFonts w:eastAsia="仿宋"/>
      <w:sz w:val="18"/>
      <w:szCs w:val="18"/>
    </w:rPr>
  </w:style>
  <w:style w:type="character" w:customStyle="1" w:styleId="32">
    <w:name w:val="正文文本缩进 2 字符"/>
    <w:basedOn w:val="23"/>
    <w:link w:val="11"/>
    <w:qFormat/>
    <w:uiPriority w:val="0"/>
    <w:rPr>
      <w:rFonts w:ascii="Times New Roman" w:hAnsi="Times New Roman" w:eastAsia="宋体" w:cs="Times New Roman"/>
      <w:szCs w:val="24"/>
    </w:rPr>
  </w:style>
  <w:style w:type="character" w:customStyle="1" w:styleId="33">
    <w:name w:val="正文文本 字符"/>
    <w:basedOn w:val="23"/>
    <w:link w:val="8"/>
    <w:qFormat/>
    <w:uiPriority w:val="0"/>
    <w:rPr>
      <w:rFonts w:ascii="Times New Roman" w:hAnsi="Times New Roman" w:eastAsia="宋体" w:cs="Times New Roman"/>
      <w:szCs w:val="24"/>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Cs w:val="32"/>
    </w:rPr>
  </w:style>
  <w:style w:type="character" w:customStyle="1" w:styleId="36">
    <w:name w:val="批注框文本 字符"/>
    <w:basedOn w:val="23"/>
    <w:link w:val="12"/>
    <w:semiHidden/>
    <w:qFormat/>
    <w:uiPriority w:val="99"/>
    <w:rPr>
      <w:rFonts w:ascii="Times New Roman" w:hAnsi="Times New Roman" w:eastAsia="宋体" w:cs="Times New Roman"/>
      <w:sz w:val="18"/>
      <w:szCs w:val="18"/>
    </w:rPr>
  </w:style>
  <w:style w:type="character" w:customStyle="1" w:styleId="37">
    <w:name w:val="批注文字 字符"/>
    <w:basedOn w:val="23"/>
    <w:link w:val="7"/>
    <w:semiHidden/>
    <w:qFormat/>
    <w:uiPriority w:val="99"/>
    <w:rPr>
      <w:rFonts w:ascii="Times New Roman" w:hAnsi="Times New Roman" w:eastAsia="仿宋_GB2312" w:cs="Times New Roman"/>
      <w:szCs w:val="24"/>
    </w:rPr>
  </w:style>
  <w:style w:type="character" w:customStyle="1" w:styleId="38">
    <w:name w:val="批注主题 字符"/>
    <w:basedOn w:val="37"/>
    <w:link w:val="20"/>
    <w:semiHidden/>
    <w:qFormat/>
    <w:uiPriority w:val="99"/>
    <w:rPr>
      <w:rFonts w:ascii="Times New Roman" w:hAnsi="Times New Roman" w:eastAsia="宋体" w:cs="Times New Roman"/>
      <w:b/>
      <w:bCs/>
      <w:szCs w:val="24"/>
    </w:rPr>
  </w:style>
  <w:style w:type="paragraph" w:customStyle="1" w:styleId="39">
    <w:name w:val="样式1"/>
    <w:basedOn w:val="6"/>
    <w:link w:val="41"/>
    <w:qFormat/>
    <w:uiPriority w:val="0"/>
    <w:pPr>
      <w:spacing w:line="240" w:lineRule="auto"/>
      <w:ind w:firstLine="0" w:firstLineChars="0"/>
      <w:jc w:val="center"/>
    </w:pPr>
    <w:rPr>
      <w:rFonts w:ascii="仿宋_GB2312" w:hAnsi="仿宋_GB2312" w:cs="仿宋_GB2312"/>
      <w:szCs w:val="32"/>
    </w:rPr>
  </w:style>
  <w:style w:type="character" w:customStyle="1" w:styleId="40">
    <w:name w:val="题注 字符"/>
    <w:basedOn w:val="23"/>
    <w:link w:val="6"/>
    <w:qFormat/>
    <w:uiPriority w:val="35"/>
    <w:rPr>
      <w:rFonts w:ascii="Arial" w:hAnsi="Arial" w:eastAsia="黑体"/>
      <w:kern w:val="2"/>
      <w:szCs w:val="24"/>
    </w:rPr>
  </w:style>
  <w:style w:type="character" w:customStyle="1" w:styleId="41">
    <w:name w:val="样式1 字符"/>
    <w:basedOn w:val="40"/>
    <w:link w:val="39"/>
    <w:qFormat/>
    <w:uiPriority w:val="0"/>
    <w:rPr>
      <w:rFonts w:ascii="仿宋_GB2312" w:hAnsi="仿宋_GB2312" w:eastAsia="黑体" w:cs="仿宋_GB2312"/>
      <w:kern w:val="2"/>
      <w:szCs w:val="32"/>
    </w:rPr>
  </w:style>
  <w:style w:type="paragraph" w:customStyle="1" w:styleId="42">
    <w:name w:val="TOC 标题2"/>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8C364-40FB-4687-9463-AE01DA96AFDB}">
  <ds:schemaRefs/>
</ds:datastoreItem>
</file>

<file path=docProps/app.xml><?xml version="1.0" encoding="utf-8"?>
<Properties xmlns="http://schemas.openxmlformats.org/officeDocument/2006/extended-properties" xmlns:vt="http://schemas.openxmlformats.org/officeDocument/2006/docPropsVTypes">
  <Template>Normal</Template>
  <Pages>23</Pages>
  <Words>6413</Words>
  <Characters>6850</Characters>
  <Lines>91</Lines>
  <Paragraphs>25</Paragraphs>
  <TotalTime>1112</TotalTime>
  <ScaleCrop>false</ScaleCrop>
  <LinksUpToDate>false</LinksUpToDate>
  <CharactersWithSpaces>6920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2023-09-10T11:22:00Z</dcterms:created>
  <dc:creator>张海旭</dc:creator>
  <cp:lastModifiedBy>他的情话他的猫</cp:lastModifiedBy>
  <dcterms:modified xsi:type="dcterms:W3CDTF">2025-09-22T08:34:46Z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638082D7BC6B40C98F24142A28E62172_13</vt:lpwstr>
  </property>
  <property fmtid="{D5CDD505-2E9C-101B-9397-08002B2CF9AE}" pid="4" name="KSOTemplateDocerSaveRecord">
    <vt:lpwstr>eyJoZGlkIjoiMjFlN2M1NWQwNjJmYWZlZTExYjVkNDkyNzc0Y2ZiYzEiLCJ1c2VySWQiOiI3MjkxMzIzNTYifQ==</vt:lpwstr>
  </property>
</Properties>
</file>