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r>
        <w:rPr>
          <w:rFonts w:hint="eastAsia" w:ascii="黑体" w:hAnsi="黑体" w:eastAsia="黑体"/>
          <w:sz w:val="32"/>
          <w:szCs w:val="32"/>
        </w:rPr>
        <w:t>附件2-2</w:t>
      </w:r>
    </w:p>
    <w:tbl>
      <w:tblPr>
        <w:tblStyle w:val="8"/>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ascii="宋体" w:hAnsi="宋体" w:cs="宋体"/>
                <w:kern w:val="0"/>
                <w:sz w:val="22"/>
              </w:rPr>
              <w:t>2024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bCs/>
                <w:kern w:val="0"/>
                <w:sz w:val="18"/>
                <w:szCs w:val="18"/>
              </w:rPr>
              <w:t>林业有害生物常规性防治及美国白蛾防治项目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通州区园林绿化局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通州区林业保护站</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     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349.6360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9.90%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349.6360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34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把以美国白蛾为主的危险性林木有害生物防控工作落到实处，通过开展飞机防治和地面测报防治，将林业有害生物成灾率控制在1‰以下，无公害防治率达到95%以上，测报准确率达到91%以上，确保园林绿化资源安全、生物安全和生态安全。</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夏秋季开展</w:t>
            </w:r>
            <w:r>
              <w:rPr>
                <w:rFonts w:ascii="宋体" w:hAnsi="宋体" w:cs="宋体"/>
                <w:kern w:val="0"/>
                <w:sz w:val="18"/>
                <w:szCs w:val="18"/>
              </w:rPr>
              <w:t>140</w:t>
            </w:r>
            <w:r>
              <w:rPr>
                <w:rFonts w:hint="eastAsia" w:ascii="宋体" w:hAnsi="宋体" w:cs="宋体"/>
                <w:kern w:val="0"/>
                <w:sz w:val="18"/>
                <w:szCs w:val="18"/>
              </w:rPr>
              <w:t>架次飞机防治，组织全区各乡镇、街道、有林单位开展美国白蛾等主要林业有害生物巡查、地面统防统治等工作，林业有害生物成灾率为0，无公害防治率100%，测报准确率</w:t>
            </w:r>
            <w:r>
              <w:rPr>
                <w:rFonts w:ascii="宋体" w:hAnsi="宋体" w:cs="宋体"/>
                <w:kern w:val="0"/>
                <w:sz w:val="18"/>
                <w:szCs w:val="18"/>
              </w:rPr>
              <w:t>96.9</w:t>
            </w:r>
            <w:r>
              <w:rPr>
                <w:rFonts w:hint="eastAsia" w:ascii="宋体" w:hAnsi="宋体" w:cs="宋体"/>
                <w:kern w:val="0"/>
                <w:sz w:val="18"/>
                <w:szCs w:val="18"/>
              </w:rPr>
              <w:t>%。</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89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购买并下发地面测报防治器械</w:t>
            </w:r>
          </w:p>
        </w:tc>
        <w:tc>
          <w:tcPr>
            <w:tcW w:w="938" w:type="dxa"/>
            <w:tcBorders>
              <w:top w:val="nil"/>
              <w:left w:val="nil"/>
              <w:bottom w:val="single" w:color="auto" w:sz="4" w:space="0"/>
              <w:right w:val="single" w:color="auto" w:sz="4" w:space="0"/>
            </w:tcBorders>
            <w:vAlign w:val="center"/>
          </w:tcPr>
          <w:p>
            <w:pPr>
              <w:widowControl/>
              <w:spacing w:line="20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014</w:t>
            </w:r>
            <w:r>
              <w:rPr>
                <w:rFonts w:hint="eastAsia" w:ascii="宋体" w:hAnsi="宋体" w:cs="宋体"/>
                <w:kern w:val="0"/>
                <w:sz w:val="18"/>
                <w:szCs w:val="18"/>
              </w:rPr>
              <w:t>个（台、套、件、辆）</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1014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飞防架次</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140</w:t>
            </w:r>
            <w:r>
              <w:rPr>
                <w:rFonts w:hint="eastAsia" w:ascii="宋体" w:hAnsi="宋体" w:cs="宋体"/>
                <w:kern w:val="0"/>
                <w:sz w:val="18"/>
                <w:szCs w:val="18"/>
              </w:rPr>
              <w:t>次</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140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购买并下发防治药剂</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29</w:t>
            </w:r>
            <w:r>
              <w:rPr>
                <w:rFonts w:hint="eastAsia" w:ascii="宋体" w:hAnsi="宋体" w:cs="宋体"/>
                <w:kern w:val="0"/>
                <w:sz w:val="18"/>
                <w:szCs w:val="18"/>
              </w:rPr>
              <w:t>吨</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测报准确率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96.9%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林业有害生物成灾率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无公害防治率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飞机防治时间</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夏季、秋季</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夏季、秋季</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防治器械药品根据病虫害发生情况当年统一分批下发</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飞机防治费</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126</w:t>
            </w:r>
            <w:r>
              <w:rPr>
                <w:rFonts w:hint="eastAsia" w:ascii="宋体" w:hAnsi="宋体" w:cs="宋体"/>
                <w:kern w:val="0"/>
                <w:sz w:val="18"/>
                <w:szCs w:val="18"/>
              </w:rPr>
              <w:t>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125.803888858888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7</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7</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地面测报防治药剂及器械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224</w:t>
            </w:r>
            <w:r>
              <w:rPr>
                <w:rFonts w:hint="eastAsia" w:ascii="宋体" w:hAnsi="宋体" w:cs="宋体"/>
                <w:kern w:val="0"/>
                <w:sz w:val="18"/>
                <w:szCs w:val="18"/>
              </w:rPr>
              <w:t>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223.706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8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确保绿色景观完整和生态安全，病虫害得到有效控制，减少市民投诉</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有所增强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效果明显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对空气质量和生态环境改善产生一定的积极作用</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有所增强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效果明显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回访满意率</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99%</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hint="eastAsia"/>
        </w:rPr>
      </w:pPr>
    </w:p>
    <w:tbl>
      <w:tblPr>
        <w:tblStyle w:val="8"/>
        <w:tblW w:w="8928" w:type="dxa"/>
        <w:jc w:val="center"/>
        <w:tblLayout w:type="fixed"/>
        <w:tblCellMar>
          <w:top w:w="0" w:type="dxa"/>
          <w:left w:w="108" w:type="dxa"/>
          <w:bottom w:w="0" w:type="dxa"/>
          <w:right w:w="108" w:type="dxa"/>
        </w:tblCellMar>
      </w:tblPr>
      <w:tblGrid>
        <w:gridCol w:w="578"/>
        <w:gridCol w:w="868"/>
        <w:gridCol w:w="1187"/>
        <w:gridCol w:w="718"/>
        <w:gridCol w:w="1114"/>
        <w:gridCol w:w="169"/>
        <w:gridCol w:w="1108"/>
        <w:gridCol w:w="678"/>
        <w:gridCol w:w="202"/>
        <w:gridCol w:w="355"/>
        <w:gridCol w:w="416"/>
        <w:gridCol w:w="141"/>
        <w:gridCol w:w="695"/>
        <w:gridCol w:w="699"/>
      </w:tblGrid>
      <w:tr>
        <w:tblPrEx>
          <w:tblCellMar>
            <w:top w:w="0" w:type="dxa"/>
            <w:left w:w="108" w:type="dxa"/>
            <w:bottom w:w="0" w:type="dxa"/>
            <w:right w:w="108" w:type="dxa"/>
          </w:tblCellMar>
        </w:tblPrEx>
        <w:trPr>
          <w:trHeight w:val="428"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p>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71"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ascii="宋体" w:hAnsi="宋体" w:cs="宋体"/>
                <w:kern w:val="0"/>
                <w:sz w:val="22"/>
              </w:rPr>
              <w:t>2024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4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8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林业有害生物精细化监测调查及应急防治项目</w:t>
            </w:r>
          </w:p>
        </w:tc>
      </w:tr>
      <w:tr>
        <w:tblPrEx>
          <w:tblCellMar>
            <w:top w:w="0" w:type="dxa"/>
            <w:left w:w="108" w:type="dxa"/>
            <w:bottom w:w="0" w:type="dxa"/>
            <w:right w:w="108" w:type="dxa"/>
          </w:tblCellMar>
        </w:tblPrEx>
        <w:trPr>
          <w:trHeight w:val="291" w:hRule="exact"/>
          <w:jc w:val="center"/>
        </w:trPr>
        <w:tc>
          <w:tcPr>
            <w:tcW w:w="14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9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通州区园林绿化局</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20"/>
                <w:szCs w:val="20"/>
              </w:rPr>
              <w:t>通州区林业保护站</w:t>
            </w:r>
          </w:p>
        </w:tc>
      </w:tr>
      <w:tr>
        <w:tblPrEx>
          <w:tblCellMar>
            <w:top w:w="0" w:type="dxa"/>
            <w:left w:w="108" w:type="dxa"/>
            <w:bottom w:w="0" w:type="dxa"/>
            <w:right w:w="108" w:type="dxa"/>
          </w:tblCellMar>
        </w:tblPrEx>
        <w:trPr>
          <w:trHeight w:val="269" w:hRule="exact"/>
          <w:jc w:val="center"/>
        </w:trPr>
        <w:tc>
          <w:tcPr>
            <w:tcW w:w="14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29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01" w:hRule="exact"/>
          <w:jc w:val="center"/>
        </w:trPr>
        <w:tc>
          <w:tcPr>
            <w:tcW w:w="144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     预算数</w:t>
            </w: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预算数</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330</w:t>
            </w: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330</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327.6060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9.27%</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w:t>
            </w:r>
          </w:p>
        </w:tc>
      </w:tr>
      <w:tr>
        <w:tblPrEx>
          <w:tblCellMar>
            <w:top w:w="0" w:type="dxa"/>
            <w:left w:w="108" w:type="dxa"/>
            <w:bottom w:w="0" w:type="dxa"/>
            <w:right w:w="108" w:type="dxa"/>
          </w:tblCellMar>
        </w:tblPrEx>
        <w:trPr>
          <w:trHeight w:val="291"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330</w:t>
            </w: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330</w:t>
            </w:r>
          </w:p>
          <w:p>
            <w:pPr>
              <w:widowControl/>
              <w:spacing w:line="240" w:lineRule="exact"/>
              <w:jc w:val="center"/>
              <w:rPr>
                <w:rFonts w:ascii="宋体" w:hAnsi="宋体" w:cs="宋体"/>
                <w:kern w:val="0"/>
                <w:sz w:val="18"/>
                <w:szCs w:val="18"/>
              </w:rPr>
            </w:pP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327.6060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33"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21"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8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25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64"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ascii="宋体" w:hAnsi="宋体" w:cs="宋体"/>
                <w:kern w:val="0"/>
                <w:sz w:val="15"/>
                <w:szCs w:val="15"/>
              </w:rPr>
            </w:pPr>
            <w:r>
              <w:rPr>
                <w:rFonts w:hint="eastAsia" w:ascii="宋体" w:hAnsi="宋体" w:cs="宋体"/>
                <w:kern w:val="0"/>
                <w:sz w:val="15"/>
                <w:szCs w:val="15"/>
              </w:rPr>
              <w:t>加强对通州区重点林业有害生物监测预报和趋势分析，科学、精确地指导防治工作有序进行；在城市副中心重点区域对园林昆虫及病菌多样性进行持续调查及评价，为摸清底数、重点控制、灾害预防等工作提供关键支撑作用；同时不断加强突发事件应急能力，使林业有害生物得到有效控制。确保林业有害生物成灾率控制在1‰以下，无公害防治率达到95%以上，测报准确率达到91%以上。</w:t>
            </w:r>
          </w:p>
        </w:tc>
        <w:tc>
          <w:tcPr>
            <w:tcW w:w="3186" w:type="dxa"/>
            <w:gridSpan w:val="7"/>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center"/>
              <w:textAlignment w:val="auto"/>
              <w:rPr>
                <w:rFonts w:ascii="宋体" w:hAnsi="宋体" w:cs="宋体"/>
                <w:kern w:val="0"/>
                <w:sz w:val="15"/>
                <w:szCs w:val="15"/>
              </w:rPr>
            </w:pPr>
            <w:r>
              <w:rPr>
                <w:rFonts w:hint="eastAsia" w:ascii="宋体" w:hAnsi="宋体" w:cs="宋体"/>
                <w:kern w:val="0"/>
                <w:sz w:val="15"/>
                <w:szCs w:val="15"/>
              </w:rPr>
              <w:t>对全区1</w:t>
            </w:r>
            <w:r>
              <w:rPr>
                <w:rFonts w:ascii="宋体" w:hAnsi="宋体" w:cs="宋体"/>
                <w:kern w:val="0"/>
                <w:sz w:val="15"/>
                <w:szCs w:val="15"/>
              </w:rPr>
              <w:t>7</w:t>
            </w:r>
            <w:r>
              <w:rPr>
                <w:rFonts w:hint="eastAsia" w:ascii="宋体" w:hAnsi="宋体" w:cs="宋体"/>
                <w:kern w:val="0"/>
                <w:sz w:val="15"/>
                <w:szCs w:val="15"/>
              </w:rPr>
              <w:t>种重点林业有害生物开展精准测报，在重点区域进行精细化巡查，科学、精确地指导防治工作有序进行；在重点生态区域设置调查点，针对园林昆虫、病菌进行多样性调查与评价；组织应急防治队及时应对全区突发林业有害生物事件，确保全区绿色景观完整、生态安全和社会稳定。</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8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精细化监测调查点位</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w:t>
            </w:r>
            <w:r>
              <w:rPr>
                <w:rFonts w:hint="eastAsia" w:ascii="宋体" w:hAnsi="宋体" w:cs="宋体"/>
                <w:kern w:val="0"/>
                <w:sz w:val="18"/>
                <w:szCs w:val="18"/>
              </w:rPr>
              <w:t>3</w:t>
            </w:r>
            <w:r>
              <w:rPr>
                <w:rFonts w:ascii="宋体" w:hAnsi="宋体" w:cs="宋体"/>
                <w:kern w:val="0"/>
                <w:sz w:val="18"/>
                <w:szCs w:val="18"/>
              </w:rPr>
              <w:t>700</w:t>
            </w:r>
            <w:r>
              <w:rPr>
                <w:rFonts w:hint="eastAsia" w:ascii="宋体" w:hAnsi="宋体" w:cs="宋体"/>
                <w:kern w:val="0"/>
                <w:sz w:val="18"/>
                <w:szCs w:val="18"/>
              </w:rPr>
              <w:t>个</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r>
              <w:rPr>
                <w:rFonts w:ascii="宋体" w:hAnsi="宋体" w:cs="宋体"/>
                <w:kern w:val="0"/>
                <w:sz w:val="18"/>
                <w:szCs w:val="18"/>
              </w:rPr>
              <w:t>710</w:t>
            </w:r>
          </w:p>
        </w:tc>
        <w:tc>
          <w:tcPr>
            <w:tcW w:w="557"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0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180" w:lineRule="exact"/>
              <w:jc w:val="left"/>
              <w:textAlignment w:val="auto"/>
              <w:rPr>
                <w:rFonts w:ascii="宋体" w:hAnsi="宋体" w:cs="宋体"/>
                <w:kern w:val="0"/>
                <w:sz w:val="18"/>
                <w:szCs w:val="18"/>
              </w:rPr>
            </w:pPr>
            <w:r>
              <w:rPr>
                <w:rFonts w:hint="eastAsia" w:ascii="宋体" w:hAnsi="宋体" w:cs="宋体"/>
                <w:kern w:val="0"/>
                <w:sz w:val="18"/>
                <w:szCs w:val="18"/>
              </w:rPr>
              <w:t>完成昆虫和病菌多样性调查及评价报告</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2</w:t>
            </w:r>
            <w:r>
              <w:rPr>
                <w:rFonts w:hint="eastAsia" w:ascii="Times New Roman" w:hAnsi="Times New Roman"/>
                <w:kern w:val="0"/>
                <w:sz w:val="18"/>
                <w:szCs w:val="18"/>
              </w:rPr>
              <w:t>份</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应急防治面积</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w:t>
            </w:r>
            <w:r>
              <w:rPr>
                <w:rFonts w:ascii="宋体" w:hAnsi="宋体" w:cs="宋体"/>
                <w:kern w:val="0"/>
                <w:sz w:val="18"/>
                <w:szCs w:val="18"/>
              </w:rPr>
              <w:t>3000</w:t>
            </w:r>
            <w:r>
              <w:rPr>
                <w:rFonts w:hint="eastAsia" w:ascii="宋体" w:hAnsi="宋体" w:cs="宋体"/>
                <w:kern w:val="0"/>
                <w:sz w:val="18"/>
                <w:szCs w:val="18"/>
              </w:rPr>
              <w:t>亩</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2786</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测报准确率</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≥91%</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96.9%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林业有害生物成灾率</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≤1</w:t>
            </w:r>
            <w:r>
              <w:rPr>
                <w:rFonts w:hint="eastAsia" w:ascii="Times New Roman" w:hAnsi="Times New Roman"/>
                <w:kern w:val="0"/>
                <w:sz w:val="18"/>
                <w:szCs w:val="18"/>
              </w:rPr>
              <w:t>‰</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无公害防治率</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≥95%</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及时处置应对全区突发林业有害生物事件</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依</w:t>
            </w:r>
            <w:r>
              <w:rPr>
                <w:rFonts w:hint="eastAsia" w:ascii="宋体" w:hAnsi="宋体" w:cs="宋体"/>
                <w:kern w:val="0"/>
                <w:sz w:val="15"/>
                <w:szCs w:val="15"/>
              </w:rPr>
              <w:t>病虫害发生规律按时进行精细化监测调查</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城市副中心园林昆虫和病菌多样性持续调查及评价</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应急防治服务</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≤20</w:t>
            </w:r>
            <w:r>
              <w:rPr>
                <w:rFonts w:hint="eastAsia" w:ascii="Times New Roman" w:hAnsi="Times New Roman"/>
                <w:kern w:val="0"/>
                <w:sz w:val="18"/>
                <w:szCs w:val="18"/>
              </w:rPr>
              <w:t>万元</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17.928</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3</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园林昆虫和病菌多样性持续调查及评价</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≤30</w:t>
            </w:r>
            <w:r>
              <w:rPr>
                <w:rFonts w:hint="eastAsia" w:ascii="Times New Roman" w:hAnsi="Times New Roman"/>
                <w:kern w:val="0"/>
                <w:sz w:val="18"/>
                <w:szCs w:val="18"/>
              </w:rPr>
              <w:t>万元</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精细化监测调查</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≤280</w:t>
            </w:r>
            <w:r>
              <w:rPr>
                <w:rFonts w:hint="eastAsia" w:ascii="Times New Roman" w:hAnsi="Times New Roman"/>
                <w:kern w:val="0"/>
                <w:sz w:val="18"/>
                <w:szCs w:val="18"/>
              </w:rPr>
              <w:t>万元</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79.67892</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8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确保绿色景观完整，病虫害得到有效控制，减少市民投诉</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有所增强</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效果明显</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5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及时发现除治林业病虫害，减少我区林木损失，保护林木资源</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有所增强</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效果明显</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5"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11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kern w:val="0"/>
                <w:sz w:val="18"/>
                <w:szCs w:val="18"/>
              </w:rPr>
            </w:pPr>
            <w:r>
              <w:rPr>
                <w:rFonts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8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回访满意率</w:t>
            </w:r>
          </w:p>
        </w:tc>
        <w:tc>
          <w:tcPr>
            <w:tcW w:w="11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Times New Roman" w:hAnsi="Times New Roman"/>
                <w:kern w:val="0"/>
                <w:sz w:val="18"/>
                <w:szCs w:val="18"/>
              </w:rPr>
              <w:t>≥95%</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99%</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4"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8"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23" w:hRule="atLeast"/>
          <w:jc w:val="center"/>
        </w:trPr>
        <w:tc>
          <w:tcPr>
            <w:tcW w:w="8928" w:type="dxa"/>
            <w:gridSpan w:val="14"/>
            <w:tcBorders>
              <w:top w:val="nil"/>
              <w:left w:val="nil"/>
              <w:bottom w:val="nil"/>
              <w:right w:val="nil"/>
            </w:tcBorders>
          </w:tcPr>
          <w:p>
            <w:pPr>
              <w:widowControl/>
              <w:jc w:val="center"/>
              <w:rPr>
                <w:rFonts w:hint="eastAsia" w:ascii="宋体" w:hAnsi="宋体" w:cs="宋体"/>
                <w:kern w:val="0"/>
                <w:sz w:val="22"/>
              </w:rPr>
            </w:pPr>
            <w:r>
              <w:rPr>
                <w:rFonts w:hint="eastAsia" w:ascii="宋体" w:hAnsi="宋体" w:cs="宋体"/>
                <w:kern w:val="0"/>
                <w:sz w:val="22"/>
              </w:rPr>
              <w:t>（</w:t>
            </w:r>
            <w:r>
              <w:rPr>
                <w:rFonts w:ascii="宋体" w:hAnsi="宋体" w:cs="宋体"/>
                <w:kern w:val="0"/>
                <w:sz w:val="22"/>
              </w:rPr>
              <w:t>2024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4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8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林业常规保护项目</w:t>
            </w:r>
          </w:p>
        </w:tc>
      </w:tr>
      <w:tr>
        <w:tblPrEx>
          <w:tblCellMar>
            <w:top w:w="0" w:type="dxa"/>
            <w:left w:w="108" w:type="dxa"/>
            <w:bottom w:w="0" w:type="dxa"/>
            <w:right w:w="108" w:type="dxa"/>
          </w:tblCellMar>
        </w:tblPrEx>
        <w:trPr>
          <w:trHeight w:val="291" w:hRule="exact"/>
          <w:jc w:val="center"/>
        </w:trPr>
        <w:tc>
          <w:tcPr>
            <w:tcW w:w="14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29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通州区园林绿化局</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20"/>
                <w:szCs w:val="20"/>
              </w:rPr>
              <w:t>通州区林业保护站</w:t>
            </w:r>
          </w:p>
        </w:tc>
      </w:tr>
      <w:tr>
        <w:tblPrEx>
          <w:tblCellMar>
            <w:top w:w="0" w:type="dxa"/>
            <w:left w:w="108" w:type="dxa"/>
            <w:bottom w:w="0" w:type="dxa"/>
            <w:right w:w="108" w:type="dxa"/>
          </w:tblCellMar>
        </w:tblPrEx>
        <w:trPr>
          <w:trHeight w:val="291" w:hRule="exact"/>
          <w:jc w:val="center"/>
        </w:trPr>
        <w:tc>
          <w:tcPr>
            <w:tcW w:w="14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296" w:type="dxa"/>
            <w:gridSpan w:val="5"/>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23" w:hRule="exact"/>
          <w:jc w:val="center"/>
        </w:trPr>
        <w:tc>
          <w:tcPr>
            <w:tcW w:w="144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年初预算数</w:t>
            </w: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全年预算数</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全年执行数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得分</w:t>
            </w:r>
          </w:p>
        </w:tc>
      </w:tr>
      <w:tr>
        <w:tblPrEx>
          <w:tblCellMar>
            <w:top w:w="0" w:type="dxa"/>
            <w:left w:w="108" w:type="dxa"/>
            <w:bottom w:w="0" w:type="dxa"/>
            <w:right w:w="108" w:type="dxa"/>
          </w:tblCellMar>
        </w:tblPrEx>
        <w:trPr>
          <w:trHeight w:val="291"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r>
              <w:rPr>
                <w:rFonts w:hint="eastAsia" w:ascii="宋体" w:hAnsi="宋体" w:cs="宋体"/>
                <w:kern w:val="0"/>
                <w:sz w:val="18"/>
                <w:szCs w:val="18"/>
              </w:rPr>
              <w:t>4.28</w:t>
            </w: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r>
              <w:rPr>
                <w:rFonts w:hint="eastAsia" w:ascii="宋体" w:hAnsi="宋体" w:cs="宋体"/>
                <w:kern w:val="0"/>
                <w:sz w:val="18"/>
                <w:szCs w:val="18"/>
              </w:rPr>
              <w:t>4.28</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04.24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9.96%</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r>
      <w:tr>
        <w:tblPrEx>
          <w:tblCellMar>
            <w:top w:w="0" w:type="dxa"/>
            <w:left w:w="108" w:type="dxa"/>
            <w:bottom w:w="0" w:type="dxa"/>
            <w:right w:w="108" w:type="dxa"/>
          </w:tblCellMar>
        </w:tblPrEx>
        <w:trPr>
          <w:trHeight w:val="291"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r>
              <w:rPr>
                <w:rFonts w:hint="eastAsia" w:ascii="宋体" w:hAnsi="宋体" w:cs="宋体"/>
                <w:kern w:val="0"/>
                <w:sz w:val="18"/>
                <w:szCs w:val="18"/>
              </w:rPr>
              <w:t>4.28</w:t>
            </w: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r>
              <w:rPr>
                <w:rFonts w:hint="eastAsia" w:ascii="宋体" w:hAnsi="宋体" w:cs="宋体"/>
                <w:kern w:val="0"/>
                <w:sz w:val="18"/>
                <w:szCs w:val="18"/>
              </w:rPr>
              <w:t>4.28</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04.24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1"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15"/>
                <w:szCs w:val="15"/>
              </w:rPr>
              <w:t>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45" w:hRule="exact"/>
          <w:jc w:val="center"/>
        </w:trPr>
        <w:tc>
          <w:tcPr>
            <w:tcW w:w="14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9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15"/>
                <w:szCs w:val="15"/>
              </w:rPr>
              <w:t>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57"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18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实际完成情况</w:t>
            </w:r>
          </w:p>
        </w:tc>
      </w:tr>
      <w:tr>
        <w:tblPrEx>
          <w:tblCellMar>
            <w:top w:w="0" w:type="dxa"/>
            <w:left w:w="108" w:type="dxa"/>
            <w:bottom w:w="0" w:type="dxa"/>
            <w:right w:w="108" w:type="dxa"/>
          </w:tblCellMar>
        </w:tblPrEx>
        <w:trPr>
          <w:trHeight w:val="1522"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6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切实做好各项林业常规保护工作，根据工作实际情况购置防治药剂、器械、测报诱杀、应急等物资，租赁药械库房及飞机停放起降场地，开展项目专家咨询和评审，加强宣传，提高公众对林业有害生物工作的知晓度和参与度，确保各项防治工作顺利进行，将林业有害生物成灾率控制在1‰以下，无公害防治率达到95%以上，为城市副中心园林绿化高质量发展保驾护航。</w:t>
            </w:r>
          </w:p>
        </w:tc>
        <w:tc>
          <w:tcPr>
            <w:tcW w:w="318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5"/>
                <w:szCs w:val="15"/>
              </w:rPr>
            </w:pPr>
            <w:r>
              <w:rPr>
                <w:rFonts w:hint="eastAsia" w:ascii="宋体" w:hAnsi="宋体" w:cs="宋体"/>
                <w:kern w:val="0"/>
                <w:sz w:val="15"/>
                <w:szCs w:val="15"/>
              </w:rPr>
              <w:t>根据病虫害发生情况，采购了防治药剂及测报物资并进行配发。租赁了1个药械库房及飞防作业起降场地；通过发放宣传资料、发布飞防公告等方式进行宣传，并根据需求邀请了业内专家对相关技术项目进行咨询评审。林业有害生物成灾率为0，无公害防治率达到100%。</w:t>
            </w:r>
          </w:p>
        </w:tc>
      </w:tr>
      <w:tr>
        <w:tblPrEx>
          <w:tblCellMar>
            <w:top w:w="0" w:type="dxa"/>
            <w:left w:w="108" w:type="dxa"/>
            <w:bottom w:w="0" w:type="dxa"/>
            <w:right w:w="108" w:type="dxa"/>
          </w:tblCellMar>
        </w:tblPrEx>
        <w:trPr>
          <w:trHeight w:val="481"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8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一级指标</w:t>
            </w:r>
          </w:p>
        </w:tc>
        <w:tc>
          <w:tcPr>
            <w:tcW w:w="118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三级指标</w:t>
            </w:r>
          </w:p>
        </w:tc>
        <w:tc>
          <w:tcPr>
            <w:tcW w:w="110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5"/>
                <w:szCs w:val="15"/>
              </w:rPr>
            </w:pPr>
            <w:r>
              <w:rPr>
                <w:rFonts w:hint="eastAsia" w:ascii="宋体" w:hAnsi="宋体" w:cs="宋体"/>
                <w:kern w:val="0"/>
                <w:sz w:val="15"/>
                <w:szCs w:val="15"/>
              </w:rPr>
              <w:t>年度</w:t>
            </w:r>
          </w:p>
          <w:p>
            <w:pPr>
              <w:widowControl/>
              <w:spacing w:line="240" w:lineRule="exact"/>
              <w:jc w:val="left"/>
              <w:rPr>
                <w:rFonts w:ascii="宋体" w:hAnsi="宋体" w:cs="宋体"/>
                <w:kern w:val="0"/>
                <w:sz w:val="18"/>
                <w:szCs w:val="18"/>
              </w:rPr>
            </w:pPr>
            <w:r>
              <w:rPr>
                <w:rFonts w:hint="eastAsia" w:ascii="宋体" w:hAnsi="宋体" w:cs="宋体"/>
                <w:kern w:val="0"/>
                <w:sz w:val="15"/>
                <w:szCs w:val="15"/>
              </w:rPr>
              <w:t>指标值</w:t>
            </w:r>
          </w:p>
        </w:tc>
        <w:tc>
          <w:tcPr>
            <w:tcW w:w="67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15"/>
                <w:szCs w:val="15"/>
              </w:rPr>
            </w:pPr>
            <w:r>
              <w:rPr>
                <w:rFonts w:hint="eastAsia" w:ascii="宋体" w:hAnsi="宋体" w:cs="宋体"/>
                <w:kern w:val="0"/>
                <w:sz w:val="15"/>
                <w:szCs w:val="15"/>
              </w:rPr>
              <w:t>实际</w:t>
            </w:r>
          </w:p>
          <w:p>
            <w:pPr>
              <w:widowControl/>
              <w:spacing w:line="240" w:lineRule="exact"/>
              <w:jc w:val="left"/>
              <w:rPr>
                <w:rFonts w:ascii="宋体" w:hAnsi="宋体" w:cs="宋体"/>
                <w:kern w:val="0"/>
                <w:sz w:val="18"/>
                <w:szCs w:val="18"/>
              </w:rPr>
            </w:pPr>
            <w:r>
              <w:rPr>
                <w:rFonts w:hint="eastAsia" w:ascii="宋体" w:hAnsi="宋体" w:cs="宋体"/>
                <w:kern w:val="0"/>
                <w:sz w:val="15"/>
                <w:szCs w:val="15"/>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偏差原因分析及改进措施</w:t>
            </w:r>
          </w:p>
        </w:tc>
      </w:tr>
      <w:tr>
        <w:tblPrEx>
          <w:tblCellMar>
            <w:top w:w="0" w:type="dxa"/>
            <w:left w:w="108" w:type="dxa"/>
            <w:bottom w:w="0" w:type="dxa"/>
            <w:right w:w="108" w:type="dxa"/>
          </w:tblCellMar>
        </w:tblPrEx>
        <w:trPr>
          <w:trHeight w:val="53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8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查防作业、维修及购置防治药械、测报、应急等物资</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租赁药械库房及飞机停放起降场数量</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个</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发布飞防公告</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w:t>
            </w:r>
            <w:r>
              <w:rPr>
                <w:rFonts w:hint="eastAsia" w:ascii="宋体" w:hAnsi="宋体" w:cs="宋体"/>
                <w:kern w:val="0"/>
                <w:sz w:val="18"/>
                <w:szCs w:val="18"/>
              </w:rPr>
              <w:t>次</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开展宣传</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≥1场</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林业有害生物成灾率</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w:t>
            </w:r>
            <w:r>
              <w:rPr>
                <w:rFonts w:hint="eastAsia" w:ascii="宋体" w:hAnsi="宋体" w:cs="宋体"/>
                <w:kern w:val="0"/>
                <w:sz w:val="18"/>
                <w:szCs w:val="18"/>
              </w:rPr>
              <w:t>‰</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5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无公害防治率</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进行宣传、专家咨询和评审、网络接入</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202</w:t>
            </w:r>
            <w:r>
              <w:rPr>
                <w:rFonts w:hint="eastAsia" w:ascii="宋体" w:hAnsi="宋体" w:cs="宋体"/>
                <w:kern w:val="0"/>
                <w:sz w:val="15"/>
                <w:szCs w:val="15"/>
                <w:lang w:val="en-US" w:eastAsia="zh-CN"/>
              </w:rPr>
              <w:t>4</w:t>
            </w:r>
            <w:r>
              <w:rPr>
                <w:rFonts w:hint="eastAsia" w:ascii="宋体" w:hAnsi="宋体" w:cs="宋体"/>
                <w:kern w:val="0"/>
                <w:sz w:val="15"/>
                <w:szCs w:val="15"/>
              </w:rPr>
              <w:t>年完成</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2024年完成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6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根据病虫害监测发生情况及防治进度，完成查防作业、维修及购置防治虫害药械、测报、应急等物资</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2024年完成</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2024年完成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租赁药械库房及飞机停放起降场</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2024年完成</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024</w:t>
            </w:r>
            <w:r>
              <w:rPr>
                <w:rFonts w:hint="eastAsia" w:ascii="宋体" w:hAnsi="宋体" w:cs="宋体"/>
                <w:kern w:val="0"/>
                <w:sz w:val="18"/>
                <w:szCs w:val="18"/>
              </w:rPr>
              <w:t>年完成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9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宣传费、专家咨询和评审费</w:t>
            </w:r>
          </w:p>
        </w:tc>
        <w:tc>
          <w:tcPr>
            <w:tcW w:w="1108" w:type="dxa"/>
            <w:tcBorders>
              <w:top w:val="nil"/>
              <w:left w:val="nil"/>
              <w:bottom w:val="single" w:color="auto" w:sz="4" w:space="0"/>
              <w:right w:val="single" w:color="auto" w:sz="4" w:space="0"/>
            </w:tcBorders>
          </w:tcPr>
          <w:p>
            <w:pPr>
              <w:spacing w:line="240" w:lineRule="exact"/>
              <w:jc w:val="center"/>
              <w:rPr>
                <w:rFonts w:ascii="宋体" w:hAnsi="宋体" w:cs="宋体"/>
                <w:kern w:val="0"/>
                <w:sz w:val="18"/>
                <w:szCs w:val="18"/>
              </w:rPr>
            </w:pPr>
            <w:r>
              <w:rPr>
                <w:rFonts w:hint="eastAsia" w:ascii="宋体" w:hAnsi="宋体" w:cs="宋体"/>
                <w:kern w:val="0"/>
                <w:sz w:val="15"/>
                <w:szCs w:val="15"/>
              </w:rPr>
              <w:t>≤18.79万元</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18.75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药械库房及飞机停放起降场租赁费</w:t>
            </w:r>
          </w:p>
        </w:tc>
        <w:tc>
          <w:tcPr>
            <w:tcW w:w="1108" w:type="dxa"/>
            <w:tcBorders>
              <w:top w:val="nil"/>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≤38.49万元</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38.49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2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网络专线费用</w:t>
            </w:r>
          </w:p>
        </w:tc>
        <w:tc>
          <w:tcPr>
            <w:tcW w:w="1108" w:type="dxa"/>
            <w:tcBorders>
              <w:top w:val="nil"/>
              <w:left w:val="nil"/>
              <w:bottom w:val="single" w:color="auto" w:sz="4" w:space="0"/>
              <w:right w:val="single" w:color="auto" w:sz="4" w:space="0"/>
            </w:tcBorders>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5"/>
                <w:szCs w:val="15"/>
                <w:lang w:val="en-US" w:eastAsia="zh-CN"/>
              </w:rPr>
              <w:t>0万元</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查防作业、维修及购置防治药械、测报、应急等物资费</w:t>
            </w:r>
          </w:p>
        </w:tc>
        <w:tc>
          <w:tcPr>
            <w:tcW w:w="1108" w:type="dxa"/>
            <w:tcBorders>
              <w:top w:val="nil"/>
              <w:left w:val="nil"/>
              <w:bottom w:val="single" w:color="auto" w:sz="4" w:space="0"/>
              <w:right w:val="single" w:color="auto" w:sz="4" w:space="0"/>
            </w:tcBorders>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≤47万元</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FF0000"/>
                <w:kern w:val="0"/>
                <w:sz w:val="18"/>
                <w:szCs w:val="18"/>
              </w:rPr>
            </w:pPr>
            <w:r>
              <w:rPr>
                <w:rFonts w:ascii="宋体" w:hAnsi="宋体" w:cs="宋体"/>
                <w:kern w:val="0"/>
                <w:sz w:val="18"/>
                <w:szCs w:val="18"/>
              </w:rPr>
              <w:t>47</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1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87"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经济效益指标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社会效益指标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确保绿色景观完整，减少市民投诉</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有所增强</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效果明显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生态效益指标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防灾减灾，治理林业病虫害，减少林木损失</w:t>
            </w:r>
          </w:p>
        </w:tc>
        <w:tc>
          <w:tcPr>
            <w:tcW w:w="11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有所增强</w:t>
            </w:r>
          </w:p>
        </w:tc>
        <w:tc>
          <w:tcPr>
            <w:tcW w:w="67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效果明显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9"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p>
            <w:pPr>
              <w:widowControl/>
              <w:spacing w:line="240" w:lineRule="exact"/>
              <w:jc w:val="left"/>
              <w:rPr>
                <w:rFonts w:ascii="宋体" w:hAnsi="宋体" w:cs="宋体"/>
                <w:kern w:val="0"/>
                <w:sz w:val="18"/>
                <w:szCs w:val="18"/>
              </w:rPr>
            </w:pPr>
          </w:p>
        </w:tc>
        <w:tc>
          <w:tcPr>
            <w:tcW w:w="11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68"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满意度</w:t>
            </w:r>
          </w:p>
          <w:p>
            <w:pPr>
              <w:widowControl/>
              <w:spacing w:line="240" w:lineRule="exact"/>
              <w:jc w:val="center"/>
              <w:rPr>
                <w:rFonts w:ascii="宋体" w:hAnsi="宋体" w:cs="宋体"/>
                <w:kern w:val="0"/>
                <w:sz w:val="18"/>
                <w:szCs w:val="18"/>
              </w:rPr>
            </w:pPr>
            <w:r>
              <w:rPr>
                <w:rFonts w:hint="eastAsia" w:ascii="宋体" w:hAnsi="宋体" w:cs="宋体"/>
                <w:kern w:val="0"/>
                <w:sz w:val="15"/>
                <w:szCs w:val="15"/>
              </w:rPr>
              <w:t>指标</w:t>
            </w:r>
          </w:p>
        </w:tc>
        <w:tc>
          <w:tcPr>
            <w:tcW w:w="118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回访满意率</w:t>
            </w:r>
          </w:p>
          <w:p>
            <w:pPr>
              <w:widowControl/>
              <w:spacing w:line="240" w:lineRule="exact"/>
              <w:jc w:val="left"/>
              <w:rPr>
                <w:rFonts w:ascii="宋体" w:hAnsi="宋体" w:cs="宋体"/>
                <w:kern w:val="0"/>
                <w:sz w:val="18"/>
                <w:szCs w:val="18"/>
              </w:rPr>
            </w:pPr>
          </w:p>
        </w:tc>
        <w:tc>
          <w:tcPr>
            <w:tcW w:w="11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67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99%</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pStyle w:val="2"/>
        <w:ind w:firstLine="0" w:firstLineChars="0"/>
        <w:rPr>
          <w:rFonts w:hint="eastAsia"/>
        </w:rPr>
      </w:pPr>
    </w:p>
    <w:tbl>
      <w:tblPr>
        <w:tblStyle w:val="8"/>
        <w:tblW w:w="8928" w:type="dxa"/>
        <w:jc w:val="center"/>
        <w:tblLayout w:type="fixed"/>
        <w:tblCellMar>
          <w:top w:w="0" w:type="dxa"/>
          <w:left w:w="108" w:type="dxa"/>
          <w:bottom w:w="0" w:type="dxa"/>
          <w:right w:w="108" w:type="dxa"/>
        </w:tblCellMar>
      </w:tblPr>
      <w:tblGrid>
        <w:gridCol w:w="578"/>
        <w:gridCol w:w="969"/>
        <w:gridCol w:w="991"/>
        <w:gridCol w:w="813"/>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ascii="宋体" w:hAnsi="宋体" w:cs="宋体"/>
                <w:kern w:val="0"/>
                <w:sz w:val="22"/>
              </w:rPr>
              <w:t>2024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城市副中心防控危险性林业有害生物项目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通州区园林绿化局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20"/>
                <w:szCs w:val="20"/>
              </w:rPr>
              <w:t>通州区林业保护站</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     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549.6534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9.94%</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550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550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549.6534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571"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根据美国白蛾等林业有害生物发生情况，开展城区林业有害生物协同防治、购置防治药剂及设备等物资，补足城区防治短板，确保城区各街道办事处辖区范围内林业有害生物成灾率控制在1‰以下，无公害防治率达到95%以上。</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针对城市副中心主要病虫害防治需求，建设林木智能保护基站3个，购买以防治美国白蛾为主的无公害药剂，重点针对155平方公里范围内防治力量薄弱区域开展以美国白蛾为主的危险性林业有害生物协同防治工作，无公害防治率达到100%。</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9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9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购置药剂、生物物理等防治物资及器具</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≥1项</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城区协同防治</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≥7.2万亩</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7.4</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林木智能保护基站</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3个</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无公害防治率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林业有害生物成灾率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根据城区病虫害发生情况进行协同防治</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2024年完成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2024年完成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建设林木智能保护基站</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2024年完成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2024年完成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6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根据当年城区155平方公里内病虫害监测发生情况，统一使用防治药械和药剂</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2024年完成</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2024年完成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3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成本指标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林木智能保护体系建设及运维费</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≤150万元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149.9505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42"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城区协同防治费</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≤324万元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323.8029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8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副中心防治物资材料费</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≤76万元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75.9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99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93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w:t>
            </w:r>
          </w:p>
        </w:tc>
        <w:tc>
          <w:tcPr>
            <w:tcW w:w="84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4"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确保绿色景观完整和生态安全，病虫害得到有效控制，减少市民投诉</w:t>
            </w:r>
          </w:p>
        </w:tc>
        <w:tc>
          <w:tcPr>
            <w:tcW w:w="93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有所增强</w:t>
            </w:r>
          </w:p>
        </w:tc>
        <w:tc>
          <w:tcPr>
            <w:tcW w:w="84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效果明显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7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起到防灾减灾，治理林业病虫害的作用，减少我区林木损失，保护林木资源和绿色景观</w:t>
            </w:r>
          </w:p>
        </w:tc>
        <w:tc>
          <w:tcPr>
            <w:tcW w:w="93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有所增强</w:t>
            </w:r>
          </w:p>
        </w:tc>
        <w:tc>
          <w:tcPr>
            <w:tcW w:w="84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效果明显</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938" w:type="dxa"/>
            <w:tcBorders>
              <w:top w:val="single" w:color="auto" w:sz="4" w:space="0"/>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848" w:type="dxa"/>
            <w:tcBorders>
              <w:top w:val="single" w:color="auto" w:sz="4" w:space="0"/>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9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0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回访满意率</w:t>
            </w:r>
          </w:p>
          <w:p>
            <w:pPr>
              <w:widowControl/>
              <w:spacing w:line="240" w:lineRule="exact"/>
              <w:jc w:val="left"/>
              <w:rPr>
                <w:rFonts w:ascii="宋体" w:hAnsi="宋体" w:cs="宋体"/>
                <w:kern w:val="0"/>
                <w:sz w:val="18"/>
                <w:szCs w:val="18"/>
              </w:rPr>
            </w:pPr>
          </w:p>
        </w:tc>
        <w:tc>
          <w:tcPr>
            <w:tcW w:w="938" w:type="dxa"/>
            <w:tcBorders>
              <w:top w:val="single" w:color="auto" w:sz="4" w:space="0"/>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hint="eastAsia" w:ascii="宋体" w:hAnsi="宋体" w:cs="宋体"/>
                <w:kern w:val="0"/>
                <w:sz w:val="18"/>
                <w:szCs w:val="18"/>
              </w:rPr>
              <w:t>≥95%</w:t>
            </w:r>
          </w:p>
        </w:tc>
        <w:tc>
          <w:tcPr>
            <w:tcW w:w="848" w:type="dxa"/>
            <w:tcBorders>
              <w:top w:val="single" w:color="auto" w:sz="4" w:space="0"/>
              <w:left w:val="nil"/>
              <w:bottom w:val="single" w:color="auto" w:sz="4" w:space="0"/>
              <w:right w:val="single" w:color="auto" w:sz="4" w:space="0"/>
            </w:tcBorders>
          </w:tcPr>
          <w:p>
            <w:pPr>
              <w:widowControl/>
              <w:spacing w:line="240" w:lineRule="exact"/>
              <w:jc w:val="left"/>
              <w:rPr>
                <w:rFonts w:ascii="宋体" w:hAnsi="宋体" w:cs="宋体"/>
                <w:kern w:val="0"/>
                <w:sz w:val="18"/>
                <w:szCs w:val="18"/>
              </w:rPr>
            </w:pPr>
            <w:r>
              <w:rPr>
                <w:rFonts w:ascii="宋体" w:hAnsi="宋体" w:cs="宋体"/>
                <w:kern w:val="0"/>
                <w:sz w:val="18"/>
                <w:szCs w:val="18"/>
              </w:rPr>
              <w:t>99%</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pStyle w:val="2"/>
        <w:ind w:left="0" w:leftChars="0" w:firstLine="0" w:firstLineChars="0"/>
      </w:pPr>
    </w:p>
    <w:tbl>
      <w:tblPr>
        <w:tblStyle w:val="8"/>
        <w:tblW w:w="8928" w:type="dxa"/>
        <w:jc w:val="center"/>
        <w:tblLayout w:type="fixed"/>
        <w:tblCellMar>
          <w:top w:w="0" w:type="dxa"/>
          <w:left w:w="108" w:type="dxa"/>
          <w:bottom w:w="0" w:type="dxa"/>
          <w:right w:w="108" w:type="dxa"/>
        </w:tblCellMar>
      </w:tblPr>
      <w:tblGrid>
        <w:gridCol w:w="578"/>
        <w:gridCol w:w="969"/>
        <w:gridCol w:w="979"/>
        <w:gridCol w:w="825"/>
        <w:gridCol w:w="1114"/>
        <w:gridCol w:w="169"/>
        <w:gridCol w:w="938"/>
        <w:gridCol w:w="1050"/>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50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ascii="宋体" w:hAnsi="宋体" w:cs="宋体"/>
                <w:kern w:val="0"/>
                <w:sz w:val="22"/>
              </w:rPr>
              <w:t>2024</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2024年城市副中心林业有害生物绿色防控试点和推广项目</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通州区园林绿化局</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20"/>
                <w:szCs w:val="20"/>
              </w:rPr>
              <w:t>通州区林业保护站</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both"/>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kern w:val="0"/>
                <w:sz w:val="18"/>
                <w:szCs w:val="18"/>
              </w:rPr>
            </w:pPr>
            <w:r>
              <w:rPr>
                <w:rFonts w:hint="eastAsia" w:ascii="宋体" w:hAnsi="宋体" w:cs="宋体"/>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     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预算数</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     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562"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ascii="宋体" w:hAnsi="宋体" w:cs="宋体"/>
                <w:kern w:val="0"/>
                <w:sz w:val="18"/>
                <w:szCs w:val="18"/>
              </w:rPr>
              <w:t>199.465172</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199.465172</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198.955972</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9.74%</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0</w:t>
            </w:r>
          </w:p>
        </w:tc>
      </w:tr>
      <w:tr>
        <w:tblPrEx>
          <w:tblCellMar>
            <w:top w:w="0" w:type="dxa"/>
            <w:left w:w="108" w:type="dxa"/>
            <w:bottom w:w="0" w:type="dxa"/>
            <w:right w:w="108" w:type="dxa"/>
          </w:tblCellMar>
        </w:tblPrEx>
        <w:trPr>
          <w:trHeight w:val="556"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199.465172</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199.465172</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198.95597</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86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5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77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围绕城市副中心重点区域综合使用绿色防控技术，控制区域内林业有害生物危害在较低水平，主要林业有害生物成灾率小于0.99‰，防控区域内无公害防治率达95%以上，逐步降低区域内病虫害防治化学农药使用量，探索建立生态绿色防控示范体系。</w:t>
            </w:r>
          </w:p>
        </w:tc>
        <w:tc>
          <w:tcPr>
            <w:tcW w:w="335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围绕城市副中心城市绿心森林公园及通州与河北省廊坊市、天津市武清区毗邻平原生态林地约2700亩范围内，针对美国白蛾、松梢螟等害虫，根据其习性和发生期，综合采用悬挂诱捕器、释放天敌等10种绿色防控措施，区域内各类病虫得到有效控制，主要林业有害生物成灾率为0‰，无公害防治率达100%。</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一级指标</w:t>
            </w:r>
          </w:p>
        </w:tc>
        <w:tc>
          <w:tcPr>
            <w:tcW w:w="97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二级指标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年度</w:t>
            </w:r>
          </w:p>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指标值</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实际</w:t>
            </w:r>
          </w:p>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完成值</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产出指标</w:t>
            </w: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数量指标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绿色防控措施种类</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10类</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10</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52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质量指标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防控区域内主要林业有害生物成灾率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≤0.99‰</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0</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47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时效指标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项目完成时间</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当年完成</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2024年完成</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45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成本指标</w:t>
            </w:r>
          </w:p>
        </w:tc>
        <w:tc>
          <w:tcPr>
            <w:tcW w:w="2108" w:type="dxa"/>
            <w:gridSpan w:val="3"/>
            <w:tcBorders>
              <w:top w:val="single" w:color="auto" w:sz="4" w:space="0"/>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绿色防控物资材料费</w:t>
            </w:r>
          </w:p>
        </w:tc>
        <w:tc>
          <w:tcPr>
            <w:tcW w:w="93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≤662580元</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661140</w:t>
            </w:r>
          </w:p>
        </w:tc>
        <w:tc>
          <w:tcPr>
            <w:tcW w:w="355"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6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2108" w:type="dxa"/>
            <w:gridSpan w:val="3"/>
            <w:tcBorders>
              <w:top w:val="single" w:color="auto" w:sz="4" w:space="0"/>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防控实施及调查维护、防治设备回收费用</w:t>
            </w:r>
          </w:p>
        </w:tc>
        <w:tc>
          <w:tcPr>
            <w:tcW w:w="93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≤1290816元</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1287164</w:t>
            </w:r>
          </w:p>
        </w:tc>
        <w:tc>
          <w:tcPr>
            <w:tcW w:w="355"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700"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2108" w:type="dxa"/>
            <w:gridSpan w:val="3"/>
            <w:tcBorders>
              <w:top w:val="single" w:color="auto" w:sz="4" w:space="0"/>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监理费</w:t>
            </w:r>
          </w:p>
        </w:tc>
        <w:tc>
          <w:tcPr>
            <w:tcW w:w="938"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≤41255.72元</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41255.72</w:t>
            </w:r>
          </w:p>
        </w:tc>
        <w:tc>
          <w:tcPr>
            <w:tcW w:w="355" w:type="dxa"/>
            <w:tcBorders>
              <w:top w:val="nil"/>
              <w:left w:val="nil"/>
              <w:bottom w:val="single" w:color="auto" w:sz="4" w:space="0"/>
              <w:right w:val="single" w:color="auto" w:sz="4" w:space="0"/>
            </w:tcBorders>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86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效益指标</w:t>
            </w: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经济效益</w:t>
            </w:r>
          </w:p>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降低林业有害生物基数，从而达到农药的减量使用，促进园林养护费用的高效使用</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效果明显</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效果明显</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62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社会效益</w:t>
            </w:r>
          </w:p>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项目区内绿色景观完整，提高居民生态保护的意识</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效果明显</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效果明显</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7</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577"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生态效益</w:t>
            </w:r>
          </w:p>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林业有害生物无公害防治率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≥95%</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100%</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508"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可持续影响指标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w:t>
            </w:r>
          </w:p>
        </w:tc>
        <w:tc>
          <w:tcPr>
            <w:tcW w:w="3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5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满意度</w:t>
            </w:r>
          </w:p>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指标</w:t>
            </w:r>
          </w:p>
        </w:tc>
        <w:tc>
          <w:tcPr>
            <w:tcW w:w="9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服务对象满意度指标</w:t>
            </w:r>
          </w:p>
        </w:tc>
        <w:tc>
          <w:tcPr>
            <w:tcW w:w="210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回访满意率</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≥95%</w:t>
            </w:r>
          </w:p>
        </w:tc>
        <w:tc>
          <w:tcPr>
            <w:tcW w:w="10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99%</w:t>
            </w:r>
          </w:p>
        </w:tc>
        <w:tc>
          <w:tcPr>
            <w:tcW w:w="3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r>
              <w:rPr>
                <w:rFonts w:hint="eastAsia" w:ascii="宋体" w:hAnsi="宋体" w:cs="宋体"/>
                <w:kern w:val="0"/>
                <w:sz w:val="15"/>
                <w:szCs w:val="15"/>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15"/>
                <w:szCs w:val="15"/>
              </w:rPr>
            </w:pPr>
          </w:p>
        </w:tc>
      </w:tr>
      <w:tr>
        <w:tblPrEx>
          <w:tblCellMar>
            <w:top w:w="0" w:type="dxa"/>
            <w:left w:w="108" w:type="dxa"/>
            <w:bottom w:w="0" w:type="dxa"/>
            <w:right w:w="108" w:type="dxa"/>
          </w:tblCellMar>
        </w:tblPrEx>
        <w:trPr>
          <w:trHeight w:val="291" w:hRule="exact"/>
          <w:jc w:val="center"/>
        </w:trPr>
        <w:tc>
          <w:tcPr>
            <w:tcW w:w="662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3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95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pStyle w:val="2"/>
        <w:ind w:left="0" w:leftChars="0" w:firstLine="0" w:firstLineChars="0"/>
        <w:rPr>
          <w:rFonts w:ascii="宋体" w:hAnsi="宋体" w:cs="宋体"/>
          <w:kern w:val="0"/>
          <w:sz w:val="22"/>
        </w:rPr>
      </w:pPr>
      <w:bookmarkStart w:id="0" w:name="_GoBack"/>
      <w:bookmarkEnd w:id="0"/>
    </w:p>
    <w:sectPr>
      <w:footerReference r:id="rId3"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NJWO7QAAAABQEAAA8AAAAAAAAAAQAgAAAAIgAAAGRycy9kb3ducmV2LnhtbFBL&#10;AQIUABQAAAAIAIdO4kBqTB9zxQEAAG0DAAAOAAAAAAAAAAEAIAAAAB8BAABkcnMvZTJvRG9jLnht&#10;bFBLBQYAAAAABgAGAFkBAABW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0023A38"/>
    <w:rsid w:val="0002674D"/>
    <w:rsid w:val="00027F1B"/>
    <w:rsid w:val="00083B0F"/>
    <w:rsid w:val="000955CB"/>
    <w:rsid w:val="000A6C6C"/>
    <w:rsid w:val="000E7097"/>
    <w:rsid w:val="000F156F"/>
    <w:rsid w:val="001373F1"/>
    <w:rsid w:val="002255FF"/>
    <w:rsid w:val="0026306E"/>
    <w:rsid w:val="00281C59"/>
    <w:rsid w:val="00297B66"/>
    <w:rsid w:val="002A05CA"/>
    <w:rsid w:val="002A5FD3"/>
    <w:rsid w:val="002C234C"/>
    <w:rsid w:val="00334075"/>
    <w:rsid w:val="00350617"/>
    <w:rsid w:val="003B25AE"/>
    <w:rsid w:val="003B6E80"/>
    <w:rsid w:val="003C11BE"/>
    <w:rsid w:val="003E5D30"/>
    <w:rsid w:val="003E7E69"/>
    <w:rsid w:val="00417F40"/>
    <w:rsid w:val="0042526D"/>
    <w:rsid w:val="0043232D"/>
    <w:rsid w:val="004511F3"/>
    <w:rsid w:val="00463A03"/>
    <w:rsid w:val="00470E75"/>
    <w:rsid w:val="00476987"/>
    <w:rsid w:val="004D0EBF"/>
    <w:rsid w:val="00525490"/>
    <w:rsid w:val="00547C35"/>
    <w:rsid w:val="00582264"/>
    <w:rsid w:val="00594483"/>
    <w:rsid w:val="005B2B6E"/>
    <w:rsid w:val="005D648B"/>
    <w:rsid w:val="005F1BAD"/>
    <w:rsid w:val="00600F37"/>
    <w:rsid w:val="00661D17"/>
    <w:rsid w:val="00672AE5"/>
    <w:rsid w:val="00684491"/>
    <w:rsid w:val="00713DED"/>
    <w:rsid w:val="00727F3A"/>
    <w:rsid w:val="0074386D"/>
    <w:rsid w:val="00747FF9"/>
    <w:rsid w:val="00753033"/>
    <w:rsid w:val="007A2249"/>
    <w:rsid w:val="007B6FE6"/>
    <w:rsid w:val="0084534D"/>
    <w:rsid w:val="008807BB"/>
    <w:rsid w:val="008858D9"/>
    <w:rsid w:val="008A2955"/>
    <w:rsid w:val="009227AD"/>
    <w:rsid w:val="00935E0F"/>
    <w:rsid w:val="00946EF7"/>
    <w:rsid w:val="009503BB"/>
    <w:rsid w:val="00995E4A"/>
    <w:rsid w:val="00A0648F"/>
    <w:rsid w:val="00A26DED"/>
    <w:rsid w:val="00A43F30"/>
    <w:rsid w:val="00A747C4"/>
    <w:rsid w:val="00A7725C"/>
    <w:rsid w:val="00A938BD"/>
    <w:rsid w:val="00AD3602"/>
    <w:rsid w:val="00AE41CD"/>
    <w:rsid w:val="00AE498D"/>
    <w:rsid w:val="00AE5E3C"/>
    <w:rsid w:val="00B23707"/>
    <w:rsid w:val="00B62948"/>
    <w:rsid w:val="00B962E8"/>
    <w:rsid w:val="00BC0009"/>
    <w:rsid w:val="00C30BD2"/>
    <w:rsid w:val="00C35ED1"/>
    <w:rsid w:val="00C375DF"/>
    <w:rsid w:val="00C67D1D"/>
    <w:rsid w:val="00C75C28"/>
    <w:rsid w:val="00C90A23"/>
    <w:rsid w:val="00CC4776"/>
    <w:rsid w:val="00CD7124"/>
    <w:rsid w:val="00CF5277"/>
    <w:rsid w:val="00CF6600"/>
    <w:rsid w:val="00DB4614"/>
    <w:rsid w:val="00DF02AC"/>
    <w:rsid w:val="00DF4D05"/>
    <w:rsid w:val="00DF7F4F"/>
    <w:rsid w:val="00E54B67"/>
    <w:rsid w:val="00E836F1"/>
    <w:rsid w:val="00EA45AA"/>
    <w:rsid w:val="00EE7AEB"/>
    <w:rsid w:val="00F17446"/>
    <w:rsid w:val="00FD7CC3"/>
    <w:rsid w:val="00FE6D24"/>
    <w:rsid w:val="01534994"/>
    <w:rsid w:val="05AD05DE"/>
    <w:rsid w:val="0C8165E0"/>
    <w:rsid w:val="146E6B13"/>
    <w:rsid w:val="1B971F25"/>
    <w:rsid w:val="2CBF8107"/>
    <w:rsid w:val="2EB70209"/>
    <w:rsid w:val="30FF2B40"/>
    <w:rsid w:val="33EA3EFB"/>
    <w:rsid w:val="35D339CB"/>
    <w:rsid w:val="3A9578F1"/>
    <w:rsid w:val="3F6A0E9D"/>
    <w:rsid w:val="3FA31CA0"/>
    <w:rsid w:val="3FF79B31"/>
    <w:rsid w:val="451542C6"/>
    <w:rsid w:val="4AD27F4E"/>
    <w:rsid w:val="4BA31FDB"/>
    <w:rsid w:val="4BFF9656"/>
    <w:rsid w:val="537A1457"/>
    <w:rsid w:val="537B9DA3"/>
    <w:rsid w:val="55303CD0"/>
    <w:rsid w:val="577FC547"/>
    <w:rsid w:val="5A474F5C"/>
    <w:rsid w:val="5DDF52D1"/>
    <w:rsid w:val="5EDB0B63"/>
    <w:rsid w:val="5F9F33EB"/>
    <w:rsid w:val="6AC7B1A3"/>
    <w:rsid w:val="6B77FB6F"/>
    <w:rsid w:val="6EE9A86C"/>
    <w:rsid w:val="6FD43E60"/>
    <w:rsid w:val="70351F79"/>
    <w:rsid w:val="71DB912D"/>
    <w:rsid w:val="763E871D"/>
    <w:rsid w:val="79EBFCAD"/>
    <w:rsid w:val="7BBD97BD"/>
    <w:rsid w:val="7BED256C"/>
    <w:rsid w:val="7BFE4A5B"/>
    <w:rsid w:val="7BFFEC6B"/>
    <w:rsid w:val="7D411DA7"/>
    <w:rsid w:val="7DBF4FBB"/>
    <w:rsid w:val="7DCD9330"/>
    <w:rsid w:val="7DD758A1"/>
    <w:rsid w:val="7E562264"/>
    <w:rsid w:val="7E5EB5A1"/>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100" w:beforeAutospacing="1" w:after="100" w:afterAutospacing="1"/>
      <w:jc w:val="left"/>
    </w:pPr>
    <w:rPr>
      <w:kern w:val="0"/>
      <w:sz w:val="24"/>
    </w:rPr>
  </w:style>
  <w:style w:type="character" w:styleId="10">
    <w:name w:val="Hyperlink"/>
    <w:basedOn w:val="9"/>
    <w:qFormat/>
    <w:uiPriority w:val="0"/>
    <w:rPr>
      <w:color w:val="0000FF"/>
      <w:u w:val="single"/>
    </w:rPr>
  </w:style>
  <w:style w:type="character" w:customStyle="1" w:styleId="11">
    <w:name w:val="font81"/>
    <w:basedOn w:val="9"/>
    <w:qFormat/>
    <w:uiPriority w:val="0"/>
    <w:rPr>
      <w:rFonts w:hint="eastAsia" w:ascii="宋体" w:hAnsi="宋体" w:eastAsia="宋体" w:cs="宋体"/>
      <w:color w:val="000000"/>
      <w:sz w:val="20"/>
      <w:szCs w:val="20"/>
      <w:u w:val="none"/>
    </w:rPr>
  </w:style>
  <w:style w:type="character" w:customStyle="1" w:styleId="12">
    <w:name w:val="font11"/>
    <w:basedOn w:val="9"/>
    <w:qFormat/>
    <w:uiPriority w:val="0"/>
    <w:rPr>
      <w:rFonts w:hint="eastAsia" w:ascii="仿宋_GB2312" w:eastAsia="仿宋_GB2312" w:cs="仿宋_GB2312"/>
      <w:color w:val="000000"/>
      <w:sz w:val="24"/>
      <w:szCs w:val="24"/>
      <w:u w:val="none"/>
    </w:rPr>
  </w:style>
  <w:style w:type="character" w:customStyle="1" w:styleId="13">
    <w:name w:val="font61"/>
    <w:basedOn w:val="9"/>
    <w:qFormat/>
    <w:uiPriority w:val="0"/>
    <w:rPr>
      <w:rFonts w:hint="eastAsia" w:ascii="仿宋_GB2312" w:eastAsia="仿宋_GB2312" w:cs="仿宋_GB2312"/>
      <w:color w:val="000000"/>
      <w:sz w:val="24"/>
      <w:szCs w:val="24"/>
      <w:u w:val="none"/>
    </w:rPr>
  </w:style>
  <w:style w:type="character" w:customStyle="1" w:styleId="14">
    <w:name w:val="font71"/>
    <w:basedOn w:val="9"/>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1079</Words>
  <Characters>6151</Characters>
  <Lines>51</Lines>
  <Paragraphs>14</Paragraphs>
  <TotalTime>444</TotalTime>
  <ScaleCrop>false</ScaleCrop>
  <LinksUpToDate>false</LinksUpToDate>
  <CharactersWithSpaces>7216</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2025-02-12T08:14:00Z</dcterms:created>
  <dc:creator>user</dc:creator>
  <cp:lastModifiedBy>Administrator</cp:lastModifiedBy>
  <cp:lastPrinted>2025-01-08T17:22:00Z</cp:lastPrinted>
  <dcterms:modified xsi:type="dcterms:W3CDTF">2025-09-19T07:30:32Z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D02F4C91383C43CFB3FC2B56E7ECA6BD</vt:lpwstr>
  </property>
</Properties>
</file>