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Arial"/>
          <w:b/>
          <w:bCs/>
          <w:sz w:val="36"/>
          <w:szCs w:val="36"/>
        </w:rPr>
      </w:pPr>
    </w:p>
    <w:p>
      <w:pPr>
        <w:jc w:val="center"/>
        <w:rPr>
          <w:rFonts w:ascii="Arial" w:hAnsi="Arial" w:cs="Arial"/>
          <w:b/>
          <w:bCs/>
          <w:sz w:val="36"/>
          <w:szCs w:val="36"/>
        </w:rPr>
      </w:pPr>
      <w:r>
        <w:rPr>
          <w:rFonts w:hint="eastAsia" w:ascii="宋体" w:hAnsi="宋体" w:cs="Arial"/>
          <w:b/>
          <w:bCs/>
          <w:sz w:val="36"/>
          <w:szCs w:val="36"/>
        </w:rPr>
        <w:t>项目支出</w:t>
      </w:r>
      <w:r>
        <w:rPr>
          <w:rFonts w:ascii="宋体" w:hAnsi="宋体" w:cs="Arial"/>
          <w:b/>
          <w:bCs/>
          <w:sz w:val="36"/>
          <w:szCs w:val="36"/>
        </w:rPr>
        <w:t>绩效</w:t>
      </w:r>
      <w:r>
        <w:rPr>
          <w:rFonts w:hint="eastAsia" w:ascii="宋体" w:hAnsi="宋体" w:cs="Arial"/>
          <w:b/>
          <w:bCs/>
          <w:sz w:val="36"/>
          <w:szCs w:val="36"/>
        </w:rPr>
        <w:t>评价报告</w:t>
      </w:r>
    </w:p>
    <w:p>
      <w:pPr>
        <w:jc w:val="cente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（2024年北京市“两区”展示会客厅</w:t>
      </w:r>
      <w:r>
        <w:rPr>
          <w:rFonts w:hint="eastAsia" w:ascii="仿宋_GB2312" w:hAnsi="仿宋_GB2312" w:eastAsia="仿宋_GB2312" w:cs="仿宋_GB2312"/>
          <w:sz w:val="28"/>
          <w:szCs w:val="36"/>
          <w:lang w:eastAsia="zh-CN"/>
        </w:rPr>
        <w:t>场地</w:t>
      </w:r>
      <w:r>
        <w:rPr>
          <w:rFonts w:hint="eastAsia" w:ascii="仿宋_GB2312" w:hAnsi="仿宋_GB2312" w:eastAsia="仿宋_GB2312" w:cs="仿宋_GB2312"/>
          <w:sz w:val="28"/>
          <w:szCs w:val="36"/>
        </w:rPr>
        <w:t>租赁项目）</w:t>
      </w:r>
    </w:p>
    <w:p>
      <w:pPr>
        <w:pStyle w:val="3"/>
        <w:ind w:firstLine="420"/>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一、基本情况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（一）项目概况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中国（北京）自由贸易试验区国际商务服务片区通州组团三年行动方案（2022-2024年）》明确提出要完善园区服务体系，推进市“两区”展示会客厅建设，打造园区展示推介空间，将市“两区”展示会客厅建设成为集“两区”政策发布、宣传推介、招商引资、展览展示等一体的综合功能体。为解决北京市“两区”展示会客厅场地使用问题，更好推进市“两区”展示会客厅建设，打造市“两区”建设“名片”，谋划并落地北京市“两区”展示会客厅场地租赁项目。                           </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北京市“两区”展示会客厅场地租赁项目由北京市通州区人民政府</w:t>
      </w:r>
      <w:r>
        <w:rPr>
          <w:rFonts w:hint="eastAsia" w:ascii="仿宋_GB2312" w:hAnsi="仿宋_GB2312" w:eastAsia="仿宋_GB2312" w:cs="仿宋_GB2312"/>
          <w:kern w:val="0"/>
          <w:sz w:val="32"/>
          <w:szCs w:val="32"/>
          <w:lang w:eastAsia="zh-CN"/>
        </w:rPr>
        <w:t>第</w:t>
      </w:r>
      <w:r>
        <w:rPr>
          <w:rFonts w:hint="eastAsia" w:ascii="仿宋_GB2312" w:hAnsi="仿宋_GB2312" w:eastAsia="仿宋_GB2312" w:cs="仿宋_GB2312"/>
          <w:kern w:val="0"/>
          <w:sz w:val="32"/>
          <w:szCs w:val="32"/>
          <w:lang w:val="en-US" w:eastAsia="zh-CN"/>
        </w:rPr>
        <w:t>153期</w:t>
      </w:r>
      <w:r>
        <w:rPr>
          <w:rFonts w:hint="eastAsia" w:ascii="仿宋_GB2312" w:hAnsi="仿宋_GB2312" w:eastAsia="仿宋_GB2312" w:cs="仿宋_GB2312"/>
          <w:kern w:val="0"/>
          <w:sz w:val="32"/>
          <w:szCs w:val="32"/>
        </w:rPr>
        <w:t>专题会议审议决定，运河商务区管委会负责，采用租赁方式，分期支付租赁费用</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协议期定为10年，按期支付租赁费用。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经北京市通州区新城中心区建设管理委员会</w:t>
      </w:r>
      <w:r>
        <w:rPr>
          <w:rFonts w:hint="eastAsia" w:ascii="仿宋_GB2312" w:hAnsi="仿宋_GB2312" w:eastAsia="仿宋_GB2312" w:cs="仿宋_GB2312"/>
          <w:kern w:val="0"/>
          <w:sz w:val="32"/>
          <w:szCs w:val="32"/>
          <w:lang w:eastAsia="zh-CN"/>
        </w:rPr>
        <w:t>（现</w:t>
      </w:r>
      <w:r>
        <w:rPr>
          <w:rFonts w:hint="eastAsia" w:ascii="仿宋_GB2312" w:hAnsi="仿宋_GB2312" w:eastAsia="仿宋_GB2312" w:cs="仿宋_GB2312"/>
          <w:kern w:val="0"/>
          <w:sz w:val="32"/>
          <w:szCs w:val="32"/>
        </w:rPr>
        <w:t>北京市通州区运河商务区管委会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2021年第30次党组会审议通过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与北京富华东方房地产开发有限公司签订《</w:t>
      </w:r>
      <w:r>
        <w:rPr>
          <w:rFonts w:hint="eastAsia" w:ascii="仿宋_GB2312" w:hAnsi="仿宋_GB2312" w:eastAsia="仿宋_GB2312" w:cs="仿宋_GB2312"/>
          <w:kern w:val="0"/>
          <w:sz w:val="32"/>
          <w:szCs w:val="32"/>
          <w:lang w:eastAsia="zh-CN"/>
        </w:rPr>
        <w:t>北京国际财富中心</w:t>
      </w:r>
      <w:r>
        <w:rPr>
          <w:rFonts w:hint="eastAsia" w:ascii="仿宋_GB2312" w:hAnsi="仿宋_GB2312" w:eastAsia="仿宋_GB2312" w:cs="仿宋_GB2312"/>
          <w:kern w:val="0"/>
          <w:sz w:val="32"/>
          <w:szCs w:val="32"/>
        </w:rPr>
        <w:t>租赁合同</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2024年项目资金为1554.732万元，均为区财政资金，项目内容包含北京市“两区”展示会客厅场地的租赁事宜。</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（二）项目绩效目标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落实2021年北京市通州区人民政府第153期专题会精神，由北京市通州区运河商务区管委会负责，采用租赁方式，分期支付租赁费用，协议期10年。通过场地租赁，保障市“两区”展示会客厅专有场所，集中宣传“两区”建设重大历史机遇和建设成效，全方位展示北京开放历程，“两区”建设体系和阶段性成果，打造集“两区”政策发布、宣传推介、招商引资、展览展示等于一体的综合功能体。</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二、绩效评价工作开展情况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rPr>
        <w:t>（一）绩效评价目的、对象</w:t>
      </w:r>
      <w:r>
        <w:rPr>
          <w:rFonts w:hint="eastAsia" w:ascii="楷体_GB2312" w:hAnsi="楷体_GB2312" w:eastAsia="楷体_GB2312" w:cs="楷体_GB2312"/>
          <w:kern w:val="0"/>
          <w:sz w:val="32"/>
          <w:szCs w:val="32"/>
          <w:lang w:eastAsia="zh-CN"/>
        </w:rPr>
        <w:t>和范围</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1.评价目的</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通过科学、系统的评价机制，围绕项目决策、过程、产出及效益情况开展评价，全方位衡量项目执行成效，发现展厅场地租赁项目执行过程中问题，剖析原因，提出改进建议，为科学决策、规范管理提供参考，确保展厅资源高效利用，服务“两区”建设。</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2.评价对象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2024年北京市“两区”展示会客厅场地租赁项目。</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3.评价范围</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对于2024年度北京市“两区”展示会客厅场地租赁相关工作开展绩效评价。</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rPr>
        <w:t>（二）绩效评价原则、评价指标体系</w:t>
      </w:r>
      <w:r>
        <w:rPr>
          <w:rFonts w:hint="eastAsia" w:ascii="楷体_GB2312" w:hAnsi="楷体_GB2312" w:eastAsia="楷体_GB2312" w:cs="楷体_GB2312"/>
          <w:kern w:val="0"/>
          <w:sz w:val="32"/>
          <w:szCs w:val="32"/>
          <w:lang w:eastAsia="zh-CN"/>
        </w:rPr>
        <w:t>和标准</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1.评价原则</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科学规范：建立系统化、标准化的评价指标体系，确保评价过程规范、结果客观。</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公平公正：评价过程公开透明，评价标准统一适用，确保结果真实反映项目实际成效。</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注重实效：突出结果导向，重点关注项目产生的实际效益，避免形式主义。</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结合项目特点和预期绩效目标，按照科学合理原则，明确评价标准，确定了该项目绩效评价指标体系，其中一级指标3个，二级指标4个，三级指标4个。</w:t>
      </w:r>
    </w:p>
    <w:p>
      <w:pPr>
        <w:pStyle w:val="2"/>
        <w:keepNext/>
        <w:keepLines/>
        <w:pageBreakBefore w:val="0"/>
        <w:widowControl w:val="0"/>
        <w:kinsoku/>
        <w:wordWrap/>
        <w:overflowPunct/>
        <w:topLinePunct w:val="0"/>
        <w:autoSpaceDE/>
        <w:autoSpaceDN/>
        <w:bidi w:val="0"/>
        <w:adjustRightInd/>
        <w:snapToGrid/>
        <w:spacing w:before="0" w:after="0" w:line="240" w:lineRule="atLeast"/>
        <w:textAlignment w:val="auto"/>
        <w:rPr>
          <w:rFonts w:hint="eastAsia" w:ascii="仿宋_GB2312" w:hAnsi="仿宋_GB2312" w:eastAsia="仿宋_GB2312" w:cs="仿宋_GB2312"/>
          <w:b w:val="0"/>
          <w:bCs w:val="0"/>
          <w:kern w:val="0"/>
          <w:sz w:val="32"/>
          <w:szCs w:val="32"/>
          <w:lang w:val="en-US" w:eastAsia="zh-CN" w:bidi="ar-SA"/>
        </w:rPr>
      </w:pPr>
    </w:p>
    <w:tbl>
      <w:tblPr>
        <w:tblStyle w:val="5"/>
        <w:tblW w:w="14339"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577"/>
        <w:gridCol w:w="1689"/>
        <w:gridCol w:w="2055"/>
        <w:gridCol w:w="4575"/>
        <w:gridCol w:w="5443"/>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17" w:hRule="exact"/>
          <w:jc w:val="center"/>
        </w:trPr>
        <w:tc>
          <w:tcPr>
            <w:tcW w:w="577" w:type="dxa"/>
            <w:vMerge w:val="restart"/>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绩</w:t>
            </w:r>
            <w:r>
              <w:rPr>
                <w:rFonts w:hint="eastAsia" w:ascii="仿宋_GB2312" w:hAnsi="仿宋_GB2312" w:eastAsia="仿宋_GB2312" w:cs="仿宋_GB2312"/>
                <w:b/>
                <w:bCs/>
                <w:kern w:val="0"/>
                <w:sz w:val="28"/>
                <w:szCs w:val="28"/>
              </w:rPr>
              <w:br w:type="textWrapping"/>
            </w:r>
            <w:r>
              <w:rPr>
                <w:rFonts w:hint="eastAsia" w:ascii="仿宋_GB2312" w:hAnsi="仿宋_GB2312" w:eastAsia="仿宋_GB2312" w:cs="仿宋_GB2312"/>
                <w:b/>
                <w:bCs/>
                <w:kern w:val="0"/>
                <w:sz w:val="28"/>
                <w:szCs w:val="28"/>
              </w:rPr>
              <w:t>效</w:t>
            </w:r>
            <w:r>
              <w:rPr>
                <w:rFonts w:hint="eastAsia" w:ascii="仿宋_GB2312" w:hAnsi="仿宋_GB2312" w:eastAsia="仿宋_GB2312" w:cs="仿宋_GB2312"/>
                <w:b/>
                <w:bCs/>
                <w:kern w:val="0"/>
                <w:sz w:val="28"/>
                <w:szCs w:val="28"/>
              </w:rPr>
              <w:br w:type="textWrapping"/>
            </w:r>
            <w:r>
              <w:rPr>
                <w:rFonts w:hint="eastAsia" w:ascii="仿宋_GB2312" w:hAnsi="仿宋_GB2312" w:eastAsia="仿宋_GB2312" w:cs="仿宋_GB2312"/>
                <w:b/>
                <w:bCs/>
                <w:kern w:val="0"/>
                <w:sz w:val="28"/>
                <w:szCs w:val="28"/>
              </w:rPr>
              <w:t>指</w:t>
            </w:r>
            <w:r>
              <w:rPr>
                <w:rFonts w:hint="eastAsia" w:ascii="仿宋_GB2312" w:hAnsi="仿宋_GB2312" w:eastAsia="仿宋_GB2312" w:cs="仿宋_GB2312"/>
                <w:b/>
                <w:bCs/>
                <w:kern w:val="0"/>
                <w:sz w:val="28"/>
                <w:szCs w:val="28"/>
              </w:rPr>
              <w:br w:type="textWrapping"/>
            </w:r>
            <w:r>
              <w:rPr>
                <w:rFonts w:hint="eastAsia" w:ascii="仿宋_GB2312" w:hAnsi="仿宋_GB2312" w:eastAsia="仿宋_GB2312" w:cs="仿宋_GB2312"/>
                <w:b/>
                <w:bCs/>
                <w:kern w:val="0"/>
                <w:sz w:val="28"/>
                <w:szCs w:val="28"/>
              </w:rPr>
              <w:t>标</w:t>
            </w:r>
          </w:p>
        </w:tc>
        <w:tc>
          <w:tcPr>
            <w:tcW w:w="1689" w:type="dxa"/>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一级指标</w:t>
            </w:r>
          </w:p>
        </w:tc>
        <w:tc>
          <w:tcPr>
            <w:tcW w:w="2055" w:type="dxa"/>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二级指标</w:t>
            </w:r>
          </w:p>
        </w:tc>
        <w:tc>
          <w:tcPr>
            <w:tcW w:w="4575"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三级指标</w:t>
            </w:r>
          </w:p>
        </w:tc>
        <w:tc>
          <w:tcPr>
            <w:tcW w:w="5443" w:type="dxa"/>
            <w:tcBorders>
              <w:left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kern w:val="0"/>
                <w:sz w:val="28"/>
                <w:szCs w:val="28"/>
                <w:lang w:val="en-US" w:eastAsia="zh-CN" w:bidi="ar-SA"/>
              </w:rPr>
            </w:pPr>
            <w:r>
              <w:rPr>
                <w:rFonts w:hint="eastAsia" w:ascii="仿宋_GB2312" w:hAnsi="仿宋_GB2312" w:eastAsia="仿宋_GB2312" w:cs="仿宋_GB2312"/>
                <w:b/>
                <w:bCs/>
                <w:kern w:val="0"/>
                <w:sz w:val="28"/>
                <w:szCs w:val="28"/>
              </w:rPr>
              <w:t>年度指标值</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96" w:hRule="exact"/>
          <w:jc w:val="center"/>
        </w:trPr>
        <w:tc>
          <w:tcPr>
            <w:tcW w:w="577" w:type="dxa"/>
            <w:vMerge w:val="continue"/>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p>
        </w:tc>
        <w:tc>
          <w:tcPr>
            <w:tcW w:w="16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lang w:eastAsia="zh-CN"/>
              </w:rPr>
              <w:t>产出指标</w:t>
            </w:r>
          </w:p>
        </w:tc>
        <w:tc>
          <w:tcPr>
            <w:tcW w:w="20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成本指标</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按照项目预算执行，支付展厅租赁费用，保证专款专用</w:t>
            </w:r>
          </w:p>
        </w:tc>
        <w:tc>
          <w:tcPr>
            <w:tcW w:w="5443" w:type="dxa"/>
            <w:tcBorders>
              <w:top w:val="single" w:color="auto" w:sz="4" w:space="0"/>
              <w:left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根据合同约定支付2024年度展厅租赁费用。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01" w:hRule="exact"/>
          <w:jc w:val="center"/>
        </w:trPr>
        <w:tc>
          <w:tcPr>
            <w:tcW w:w="577" w:type="dxa"/>
            <w:vMerge w:val="continue"/>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p>
        </w:tc>
        <w:tc>
          <w:tcPr>
            <w:tcW w:w="168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效益指标</w:t>
            </w:r>
          </w:p>
        </w:tc>
        <w:tc>
          <w:tcPr>
            <w:tcW w:w="20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经济效益指标</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通过场地租赁，保障市“两区”展示会客厅专有场所</w:t>
            </w:r>
          </w:p>
        </w:tc>
        <w:tc>
          <w:tcPr>
            <w:tcW w:w="5443" w:type="dxa"/>
            <w:tcBorders>
              <w:top w:val="single" w:color="auto" w:sz="4" w:space="0"/>
              <w:left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保障市“两区”展示会客厅正常开放运营。</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427" w:hRule="exact"/>
          <w:jc w:val="center"/>
        </w:trPr>
        <w:tc>
          <w:tcPr>
            <w:tcW w:w="577" w:type="dxa"/>
            <w:vMerge w:val="continue"/>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p>
        </w:tc>
        <w:tc>
          <w:tcPr>
            <w:tcW w:w="168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p>
        </w:tc>
        <w:tc>
          <w:tcPr>
            <w:tcW w:w="205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社会效益指标</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社会效益指标</w:t>
            </w:r>
          </w:p>
        </w:tc>
        <w:tc>
          <w:tcPr>
            <w:tcW w:w="5443" w:type="dxa"/>
            <w:tcBorders>
              <w:top w:val="single" w:color="auto" w:sz="4" w:space="0"/>
              <w:left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将北京市“两区”展示会客厅打造成为集“两区”政策发布、宣传推介、招商引资、展览展示等于一体的综合功能体。</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66" w:hRule="exact"/>
          <w:jc w:val="center"/>
        </w:trPr>
        <w:tc>
          <w:tcPr>
            <w:tcW w:w="577" w:type="dxa"/>
            <w:vMerge w:val="continue"/>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p>
        </w:tc>
        <w:tc>
          <w:tcPr>
            <w:tcW w:w="1689"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满意度指标</w:t>
            </w:r>
          </w:p>
        </w:tc>
        <w:tc>
          <w:tcPr>
            <w:tcW w:w="205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服务对象满意度指标</w:t>
            </w:r>
          </w:p>
        </w:tc>
        <w:tc>
          <w:tcPr>
            <w:tcW w:w="457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参观人员满意度情况</w:t>
            </w:r>
          </w:p>
        </w:tc>
        <w:tc>
          <w:tcPr>
            <w:tcW w:w="5443" w:type="dxa"/>
            <w:tcBorders>
              <w:top w:val="single" w:color="auto" w:sz="4" w:space="0"/>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开展参观人员满意度调查，保障满意度达95%以上。</w:t>
            </w:r>
          </w:p>
        </w:tc>
      </w:tr>
    </w:tbl>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3.评价标准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结合项目实际情况，以预先制定的目标、计划、预算作为本次绩效评价的标准。</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（三）绩效评价工作过程</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前</w:t>
      </w:r>
      <w:r>
        <w:rPr>
          <w:rFonts w:hint="eastAsia" w:ascii="仿宋_GB2312" w:hAnsi="仿宋_GB2312" w:eastAsia="仿宋_GB2312" w:cs="仿宋_GB2312"/>
          <w:sz w:val="32"/>
          <w:szCs w:val="32"/>
          <w:highlight w:val="none"/>
          <w:lang w:eastAsia="zh-CN"/>
        </w:rPr>
        <w:t>期组建绩效评价工作小组，按照绩效评价开展要求，开展绩效评价工作。通过</w:t>
      </w:r>
      <w:r>
        <w:rPr>
          <w:rFonts w:hint="eastAsia" w:ascii="仿宋_GB2312" w:hAnsi="仿宋_GB2312" w:eastAsia="仿宋_GB2312" w:cs="仿宋_GB2312"/>
          <w:sz w:val="32"/>
          <w:szCs w:val="32"/>
          <w:highlight w:val="none"/>
        </w:rPr>
        <w:t>收集</w:t>
      </w:r>
      <w:r>
        <w:rPr>
          <w:rFonts w:hint="eastAsia" w:ascii="仿宋_GB2312" w:hAnsi="仿宋_GB2312" w:eastAsia="仿宋_GB2312" w:cs="仿宋_GB2312"/>
          <w:sz w:val="32"/>
          <w:szCs w:val="32"/>
          <w:highlight w:val="none"/>
          <w:lang w:eastAsia="zh-CN"/>
        </w:rPr>
        <w:t>项目立项背景资料、</w:t>
      </w:r>
      <w:r>
        <w:rPr>
          <w:rFonts w:hint="eastAsia" w:ascii="仿宋_GB2312" w:hAnsi="仿宋_GB2312" w:eastAsia="仿宋_GB2312" w:cs="仿宋_GB2312"/>
          <w:sz w:val="32"/>
          <w:szCs w:val="32"/>
          <w:highlight w:val="none"/>
        </w:rPr>
        <w:t>项目合同</w:t>
      </w:r>
      <w:r>
        <w:rPr>
          <w:rFonts w:hint="eastAsia" w:ascii="仿宋_GB2312" w:hAnsi="仿宋_GB2312" w:eastAsia="仿宋_GB2312" w:cs="仿宋_GB2312"/>
          <w:sz w:val="32"/>
          <w:szCs w:val="32"/>
          <w:highlight w:val="none"/>
          <w:lang w:eastAsia="zh-CN"/>
        </w:rPr>
        <w:t>、展厅讲解接待记录</w:t>
      </w:r>
      <w:r>
        <w:rPr>
          <w:rFonts w:hint="eastAsia" w:ascii="仿宋_GB2312" w:hAnsi="仿宋_GB2312" w:eastAsia="仿宋_GB2312" w:cs="仿宋_GB2312"/>
          <w:sz w:val="32"/>
          <w:szCs w:val="32"/>
          <w:highlight w:val="none"/>
        </w:rPr>
        <w:t>等基础资料</w:t>
      </w:r>
      <w:r>
        <w:rPr>
          <w:rFonts w:hint="eastAsia" w:ascii="仿宋_GB2312" w:hAnsi="仿宋_GB2312" w:eastAsia="仿宋_GB2312" w:cs="仿宋_GB2312"/>
          <w:sz w:val="32"/>
          <w:szCs w:val="32"/>
          <w:highlight w:val="none"/>
          <w:lang w:eastAsia="zh-CN"/>
        </w:rPr>
        <w:t>，结合专家意见建议，从产出指标、效益指标和满意度指标三方面构建绩效评价指标体系。评价工作小组</w:t>
      </w:r>
      <w:r>
        <w:rPr>
          <w:rFonts w:hint="eastAsia" w:ascii="仿宋_GB2312" w:hAnsi="仿宋_GB2312" w:eastAsia="仿宋_GB2312" w:cs="仿宋_GB2312"/>
          <w:sz w:val="32"/>
          <w:szCs w:val="32"/>
          <w:lang w:eastAsia="zh-CN"/>
        </w:rPr>
        <w:t>通过查阅项目资料，分析评价项目的绩效实现情况，确认项目绩效是否达到预期目标，并完成绩效评价报告撰写工作。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三、综合评价情况及评价结论</w:t>
      </w:r>
    </w:p>
    <w:p>
      <w:pPr>
        <w:pStyle w:val="3"/>
        <w:pageBreakBefore w:val="0"/>
        <w:kinsoku/>
        <w:wordWrap/>
        <w:overflowPunct/>
        <w:topLinePunct w:val="0"/>
        <w:autoSpaceDE/>
        <w:autoSpaceDN/>
        <w:bidi w:val="0"/>
        <w:adjustRightInd/>
        <w:snapToGrid/>
        <w:spacing w:line="560" w:lineRule="exact"/>
        <w:ind w:firstLine="44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北京市“两区”展示会客厅作为社会公益性质展厅，对外开放参观均为免费，不具备盈利性，通过打造“两区”规划建设、政策支持、企业服务、营商环境等方面的宣传展示窗口，推动副中心招商引资，吸引更多的优秀资源，带动区域经济发展，产生较大社会效益</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bidi="ar-SA"/>
        </w:rPr>
        <w:t>2024年北京市“两区”展示会客厅场地租赁项</w:t>
      </w:r>
      <w:r>
        <w:rPr>
          <w:rFonts w:hint="eastAsia" w:ascii="仿宋_GB2312" w:hAnsi="仿宋_GB2312" w:eastAsia="仿宋_GB2312" w:cs="仿宋_GB2312"/>
          <w:kern w:val="0"/>
          <w:sz w:val="32"/>
          <w:szCs w:val="32"/>
          <w:lang w:val="en-US" w:eastAsia="zh-CN"/>
        </w:rPr>
        <w:t>目绩效评价综合</w:t>
      </w:r>
      <w:r>
        <w:rPr>
          <w:rFonts w:hint="eastAsia" w:ascii="仿宋_GB2312" w:hAnsi="仿宋_GB2312" w:eastAsia="仿宋_GB2312" w:cs="仿宋_GB2312"/>
          <w:kern w:val="0"/>
          <w:sz w:val="32"/>
          <w:szCs w:val="32"/>
        </w:rPr>
        <w:t>得分</w:t>
      </w:r>
      <w:r>
        <w:rPr>
          <w:rFonts w:hint="eastAsia" w:ascii="仿宋_GB2312" w:hAnsi="仿宋_GB2312" w:eastAsia="仿宋_GB2312" w:cs="仿宋_GB2312"/>
          <w:kern w:val="0"/>
          <w:sz w:val="32"/>
          <w:szCs w:val="32"/>
          <w:lang w:val="en-US" w:eastAsia="zh-CN"/>
        </w:rPr>
        <w:t>98分，评价结果优</w:t>
      </w:r>
      <w:r>
        <w:rPr>
          <w:rFonts w:hint="eastAsia" w:ascii="仿宋_GB2312" w:hAnsi="仿宋_GB2312" w:eastAsia="仿宋_GB2312" w:cs="仿宋_GB2312"/>
          <w:kern w:val="0"/>
          <w:sz w:val="32"/>
          <w:szCs w:val="32"/>
        </w:rPr>
        <w:t>。</w:t>
      </w:r>
    </w:p>
    <w:p>
      <w:pPr>
        <w:pStyle w:val="3"/>
        <w:pageBreakBefore w:val="0"/>
        <w:kinsoku/>
        <w:wordWrap/>
        <w:overflowPunct/>
        <w:topLinePunct w:val="0"/>
        <w:autoSpaceDE/>
        <w:autoSpaceDN/>
        <w:bidi w:val="0"/>
        <w:adjustRightInd/>
        <w:snapToGrid/>
        <w:spacing w:line="560" w:lineRule="exact"/>
        <w:ind w:firstLine="44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其中，扣分项主要在于社会效益指标：</w:t>
      </w:r>
    </w:p>
    <w:p>
      <w:pPr>
        <w:pStyle w:val="3"/>
        <w:pageBreakBefore w:val="0"/>
        <w:kinsoku/>
        <w:wordWrap/>
        <w:overflowPunct/>
        <w:topLinePunct w:val="0"/>
        <w:autoSpaceDE/>
        <w:autoSpaceDN/>
        <w:bidi w:val="0"/>
        <w:adjustRightInd/>
        <w:snapToGrid/>
        <w:spacing w:line="560" w:lineRule="exact"/>
        <w:ind w:firstLine="44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扣分原因：</w:t>
      </w:r>
      <w:r>
        <w:rPr>
          <w:rFonts w:hint="eastAsia" w:ascii="仿宋_GB2312" w:eastAsia="仿宋_GB2312" w:cstheme="minorBidi"/>
          <w:kern w:val="2"/>
          <w:sz w:val="32"/>
          <w:szCs w:val="32"/>
          <w:lang w:val="en-US" w:eastAsia="zh-CN" w:bidi="ar-SA"/>
        </w:rPr>
        <w:t>2023年展厅接待各类单位、企业和团体参观调研11677人次，2024年展厅接待各类单位、企业和团体参观调研7556人次。2024年接待调研参观人次下降，在宣传展示“两区”建设成果方面相较上一年需要提升</w:t>
      </w:r>
      <w:r>
        <w:rPr>
          <w:rFonts w:hint="eastAsia" w:ascii="仿宋_GB2312" w:hAnsi="仿宋_GB2312" w:eastAsia="仿宋_GB2312" w:cs="仿宋_GB2312"/>
          <w:kern w:val="0"/>
          <w:sz w:val="32"/>
          <w:szCs w:val="32"/>
          <w:lang w:eastAsia="zh-CN"/>
        </w:rPr>
        <w:t>。</w:t>
      </w:r>
    </w:p>
    <w:p>
      <w:pPr>
        <w:pStyle w:val="3"/>
        <w:pageBreakBefore w:val="0"/>
        <w:kinsoku/>
        <w:wordWrap/>
        <w:overflowPunct/>
        <w:topLinePunct w:val="0"/>
        <w:autoSpaceDE/>
        <w:autoSpaceDN/>
        <w:bidi w:val="0"/>
        <w:adjustRightInd/>
        <w:snapToGrid/>
        <w:spacing w:line="560" w:lineRule="exact"/>
        <w:ind w:firstLine="44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改进措施：用好“两区”展示平台，加强对外宣传推介，利用展厅宣传展示平台作用，借助市级、区级活动，聚焦政策解读、招商推介等核心成果，扩大展厅影响力和知晓度，深入宣传“两区”建设成果。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kern w:val="0"/>
          <w:sz w:val="32"/>
          <w:szCs w:val="32"/>
        </w:rPr>
      </w:pPr>
      <w:r>
        <w:rPr>
          <w:rFonts w:hint="eastAsia" w:ascii="黑体" w:hAnsi="黑体" w:eastAsia="黑体" w:cs="黑体"/>
          <w:b w:val="0"/>
          <w:bCs/>
          <w:kern w:val="0"/>
          <w:sz w:val="32"/>
          <w:szCs w:val="32"/>
        </w:rPr>
        <w:t>四、绩效评价指标分析</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（一）项目决策情况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北京市“两区”展示会客厅场地租赁项目由北京市通州区人民政府</w:t>
      </w:r>
      <w:r>
        <w:rPr>
          <w:rFonts w:hint="eastAsia" w:ascii="仿宋_GB2312" w:hAnsi="仿宋_GB2312" w:eastAsia="仿宋_GB2312" w:cs="仿宋_GB2312"/>
          <w:kern w:val="0"/>
          <w:sz w:val="32"/>
          <w:szCs w:val="32"/>
          <w:lang w:eastAsia="zh-CN"/>
        </w:rPr>
        <w:t>第</w:t>
      </w:r>
      <w:r>
        <w:rPr>
          <w:rFonts w:hint="eastAsia" w:ascii="仿宋_GB2312" w:hAnsi="仿宋_GB2312" w:eastAsia="仿宋_GB2312" w:cs="仿宋_GB2312"/>
          <w:kern w:val="0"/>
          <w:sz w:val="32"/>
          <w:szCs w:val="32"/>
          <w:lang w:val="en-US" w:eastAsia="zh-CN"/>
        </w:rPr>
        <w:t>153期</w:t>
      </w:r>
      <w:r>
        <w:rPr>
          <w:rFonts w:hint="eastAsia" w:ascii="仿宋_GB2312" w:hAnsi="仿宋_GB2312" w:eastAsia="仿宋_GB2312" w:cs="仿宋_GB2312"/>
          <w:kern w:val="0"/>
          <w:sz w:val="32"/>
          <w:szCs w:val="32"/>
        </w:rPr>
        <w:t>专题会议审议决定，运河商务区管委会负责，采用租赁方式，分期支付租赁费用</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协议期定为10年，按期支付租赁费用。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经北京市通州区新城中心区建设管理委员会</w:t>
      </w:r>
      <w:r>
        <w:rPr>
          <w:rFonts w:hint="eastAsia" w:ascii="仿宋_GB2312" w:hAnsi="仿宋_GB2312" w:eastAsia="仿宋_GB2312" w:cs="仿宋_GB2312"/>
          <w:kern w:val="0"/>
          <w:sz w:val="32"/>
          <w:szCs w:val="32"/>
          <w:lang w:eastAsia="zh-CN"/>
        </w:rPr>
        <w:t>（现</w:t>
      </w:r>
      <w:r>
        <w:rPr>
          <w:rFonts w:hint="eastAsia" w:ascii="仿宋_GB2312" w:hAnsi="仿宋_GB2312" w:eastAsia="仿宋_GB2312" w:cs="仿宋_GB2312"/>
          <w:kern w:val="0"/>
          <w:sz w:val="32"/>
          <w:szCs w:val="32"/>
        </w:rPr>
        <w:t>北京市通州区运河商务区管委会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2021年第30次党组会审议通过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与北京富华东方房地产开发有限公司签订《</w:t>
      </w:r>
      <w:bookmarkStart w:id="0" w:name="OLE_LINK2"/>
      <w:r>
        <w:rPr>
          <w:rFonts w:hint="eastAsia" w:ascii="仿宋_GB2312" w:hAnsi="仿宋_GB2312" w:eastAsia="仿宋_GB2312" w:cs="仿宋_GB2312"/>
          <w:kern w:val="0"/>
          <w:sz w:val="32"/>
          <w:szCs w:val="32"/>
          <w:lang w:eastAsia="zh-CN"/>
        </w:rPr>
        <w:t>北京国际财富中心</w:t>
      </w:r>
      <w:bookmarkEnd w:id="0"/>
      <w:r>
        <w:rPr>
          <w:rFonts w:hint="eastAsia" w:ascii="仿宋_GB2312" w:hAnsi="仿宋_GB2312" w:eastAsia="仿宋_GB2312" w:cs="仿宋_GB2312"/>
          <w:kern w:val="0"/>
          <w:sz w:val="32"/>
          <w:szCs w:val="32"/>
        </w:rPr>
        <w:t>租赁合同</w:t>
      </w:r>
      <w:r>
        <w:rPr>
          <w:rFonts w:hint="eastAsia" w:ascii="仿宋_GB2312" w:hAnsi="仿宋_GB2312" w:eastAsia="仿宋_GB2312" w:cs="仿宋_GB2312"/>
          <w:kern w:val="0"/>
          <w:sz w:val="32"/>
          <w:szCs w:val="32"/>
          <w:lang w:eastAsia="zh-CN"/>
        </w:rPr>
        <w:t>》。</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该项目严格按照相关文件要求及合同等进行项目立项和资金安排，立项依据充分，决策程序规范，符合法律法规、相关政策、发展规划以及部门职责。</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（二）项目过程情况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kern w:val="0"/>
          <w:sz w:val="32"/>
          <w:szCs w:val="32"/>
        </w:rPr>
        <w:t>根据《</w:t>
      </w:r>
      <w:r>
        <w:rPr>
          <w:rFonts w:hint="eastAsia" w:ascii="仿宋_GB2312" w:hAnsi="仿宋_GB2312" w:eastAsia="仿宋_GB2312" w:cs="仿宋_GB2312"/>
          <w:kern w:val="0"/>
          <w:sz w:val="32"/>
          <w:szCs w:val="32"/>
          <w:lang w:eastAsia="zh-CN"/>
        </w:rPr>
        <w:t>北京国际财富中心</w:t>
      </w:r>
      <w:r>
        <w:rPr>
          <w:rFonts w:hint="eastAsia" w:ascii="仿宋_GB2312" w:hAnsi="仿宋_GB2312" w:eastAsia="仿宋_GB2312" w:cs="仿宋_GB2312"/>
          <w:kern w:val="0"/>
          <w:sz w:val="32"/>
          <w:szCs w:val="32"/>
        </w:rPr>
        <w:t>租赁合同》约定，北京富华东方房地产开发有限公司出租北京市通州区贡院街一号院的北京国际财富中心8号楼，承租人同时可使用园区内公共区域及公共设施。</w:t>
      </w:r>
      <w:r>
        <w:rPr>
          <w:rFonts w:hint="eastAsia" w:ascii="仿宋_GB2312" w:hAnsi="仿宋_GB2312" w:eastAsia="仿宋_GB2312" w:cs="仿宋_GB2312"/>
          <w:b w:val="0"/>
          <w:bCs w:val="0"/>
          <w:kern w:val="0"/>
          <w:sz w:val="32"/>
          <w:szCs w:val="32"/>
          <w:lang w:val="en-US" w:eastAsia="zh-CN" w:bidi="ar-SA"/>
        </w:rPr>
        <w:t>该项目2024年批复预算资金1554.732万元，用于北京市“两区”展示会客厅租赁服务费用开支。截至2024年12月31日，开支使用1554.732万元，预算执行率为100%。项目资金管理严格，开支范围合规，审批程序规范，为目标实现提供了资金保障。</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lang w:val="en-US" w:eastAsia="zh-CN"/>
        </w:rPr>
      </w:pPr>
      <w:r>
        <w:rPr>
          <w:rFonts w:hint="eastAsia" w:ascii="楷体_GB2312" w:hAnsi="楷体_GB2312" w:eastAsia="楷体_GB2312" w:cs="楷体_GB2312"/>
          <w:kern w:val="0"/>
          <w:sz w:val="32"/>
          <w:szCs w:val="32"/>
          <w:lang w:val="en-US" w:eastAsia="zh-CN"/>
        </w:rPr>
        <w:t>（三）项目产出情况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2024年，北京市“两区”展示会客厅运营良好，且保持较大规模接待量，参观人员满意度高。经统计，2024年全年接待中国人民对外友好协会、东京都区市町村友好代表团、乌鲁木齐自贸试验区、商务部等</w:t>
      </w:r>
      <w:r>
        <w:rPr>
          <w:rFonts w:hint="eastAsia" w:ascii="仿宋_GB2312" w:hAnsi="仿宋_GB2312" w:eastAsia="仿宋_GB2312" w:cs="仿宋_GB2312"/>
          <w:kern w:val="0"/>
          <w:sz w:val="32"/>
          <w:szCs w:val="32"/>
          <w:lang w:eastAsia="zh-CN"/>
        </w:rPr>
        <w:t>各类</w:t>
      </w:r>
      <w:r>
        <w:rPr>
          <w:rFonts w:hint="eastAsia" w:ascii="仿宋_GB2312" w:hAnsi="仿宋_GB2312" w:eastAsia="仿宋_GB2312" w:cs="仿宋_GB2312"/>
          <w:kern w:val="0"/>
          <w:sz w:val="32"/>
          <w:szCs w:val="32"/>
        </w:rPr>
        <w:t>单位、企业</w:t>
      </w:r>
      <w:r>
        <w:rPr>
          <w:rFonts w:hint="eastAsia" w:ascii="仿宋_GB2312" w:hAnsi="仿宋_GB2312" w:eastAsia="仿宋_GB2312" w:cs="仿宋_GB2312"/>
          <w:kern w:val="0"/>
          <w:sz w:val="32"/>
          <w:szCs w:val="32"/>
          <w:lang w:eastAsia="zh-CN"/>
        </w:rPr>
        <w:t>和团体</w:t>
      </w:r>
      <w:r>
        <w:rPr>
          <w:rFonts w:hint="eastAsia" w:ascii="仿宋_GB2312" w:hAnsi="仿宋_GB2312" w:eastAsia="仿宋_GB2312" w:cs="仿宋_GB2312"/>
          <w:kern w:val="0"/>
          <w:sz w:val="32"/>
          <w:szCs w:val="32"/>
        </w:rPr>
        <w:t>参观调研7556人次。同时，展厅积极策划举办大型活动，获得多家主流媒体宣传报道</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举办城市副中心“两区”建设新闻发布会、“亲密伙伴”计划政务服务专场政策解读会等重要活动，获得央广网、北京日报、新京报、北京青年报等媒体平台广泛关注和采访报道，有效提升副中心“两区”建设显示度和“两区”政策知晓度，为推动城市副中心招商引资和“两区”建设发挥重要平台作用。</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（四）项目效益情况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2024年，</w:t>
      </w:r>
      <w:r>
        <w:rPr>
          <w:rFonts w:hint="eastAsia" w:ascii="仿宋_GB2312" w:hAnsi="仿宋_GB2312" w:eastAsia="仿宋_GB2312" w:cs="仿宋_GB2312"/>
          <w:kern w:val="0"/>
          <w:sz w:val="32"/>
          <w:szCs w:val="32"/>
        </w:rPr>
        <w:t>北京市“两区”展示会客厅作为社会公益性质展厅，全年免费</w:t>
      </w:r>
      <w:r>
        <w:rPr>
          <w:rFonts w:hint="eastAsia" w:ascii="仿宋_GB2312" w:hAnsi="仿宋_GB2312" w:eastAsia="仿宋_GB2312" w:cs="仿宋_GB2312"/>
          <w:kern w:val="0"/>
          <w:sz w:val="32"/>
          <w:szCs w:val="32"/>
          <w:highlight w:val="none"/>
        </w:rPr>
        <w:t>对外开放</w:t>
      </w:r>
      <w:r>
        <w:rPr>
          <w:rFonts w:hint="eastAsia" w:ascii="仿宋_GB2312" w:hAnsi="仿宋_GB2312" w:eastAsia="仿宋_GB2312" w:cs="仿宋_GB2312"/>
          <w:kern w:val="0"/>
          <w:sz w:val="32"/>
          <w:szCs w:val="32"/>
          <w:highlight w:val="none"/>
          <w:lang w:val="en-US" w:eastAsia="zh-CN"/>
        </w:rPr>
        <w:t>365天</w:t>
      </w:r>
      <w:r>
        <w:rPr>
          <w:rFonts w:hint="eastAsia" w:ascii="仿宋_GB2312" w:hAnsi="仿宋_GB2312" w:eastAsia="仿宋_GB2312" w:cs="仿宋_GB2312"/>
          <w:kern w:val="0"/>
          <w:sz w:val="32"/>
          <w:szCs w:val="32"/>
          <w:highlight w:val="none"/>
        </w:rPr>
        <w:t>。通过接待</w:t>
      </w:r>
      <w:r>
        <w:rPr>
          <w:rFonts w:hint="eastAsia" w:ascii="仿宋_GB2312" w:hAnsi="仿宋_GB2312" w:eastAsia="仿宋_GB2312" w:cs="仿宋_GB2312"/>
          <w:kern w:val="0"/>
          <w:sz w:val="32"/>
          <w:szCs w:val="32"/>
        </w:rPr>
        <w:t>调研参观和举办大型活动，深入宣传北京市和副中心“两区”建设成果，展示了“两区”建设对于首都发展、副中心发展的重要作用。经问卷调查，参观人员对展厅的讲解接待工作满意度达100%。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五、主要经验及做法、存在的问题及原因分析</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lang w:val="en-US" w:eastAsia="zh-CN"/>
        </w:rPr>
      </w:pPr>
      <w:r>
        <w:rPr>
          <w:rFonts w:hint="eastAsia" w:ascii="楷体_GB2312" w:hAnsi="楷体_GB2312" w:eastAsia="楷体_GB2312" w:cs="楷体_GB2312"/>
          <w:kern w:val="0"/>
          <w:sz w:val="32"/>
          <w:szCs w:val="32"/>
          <w:lang w:val="en-US" w:eastAsia="zh-CN"/>
        </w:rPr>
        <w:t>（一）主要经验及做法</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1.成立绩效评价工作小组</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成立绩效评价工作小组，建立健全内部工作机制，强化工作责任，明确预算绩效管理工作，确保绩效管理工作有人管、有人抓。</w:t>
      </w:r>
    </w:p>
    <w:p>
      <w:pPr>
        <w:pageBreakBefore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2.强化过程管理，科学建立指标体系</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结合展厅租赁项目收集的资料以及专家意见建议，综合考虑影响项目实际情况，以及项目管理、实际效益、满意度等多方面要求，根据项目实际情况科学建立评估指标体系，确保全方位衡量项目执行情况。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kern w:val="0"/>
          <w:sz w:val="32"/>
          <w:szCs w:val="32"/>
          <w:lang w:val="en-US" w:eastAsia="zh-CN"/>
        </w:rPr>
      </w:pPr>
      <w:r>
        <w:rPr>
          <w:rFonts w:hint="eastAsia" w:ascii="楷体_GB2312" w:hAnsi="楷体_GB2312" w:eastAsia="楷体_GB2312" w:cs="楷体_GB2312"/>
          <w:kern w:val="0"/>
          <w:sz w:val="32"/>
          <w:szCs w:val="32"/>
          <w:lang w:val="en-US" w:eastAsia="zh-CN"/>
        </w:rPr>
        <w:t>（二）存在的问题及原因</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评价指标体系方面，展厅租赁项目定性指标量化衡量难度大。展厅租赁项目按照2021年北京市通州区人民政府第153期专题会精神，由北京市通州区运河商务区管理委员会负责，采用租赁方式，分期支付租赁费用，这一项目仅涉及租金支付相关工作，指标体系多为定性指标，较难通过量化标准衡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六、有关建议</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通过系统收集项目相关资料，咨询行业专家意见建议，针对展厅租赁项目设置的定性指标，从开放运营天数、接待场次和人次、服务满意度等几方面对指标实际完成情况进行量化描述。</w:t>
      </w:r>
    </w:p>
    <w:p>
      <w:pPr>
        <w:keepNext w:val="0"/>
        <w:keepLines w:val="0"/>
        <w:pageBreakBefore w:val="0"/>
        <w:widowControl w:val="0"/>
        <w:tabs>
          <w:tab w:val="left" w:pos="5016"/>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kern w:val="0"/>
          <w:sz w:val="32"/>
          <w:szCs w:val="32"/>
        </w:rPr>
      </w:pPr>
      <w:r>
        <w:rPr>
          <w:rFonts w:hint="eastAsia" w:ascii="黑体" w:hAnsi="黑体" w:eastAsia="黑体" w:cs="黑体"/>
          <w:b w:val="0"/>
          <w:bCs/>
          <w:kern w:val="0"/>
          <w:sz w:val="32"/>
          <w:szCs w:val="32"/>
        </w:rPr>
        <w:t>七、其他需要说明的问题</w:t>
      </w:r>
      <w:r>
        <w:rPr>
          <w:rFonts w:hint="eastAsia" w:ascii="仿宋_GB2312" w:hAnsi="仿宋_GB2312" w:eastAsia="仿宋_GB2312" w:cs="仿宋_GB2312"/>
          <w:b/>
          <w:kern w:val="0"/>
          <w:sz w:val="32"/>
          <w:szCs w:val="32"/>
        </w:rPr>
        <w:tab/>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无。</w:t>
      </w:r>
    </w:p>
    <w:p>
      <w:bookmarkStart w:id="1" w:name="_GoBack"/>
      <w:bookmarkEnd w:id="1"/>
    </w:p>
    <w:sectPr>
      <w:footerReference r:id="rId3" w:type="default"/>
      <w:pgSz w:w="16838" w:h="11906" w:orient="landscape"/>
      <w:pgMar w:top="1803" w:right="1440" w:bottom="1803"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MH3PFAQAAbQMAAA4AAABkcnMvZTJvRG9jLnhtbK1TzW7UMBC+I/EO&#10;lu/dpFtRraL1VoWqCAkBUuEBvI69sWR7LNvdZHkAeANOXLjzXPscHTvJFtFb1Ysznp9vvm88WV8N&#10;1pC9DFGDY/R8UVMinYBWux2j377enq0oiYm7lhtwktGDjPRq8/rVuveNXEIHppWBIIiLTe8Z7VLy&#10;TVVF0UnL4wK8dBhUECxPeA27qg28R3RrqmVdX1Y9hNYHEDJG9N6MQbop+EpJkT4rFWUihlHklsoZ&#10;yrnNZ7VZ82YXuO+0mGjwZ7CwXDtseoK64YmT+6CfQFktAkRQaSHAVqCUFrJoQDXn9X9q7jruZdGC&#10;w4n+NKb4crDi0/5LILrFt6PEcYtPdPz18/j77/HPD7LM4+l9bDDrzmNeGt7CkFMnf0RnVj2oYPMX&#10;9RCM46APp+HKIRGRi1bL1arGkMDYfEGc6rHch5jeS7AkG4wGfL0yVL7/GNOYOqfkbg5utTHo541x&#10;pGf08uJNXQpOEQQ3DntkESPZbKVhO0wKttAeUBhuMDbsIHynpMdtYNThulJiPjgcdl6c2QizsZ0N&#10;7gQWMpooGc13qSxY5hX99X1CmoV9bj32mxjhmxb90/7lpfn3XrIe/5LN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NJWO7QAAAABQEAAA8AAAAAAAAAAQAgAAAAIgAAAGRycy9kb3ducmV2LnhtbFBL&#10;AQIUABQAAAAIAIdO4kBqTB9zxQEAAG0DAAAOAAAAAAAAAAEAIAAAAB8BAABkcnMvZTJvRG9jLnht&#10;bFBLBQYAAAAABgAGAFkBAABW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CD3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2025-08-19T08:45:32Z</dcterms:created>
  <dc:creator>cw</dc:creator>
  <cp:lastModifiedBy>cw</cp:lastModifiedBy>
  <dcterms:modified xsi:type="dcterms:W3CDTF">2025-08-19T08:45:47Z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