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97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24"/>
        <w:gridCol w:w="862"/>
        <w:gridCol w:w="202"/>
        <w:gridCol w:w="561"/>
        <w:gridCol w:w="210"/>
        <w:gridCol w:w="503"/>
        <w:gridCol w:w="333"/>
        <w:gridCol w:w="14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1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1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6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11011223T000002387764-2023副中心会客厅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通州区融媒体中心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陈冬菊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15210942873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332.530000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332.530000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332.530000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332.530000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54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1.着力讲好 “副中心故事”，不断优化市区媒体合作模式，持续强化城市副中心媒体矩阵，以《副中心会容厅》为重点，打造副中心融媒品牌栏目，营造充满魅力的副中心 “朋友圈”。2.持续联合市级媒体和津冀当地媒体，通过全媒体宣传报道形式，设立宣传专栏，讲好京津冀协同发展故事，突出展示副中心发挥桥头堡的重要作用，宣传协同发展成果。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强化“新闻+”功能，增加媒体粘性与权威影响力，依托品牌栏目开展线下主题活动，形成线上＋线下的良好互动局面，外延“新闻”功能，逐步构建和完善宣传大格局，为全面做好城市副中心宣传工作注入更强劲的动能。</w:t>
            </w:r>
          </w:p>
        </w:tc>
        <w:tc>
          <w:tcPr>
            <w:tcW w:w="41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2023副中心会客厅项目按计划完成合同内容，满足合同要求，原创视频拍摄不少于6条、视频转载不少于20条、北京日报报纸宣传不少于3篇；包括通州融媒体中心在内的京津冀市区媒体完成合作框架协议签约，完成京津冀协同发展成果展及出版媒体纪实刊物；完成副中心会客厅瓣瓣同心节目制作，不少于26条，每期不少于50分钟；完成“瓣瓣同心”京津冀协同发展摄影展暨“我心中的花瓣”青少年绘画展作品征集展览及颁奖仪式；完成通州区融媒体中心IP形象-通小融，以及副中心会客厅栏目LOGO征集评选表彰，对副中心媒体品牌宣传推广起到较强助推作用；出品儿童舞台剧《燃灯塔之谜》，让观众们跟随着紧张有趣的剧情，一同了解1400年燃灯塔和2500年大运河的悠久历史和文化内涵，感受运河文化和通州的城市魅力；完成京津冀协同发展短视频大赛征集评选表彰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指标1：融媒体中心IP形象征集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指标2：副中心会客厅栏目LOGO征集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指标3：短视频大赛征集评选，征集作品数量不得少于50条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50条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50条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指标4：短视频大赛颁奖仪式要求参加人员不少于150人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150人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150人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指标5：完成儿童舞台剧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1部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1部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指标6：儿童舞台剧演出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2场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2场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指标7：完成 1期界碑打卡主题视频、3期副中心主题原创视频、2期潮北京视频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6期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6期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指标8:完成20期副中心会客厅视频转载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20期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20期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指标9: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完成3期副中心主题报纸宣传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3期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3期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指标10: “瓣瓣同心”京津冀协同发展摄影展暨“我心中的花瓣”青少年绘画展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1场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1场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指标11: 摄影绘画展共征集作品241余幅 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241幅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241幅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指标12:《副中心会客厅》音频节目制作及播出，音视频精编制作及播出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50分钟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；25分钟/期，26期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50分钟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；25分钟/期，26期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指标13:《副中心会客厅》节目在市级媒体平台的多个新媒体端与通州矩阵全媒体平台推送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不少于3个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指标14:制作栏目曲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1首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1首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指标15:《副中心会客厅》线下媒体推广活动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1场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1场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指标16:开展京津冀协同主题媒体发布活动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1场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1场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指标17:《副中心会客厅》特别策划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7场次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7场次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指标18:宣传画册制作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100份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100份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指标1：融媒体中心IP作品准确体现融媒体中心形象，具有较强的辨识度和符号性，具备一定商业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价值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指标2：副中心会客厅栏目LOGO作品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符合考核要求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指标3:入选方案和优胜方案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指标4：全媒体平台以及线下结合宣传推广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覆盖率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短视频大赛表彰活动场内外会场布置、物料设计、服务保障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符合演出要求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指标6：儿童剧中软植入大量通州作为大运河源头的历史地理文化知识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覆盖率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≥10%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≥10%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指标7：视频拍摄、剪辑质量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符合要求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项目完成时间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1年内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指标1：项目预算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数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332.53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332.53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指标1：通过网络征集，让更多群体了解通州区融媒体中心和副中心会客厅栏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8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指标2：融合副中心特色元素，提升副中心媒体品牌影响力、引导力和传播力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15" w:type="dxa"/>
            <w:gridSpan w:val="2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燃灯佛舍利塔，历史超过了1400年，是通州城的标志性建筑，南来的漕运船只远远看到燃灯塔，就知道通州城到了，故有“一枝塔影认通州”的名句。关于燃灯塔和京杭大运河，通州当地有无数精彩传说，儿童剧提升了运河文化传播的影响力。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指标4：儿童舞台剧演出，让观众们跟随紧张有趣的剧情，一同了解1400年燃灯塔和2500年大运河的悠久历史和文化内涵，感受通州的城市魅力。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指标5:不断增强副中心作为京津冀协同发展的桥头堡的形象树立；加强了国际消费中心城市培育建设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指标6:增强副中心会客厅栏目在京津冀乃至全国的品牌影响力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指标7:通过多种形式，加强京津冀媒体联动，促进地区艺术交流。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指标8: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宣传京津冀协同发展政策、产业发展进展，提振全社会对京津冀协同发展信心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指标9:提高北京城市副中心影响力，展示多年来发展成果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8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:持续宣传京津冀协同发展成果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8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：获奖选手及参会人员满意度高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8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满意度调查支撑材料不够充分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：亲子互动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参与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家庭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:《副中心会客厅》节目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听众满意度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: 线下活动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参与人员满意度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指标。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9/NLtEAAAADAQAADwAAAAAA&#10;AAABACAAAAAiAAAAZHJzL2Rvd25yZXYueG1sUEsBAhQAFAAAAAgAh07iQIQuYCbhAQAAuAMAAA4A&#10;AAAAAAAAAQAgAAAAIAEAAGRycy9lMm9Eb2MueG1sUEsFBgAAAAAGAAYAWQEAAH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5EDB0B63"/>
    <w:rsid w:val="00002367"/>
    <w:rsid w:val="00014C02"/>
    <w:rsid w:val="000830A9"/>
    <w:rsid w:val="0009492A"/>
    <w:rsid w:val="000A61B6"/>
    <w:rsid w:val="000D2A20"/>
    <w:rsid w:val="00107965"/>
    <w:rsid w:val="001B2DC5"/>
    <w:rsid w:val="002067A3"/>
    <w:rsid w:val="002422A6"/>
    <w:rsid w:val="002855EB"/>
    <w:rsid w:val="00291A4F"/>
    <w:rsid w:val="002E00CF"/>
    <w:rsid w:val="002E7D50"/>
    <w:rsid w:val="004427E7"/>
    <w:rsid w:val="00586807"/>
    <w:rsid w:val="00633824"/>
    <w:rsid w:val="00687602"/>
    <w:rsid w:val="006978C0"/>
    <w:rsid w:val="006C1DA4"/>
    <w:rsid w:val="007950DF"/>
    <w:rsid w:val="008F75C8"/>
    <w:rsid w:val="00913259"/>
    <w:rsid w:val="0091568F"/>
    <w:rsid w:val="0092581F"/>
    <w:rsid w:val="009328ED"/>
    <w:rsid w:val="009566D2"/>
    <w:rsid w:val="009D286C"/>
    <w:rsid w:val="00A566C2"/>
    <w:rsid w:val="00A6076F"/>
    <w:rsid w:val="00A82BA1"/>
    <w:rsid w:val="00AC1910"/>
    <w:rsid w:val="00B20804"/>
    <w:rsid w:val="00B47B67"/>
    <w:rsid w:val="00B93E26"/>
    <w:rsid w:val="00C30587"/>
    <w:rsid w:val="00C369A0"/>
    <w:rsid w:val="00D4769F"/>
    <w:rsid w:val="00D525DA"/>
    <w:rsid w:val="00D66F53"/>
    <w:rsid w:val="00DC3F86"/>
    <w:rsid w:val="00DD757F"/>
    <w:rsid w:val="00E033A6"/>
    <w:rsid w:val="00E17291"/>
    <w:rsid w:val="00E73F3D"/>
    <w:rsid w:val="00EA47DC"/>
    <w:rsid w:val="00F62839"/>
    <w:rsid w:val="00FC573C"/>
    <w:rsid w:val="01534994"/>
    <w:rsid w:val="058B29BF"/>
    <w:rsid w:val="0C8165E0"/>
    <w:rsid w:val="0E871FE6"/>
    <w:rsid w:val="15FE0420"/>
    <w:rsid w:val="2CBF8107"/>
    <w:rsid w:val="2CEA6758"/>
    <w:rsid w:val="2EB70209"/>
    <w:rsid w:val="30BE2F31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5DC0F6F"/>
    <w:rsid w:val="6AC7B1A3"/>
    <w:rsid w:val="6B77FB6F"/>
    <w:rsid w:val="6EE9A86C"/>
    <w:rsid w:val="6FD43E60"/>
    <w:rsid w:val="70337191"/>
    <w:rsid w:val="763E871D"/>
    <w:rsid w:val="79EBFCAD"/>
    <w:rsid w:val="7BBD97BD"/>
    <w:rsid w:val="7BDCFE89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9E7751B6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802</Words>
  <Characters>4573</Characters>
  <Lines>38</Lines>
  <Paragraphs>10</Paragraphs>
  <TotalTime>2</TotalTime>
  <ScaleCrop>false</ScaleCrop>
  <LinksUpToDate>false</LinksUpToDate>
  <CharactersWithSpaces>5365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流小依</cp:lastModifiedBy>
  <cp:lastPrinted>2024-03-30T17:59:00Z</cp:lastPrinted>
  <dcterms:modified xsi:type="dcterms:W3CDTF">2024-04-16T21:30:45Z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34877013973642E9AD8B42AC64A0F1A1_13</vt:lpwstr>
  </property>
</Properties>
</file>