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4505" w:type="dxa"/>
        <w:tblInd w:w="93" w:type="dxa"/>
        <w:tblLayout w:type="autofit"/>
        <w:tblCellMar>
          <w:top w:w="0" w:type="dxa"/>
          <w:left w:w="108" w:type="dxa"/>
          <w:bottom w:w="0" w:type="dxa"/>
          <w:right w:w="108" w:type="dxa"/>
        </w:tblCellMar>
      </w:tblPr>
      <w:tblGrid>
        <w:gridCol w:w="1445"/>
        <w:gridCol w:w="939"/>
        <w:gridCol w:w="1505"/>
        <w:gridCol w:w="1281"/>
        <w:gridCol w:w="1290"/>
        <w:gridCol w:w="1278"/>
        <w:gridCol w:w="1287"/>
        <w:gridCol w:w="1287"/>
        <w:gridCol w:w="388"/>
        <w:gridCol w:w="390"/>
        <w:gridCol w:w="422"/>
        <w:gridCol w:w="433"/>
        <w:gridCol w:w="1280"/>
        <w:gridCol w:w="128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hint="eastAsia" w:ascii="FangSong_GB2312" w:hAnsi="宋体" w:eastAsia="FangSong_GB2312" w:cs="FangSong_GB2312"/>
                <w:color w:val="000000"/>
                <w:sz w:val="28"/>
                <w:szCs w:val="28"/>
              </w:rPr>
            </w:pPr>
            <w:r>
              <w:rPr>
                <w:rFonts w:hint="eastAsia" w:ascii="FangSong_GB2312" w:hAnsi="宋体" w:eastAsia="FangSong_GB2312" w:cs="FangSong_GB2312"/>
                <w:color w:val="000000"/>
                <w:kern w:val="0"/>
                <w:sz w:val="28"/>
                <w:szCs w:val="28"/>
                <w:lang w:bidi="ar"/>
              </w:rPr>
              <w:t xml:space="preserve">  （2024年度）</w:t>
            </w:r>
          </w:p>
        </w:tc>
      </w:tr>
      <w:tr>
        <w:tblPrEx>
          <w:tblCellMar>
            <w:top w:w="0" w:type="dxa"/>
            <w:left w:w="108" w:type="dxa"/>
            <w:bottom w:w="0" w:type="dxa"/>
            <w:right w:w="108" w:type="dxa"/>
          </w:tblCellMar>
        </w:tblPrEx>
        <w:trPr>
          <w:trHeight w:val="220" w:hRule="atLeast"/>
        </w:trPr>
        <w:tc>
          <w:tcPr>
            <w:tcW w:w="23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项目名称</w:t>
            </w:r>
          </w:p>
        </w:tc>
        <w:tc>
          <w:tcPr>
            <w:tcW w:w="12121" w:type="dxa"/>
            <w:gridSpan w:val="1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bookmarkStart w:id="0" w:name="_GoBack"/>
            <w:r>
              <w:rPr>
                <w:rFonts w:hint="eastAsia" w:ascii="FangSong_GB2312" w:hAnsi="宋体" w:eastAsia="FangSong_GB2312" w:cs="FangSong_GB2312"/>
                <w:color w:val="000000"/>
                <w:szCs w:val="21"/>
              </w:rPr>
              <w:t>北京市通州区妇幼保健院基本公共卫生服务专职人员工资补助</w:t>
            </w:r>
            <w:bookmarkEnd w:id="0"/>
          </w:p>
        </w:tc>
      </w:tr>
      <w:tr>
        <w:tblPrEx>
          <w:tblCellMar>
            <w:top w:w="0" w:type="dxa"/>
            <w:left w:w="108" w:type="dxa"/>
            <w:bottom w:w="0" w:type="dxa"/>
            <w:right w:w="108" w:type="dxa"/>
          </w:tblCellMar>
        </w:tblPrEx>
        <w:trPr>
          <w:trHeight w:val="220" w:hRule="atLeast"/>
        </w:trPr>
        <w:tc>
          <w:tcPr>
            <w:tcW w:w="23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主管部门</w:t>
            </w:r>
          </w:p>
        </w:tc>
        <w:tc>
          <w:tcPr>
            <w:tcW w:w="6641"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北京市通州区卫生健康委</w:t>
            </w:r>
          </w:p>
        </w:tc>
        <w:tc>
          <w:tcPr>
            <w:tcW w:w="167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实施单位</w:t>
            </w:r>
          </w:p>
        </w:tc>
        <w:tc>
          <w:tcPr>
            <w:tcW w:w="380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北京市通州区妇幼保健院</w:t>
            </w:r>
          </w:p>
        </w:tc>
      </w:tr>
      <w:tr>
        <w:tblPrEx>
          <w:tblCellMar>
            <w:top w:w="0" w:type="dxa"/>
            <w:left w:w="108" w:type="dxa"/>
            <w:bottom w:w="0" w:type="dxa"/>
            <w:right w:w="108" w:type="dxa"/>
          </w:tblCellMar>
        </w:tblPrEx>
        <w:trPr>
          <w:trHeight w:val="220" w:hRule="atLeast"/>
        </w:trPr>
        <w:tc>
          <w:tcPr>
            <w:tcW w:w="2384"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项目资金</w:t>
            </w:r>
            <w:r>
              <w:rPr>
                <w:rFonts w:hint="eastAsia" w:ascii="FangSong_GB2312" w:hAnsi="宋体" w:eastAsia="FangSong_GB2312" w:cs="FangSong_GB2312"/>
                <w:color w:val="000000"/>
                <w:kern w:val="0"/>
                <w:szCs w:val="21"/>
                <w:lang w:bidi="ar"/>
              </w:rPr>
              <w:br w:type="textWrapping"/>
            </w:r>
            <w:r>
              <w:rPr>
                <w:rFonts w:hint="eastAsia" w:ascii="FangSong_GB2312" w:hAnsi="宋体" w:eastAsia="FangSong_GB2312" w:cs="FangSong_GB2312"/>
                <w:color w:val="000000"/>
                <w:kern w:val="0"/>
                <w:szCs w:val="21"/>
                <w:lang w:bidi="ar"/>
              </w:rPr>
              <w:t>（万元）</w:t>
            </w:r>
          </w:p>
        </w:tc>
        <w:tc>
          <w:tcPr>
            <w:tcW w:w="278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29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年初预算数</w:t>
            </w:r>
          </w:p>
        </w:tc>
        <w:tc>
          <w:tcPr>
            <w:tcW w:w="256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全年预算数</w:t>
            </w:r>
          </w:p>
        </w:tc>
        <w:tc>
          <w:tcPr>
            <w:tcW w:w="167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全年执行数</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分值</w:t>
            </w:r>
          </w:p>
        </w:tc>
        <w:tc>
          <w:tcPr>
            <w:tcW w:w="171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执行率</w:t>
            </w:r>
          </w:p>
        </w:tc>
        <w:tc>
          <w:tcPr>
            <w:tcW w:w="12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3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78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552</w:t>
            </w:r>
          </w:p>
        </w:tc>
        <w:tc>
          <w:tcPr>
            <w:tcW w:w="256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552</w:t>
            </w:r>
          </w:p>
        </w:tc>
        <w:tc>
          <w:tcPr>
            <w:tcW w:w="167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552</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10</w:t>
            </w:r>
          </w:p>
        </w:tc>
        <w:tc>
          <w:tcPr>
            <w:tcW w:w="1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100%</w:t>
            </w:r>
          </w:p>
        </w:tc>
        <w:tc>
          <w:tcPr>
            <w:tcW w:w="12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r>
      <w:tr>
        <w:tblPrEx>
          <w:tblCellMar>
            <w:top w:w="0" w:type="dxa"/>
            <w:left w:w="108" w:type="dxa"/>
            <w:bottom w:w="0" w:type="dxa"/>
            <w:right w:w="108" w:type="dxa"/>
          </w:tblCellMar>
        </w:tblPrEx>
        <w:trPr>
          <w:trHeight w:val="220" w:hRule="atLeast"/>
        </w:trPr>
        <w:tc>
          <w:tcPr>
            <w:tcW w:w="23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78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552</w:t>
            </w:r>
          </w:p>
        </w:tc>
        <w:tc>
          <w:tcPr>
            <w:tcW w:w="256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552</w:t>
            </w:r>
          </w:p>
        </w:tc>
        <w:tc>
          <w:tcPr>
            <w:tcW w:w="167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552</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10</w:t>
            </w:r>
          </w:p>
        </w:tc>
        <w:tc>
          <w:tcPr>
            <w:tcW w:w="1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100%</w:t>
            </w:r>
          </w:p>
        </w:tc>
        <w:tc>
          <w:tcPr>
            <w:tcW w:w="12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r>
      <w:tr>
        <w:tblPrEx>
          <w:tblCellMar>
            <w:top w:w="0" w:type="dxa"/>
            <w:left w:w="108" w:type="dxa"/>
            <w:bottom w:w="0" w:type="dxa"/>
            <w:right w:w="108" w:type="dxa"/>
          </w:tblCellMar>
        </w:tblPrEx>
        <w:trPr>
          <w:trHeight w:val="220" w:hRule="atLeast"/>
        </w:trPr>
        <w:tc>
          <w:tcPr>
            <w:tcW w:w="23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78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56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67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w:t>
            </w:r>
          </w:p>
        </w:tc>
        <w:tc>
          <w:tcPr>
            <w:tcW w:w="1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2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w:t>
            </w:r>
          </w:p>
        </w:tc>
      </w:tr>
      <w:tr>
        <w:tblPrEx>
          <w:tblCellMar>
            <w:top w:w="0" w:type="dxa"/>
            <w:left w:w="108" w:type="dxa"/>
            <w:bottom w:w="0" w:type="dxa"/>
            <w:right w:w="108" w:type="dxa"/>
          </w:tblCellMar>
        </w:tblPrEx>
        <w:trPr>
          <w:trHeight w:val="220" w:hRule="atLeast"/>
        </w:trPr>
        <w:tc>
          <w:tcPr>
            <w:tcW w:w="23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78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56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67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w:t>
            </w:r>
          </w:p>
        </w:tc>
        <w:tc>
          <w:tcPr>
            <w:tcW w:w="1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2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年度总体目标</w:t>
            </w:r>
          </w:p>
        </w:tc>
        <w:tc>
          <w:tcPr>
            <w:tcW w:w="758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预期目标</w:t>
            </w:r>
          </w:p>
        </w:tc>
        <w:tc>
          <w:tcPr>
            <w:tcW w:w="548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7580"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 xml:space="preserve"> 目标1：推进居民健康档案建设与管理、健康教育、传染病防制、预防接种、妇幼保健、老年人健康管理、慢性病管理、重性精神疾病患者管理、卫生协管等工作任务。</w:t>
            </w:r>
          </w:p>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 xml:space="preserve"> 目标2：实施落实国家基本公共卫生服务项目和重大公共卫生服务项目。</w:t>
            </w:r>
          </w:p>
        </w:tc>
        <w:tc>
          <w:tcPr>
            <w:tcW w:w="5480"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 xml:space="preserve"> 目标1：推进居民健康档案建设与管理、健康教育、传染病防制、预防接种、妇幼保健、老年人健康管理、慢性病管理、重性精神疾病患者管理、卫生协管等工作任务。</w:t>
            </w:r>
          </w:p>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 xml:space="preserve"> 目标2：实施落实国家基本公共卫生服务项目和重大公共卫生服务项目。</w:t>
            </w:r>
          </w:p>
        </w:tc>
      </w:tr>
      <w:tr>
        <w:tblPrEx>
          <w:tblCellMar>
            <w:top w:w="0" w:type="dxa"/>
            <w:left w:w="108" w:type="dxa"/>
            <w:bottom w:w="0" w:type="dxa"/>
            <w:right w:w="108" w:type="dxa"/>
          </w:tblCellMar>
        </w:tblPrEx>
        <w:trPr>
          <w:trHeight w:val="220" w:hRule="atLeast"/>
        </w:trPr>
        <w:tc>
          <w:tcPr>
            <w:tcW w:w="14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绩效指标</w:t>
            </w:r>
          </w:p>
        </w:tc>
        <w:tc>
          <w:tcPr>
            <w:tcW w:w="9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一级指标</w:t>
            </w: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二级指标</w:t>
            </w:r>
          </w:p>
        </w:tc>
        <w:tc>
          <w:tcPr>
            <w:tcW w:w="384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三级指标</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年度指标值</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实际完成值</w:t>
            </w:r>
          </w:p>
        </w:tc>
        <w:tc>
          <w:tcPr>
            <w:tcW w:w="77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分值</w:t>
            </w: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得分</w:t>
            </w:r>
          </w:p>
        </w:tc>
        <w:tc>
          <w:tcPr>
            <w:tcW w:w="25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偏差原因分析及改进措施</w:t>
            </w:r>
          </w:p>
        </w:tc>
      </w:tr>
      <w:tr>
        <w:tblPrEx>
          <w:tblCellMar>
            <w:top w:w="0" w:type="dxa"/>
            <w:left w:w="108" w:type="dxa"/>
            <w:bottom w:w="0" w:type="dxa"/>
            <w:right w:w="108" w:type="dxa"/>
          </w:tblCellMar>
        </w:tblPrEx>
        <w:trPr>
          <w:trHeight w:val="220" w:hRule="atLeast"/>
        </w:trPr>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3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产出指标</w:t>
            </w: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数量指标</w:t>
            </w:r>
          </w:p>
        </w:tc>
        <w:tc>
          <w:tcPr>
            <w:tcW w:w="384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指标1：实现保健与临床深度融合，拓宽保健服务项目更好服务通州百姓</w:t>
            </w:r>
          </w:p>
        </w:tc>
        <w:tc>
          <w:tcPr>
            <w:tcW w:w="12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达到《北京市通州区公立医院综合、专科医院绩效考管理办法》的要求</w:t>
            </w:r>
          </w:p>
        </w:tc>
        <w:tc>
          <w:tcPr>
            <w:tcW w:w="12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达到《北京市通州区公立医院综合、专科医院绩效考管理办法》的要求</w:t>
            </w:r>
          </w:p>
        </w:tc>
        <w:tc>
          <w:tcPr>
            <w:tcW w:w="77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30</w:t>
            </w: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30</w:t>
            </w:r>
          </w:p>
        </w:tc>
        <w:tc>
          <w:tcPr>
            <w:tcW w:w="256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质量指标</w:t>
            </w:r>
          </w:p>
        </w:tc>
        <w:tc>
          <w:tcPr>
            <w:tcW w:w="384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指标1：提高医院诊治水平，提高服务质量，提升医院形象.</w:t>
            </w:r>
          </w:p>
        </w:tc>
        <w:tc>
          <w:tcPr>
            <w:tcW w:w="12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达到《北京市通州区公立医院综合、专科医院绩效考管理办法》的要求.</w:t>
            </w:r>
          </w:p>
        </w:tc>
        <w:tc>
          <w:tcPr>
            <w:tcW w:w="12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达到《北京市通州区公立医院综合、专科医院绩效考管理办法》的要求.</w:t>
            </w:r>
          </w:p>
        </w:tc>
        <w:tc>
          <w:tcPr>
            <w:tcW w:w="77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30</w:t>
            </w: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30</w:t>
            </w:r>
          </w:p>
        </w:tc>
        <w:tc>
          <w:tcPr>
            <w:tcW w:w="256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4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可持续影响指标</w:t>
            </w:r>
          </w:p>
        </w:tc>
        <w:tc>
          <w:tcPr>
            <w:tcW w:w="384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指标1：全面落实绩效工作，做到人员能进能出，工资能高能低，确保基层公卫人员队伍的稳定</w:t>
            </w:r>
          </w:p>
        </w:tc>
        <w:tc>
          <w:tcPr>
            <w:tcW w:w="12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根据《北京市卫生健康委员会 北京市财政局关于本市二、三级公立医院中专职从事公共卫生工作医务人员基本工资纳入财政保障的通知》京卫财务【2022】54号文件要求</w:t>
            </w:r>
          </w:p>
        </w:tc>
        <w:tc>
          <w:tcPr>
            <w:tcW w:w="12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根据《北京市卫生健康委员会 北京市财政局关于本市二、三级公立医院中专职从事公共卫生工作医务人员基本工资纳入财政保障的通知》京卫财务【2022】54号文件要求</w:t>
            </w:r>
          </w:p>
        </w:tc>
        <w:tc>
          <w:tcPr>
            <w:tcW w:w="77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30</w:t>
            </w: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30</w:t>
            </w:r>
          </w:p>
        </w:tc>
        <w:tc>
          <w:tcPr>
            <w:tcW w:w="256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0312"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总分</w:t>
            </w:r>
          </w:p>
        </w:tc>
        <w:tc>
          <w:tcPr>
            <w:tcW w:w="77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100</w:t>
            </w: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100</w:t>
            </w:r>
          </w:p>
        </w:tc>
        <w:tc>
          <w:tcPr>
            <w:tcW w:w="256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FangSong_GB2312">
    <w:altName w:val="仿宋_GB2312"/>
    <w:panose1 w:val="0201060906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37B7"/>
    <w:rsid w:val="000B70F1"/>
    <w:rsid w:val="000C4611"/>
    <w:rsid w:val="000D0AE3"/>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04BD"/>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E71690"/>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84240AF"/>
    <w:rsid w:val="29112C91"/>
    <w:rsid w:val="29EF086F"/>
    <w:rsid w:val="2EFFE297"/>
    <w:rsid w:val="301437CA"/>
    <w:rsid w:val="349D1F0A"/>
    <w:rsid w:val="34DD0473"/>
    <w:rsid w:val="3C684897"/>
    <w:rsid w:val="433E495C"/>
    <w:rsid w:val="489F2FD7"/>
    <w:rsid w:val="4AC27CB3"/>
    <w:rsid w:val="4BF72BEF"/>
    <w:rsid w:val="4FA90297"/>
    <w:rsid w:val="4FC41A43"/>
    <w:rsid w:val="51260F68"/>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BF0394F"/>
    <w:rsid w:val="71793A80"/>
    <w:rsid w:val="7357290B"/>
    <w:rsid w:val="798524E4"/>
    <w:rsid w:val="7A7F1C49"/>
    <w:rsid w:val="7B5B7AE6"/>
    <w:rsid w:val="7B7B6628"/>
    <w:rsid w:val="7BA7071E"/>
    <w:rsid w:val="7BDF6DA8"/>
    <w:rsid w:val="7C30286C"/>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FangSong_GB2312" w:hAnsi="Calibri" w:eastAsia="FangSong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1403</Words>
  <Characters>8003</Characters>
  <Lines>66</Lines>
  <Paragraphs>18</Paragraphs>
  <TotalTime>9</TotalTime>
  <ScaleCrop>false</ScaleCrop>
  <LinksUpToDate>false</LinksUpToDate>
  <CharactersWithSpaces>9388</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2025-09-24T12:39:00Z</dcterms:created>
  <dc:creator>常程</dc:creator>
  <cp:lastModifiedBy>陈俊池</cp:lastModifiedBy>
  <cp:lastPrinted>2020-08-07T11:39:00Z</cp:lastPrinted>
  <dcterms:modified xsi:type="dcterms:W3CDTF">2025-09-25T04:20:50Z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2F0DB60CB7854FCEA5A6AB1B64883943</vt:lpwstr>
  </property>
  <property fmtid="{D5CDD505-2E9C-101B-9397-08002B2CF9AE}" pid="4" name="KSOTemplateDocerSaveRecord">
    <vt:lpwstr>eyJoZGlkIjoiMTU1N2VjZmQ1OGExZjMyZjY5NzQxMDVlOTZjMmZmNWEiLCJ1c2VySWQiOiI0MTAwNDI0NzQifQ==</vt:lpwstr>
  </property>
</Properties>
</file>