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A9A8C">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b w:val="0"/>
          <w:bCs w:val="0"/>
          <w:color w:val="000000" w:themeColor="text1"/>
          <w:sz w:val="44"/>
          <w:szCs w:val="44"/>
          <w:highlight w:val="none"/>
          <w14:textFill>
            <w14:solidFill>
              <w14:schemeClr w14:val="tx1"/>
            </w14:solidFill>
          </w14:textFill>
        </w:rPr>
      </w:pPr>
      <w:r>
        <w:rPr>
          <w:rFonts w:hint="eastAsia" w:ascii="方正小标宋简体" w:hAnsi="黑体" w:eastAsia="方正小标宋简体" w:cs="Arial"/>
          <w:b w:val="0"/>
          <w:bCs w:val="0"/>
          <w:color w:val="000000" w:themeColor="text1"/>
          <w:sz w:val="44"/>
          <w:szCs w:val="44"/>
          <w:highlight w:val="none"/>
          <w:lang w:val="en-US" w:eastAsia="zh-CN"/>
          <w14:textFill>
            <w14:solidFill>
              <w14:schemeClr w14:val="tx1"/>
            </w14:solidFill>
          </w14:textFill>
        </w:rPr>
        <w:t>2024年</w:t>
      </w:r>
      <w:r>
        <w:rPr>
          <w:rFonts w:hint="eastAsia" w:ascii="方正小标宋简体" w:hAnsi="黑体" w:eastAsia="方正小标宋简体" w:cs="Arial"/>
          <w:b w:val="0"/>
          <w:bCs w:val="0"/>
          <w:color w:val="000000" w:themeColor="text1"/>
          <w:sz w:val="44"/>
          <w:szCs w:val="44"/>
          <w:highlight w:val="none"/>
          <w14:textFill>
            <w14:solidFill>
              <w14:schemeClr w14:val="tx1"/>
            </w14:solidFill>
          </w14:textFill>
        </w:rPr>
        <w:t>中国国际服务贸易</w:t>
      </w:r>
    </w:p>
    <w:p w14:paraId="469CF376">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方正小标宋简体" w:hAnsi="黑体" w:eastAsia="方正小标宋简体" w:cs="Arial"/>
          <w:b w:val="0"/>
          <w:bCs w:val="0"/>
          <w:color w:val="000000" w:themeColor="text1"/>
          <w:sz w:val="44"/>
          <w:szCs w:val="44"/>
          <w:highlight w:val="none"/>
          <w:lang w:val="en-US" w:eastAsia="zh-CN"/>
          <w14:textFill>
            <w14:solidFill>
              <w14:schemeClr w14:val="tx1"/>
            </w14:solidFill>
          </w14:textFill>
        </w:rPr>
      </w:pPr>
      <w:r>
        <w:rPr>
          <w:rFonts w:hint="eastAsia" w:ascii="方正小标宋简体" w:hAnsi="黑体" w:eastAsia="方正小标宋简体" w:cs="Arial"/>
          <w:b w:val="0"/>
          <w:bCs w:val="0"/>
          <w:color w:val="000000" w:themeColor="text1"/>
          <w:sz w:val="44"/>
          <w:szCs w:val="44"/>
          <w:highlight w:val="none"/>
          <w14:textFill>
            <w14:solidFill>
              <w14:schemeClr w14:val="tx1"/>
            </w14:solidFill>
          </w14:textFill>
        </w:rPr>
        <w:t>交易会</w:t>
      </w:r>
      <w:bookmarkStart w:id="1" w:name="_GoBack"/>
      <w:bookmarkEnd w:id="1"/>
      <w:r>
        <w:rPr>
          <w:rFonts w:hint="eastAsia" w:ascii="方正小标宋简体" w:hAnsi="黑体" w:eastAsia="方正小标宋简体" w:cs="Arial"/>
          <w:b w:val="0"/>
          <w:bCs w:val="0"/>
          <w:color w:val="000000" w:themeColor="text1"/>
          <w:sz w:val="44"/>
          <w:szCs w:val="44"/>
          <w:highlight w:val="none"/>
          <w14:textFill>
            <w14:solidFill>
              <w14:schemeClr w14:val="tx1"/>
            </w14:solidFill>
          </w14:textFill>
        </w:rPr>
        <w:t>金融服务专题</w:t>
      </w:r>
      <w:r>
        <w:rPr>
          <w:rFonts w:hint="eastAsia" w:ascii="方正小标宋简体" w:hAnsi="黑体" w:eastAsia="方正小标宋简体" w:cs="Arial"/>
          <w:b w:val="0"/>
          <w:bCs w:val="0"/>
          <w:color w:val="000000" w:themeColor="text1"/>
          <w:sz w:val="44"/>
          <w:szCs w:val="44"/>
          <w:highlight w:val="none"/>
          <w:lang w:eastAsia="zh-CN"/>
          <w14:textFill>
            <w14:solidFill>
              <w14:schemeClr w14:val="tx1"/>
            </w14:solidFill>
          </w14:textFill>
        </w:rPr>
        <w:t>展项目绩效报告</w:t>
      </w:r>
    </w:p>
    <w:p w14:paraId="0B000B3A">
      <w:pPr>
        <w:numPr>
          <w:ilvl w:val="0"/>
          <w:numId w:val="1"/>
        </w:numPr>
        <w:spacing w:line="560" w:lineRule="exact"/>
        <w:ind w:firstLine="640" w:firstLineChars="200"/>
        <w:rPr>
          <w:rFonts w:hint="eastAsia" w:ascii="黑体" w:hAnsi="黑体" w:eastAsia="黑体" w:cs="黑体"/>
          <w:bCs/>
          <w:color w:val="000000" w:themeColor="text1"/>
          <w:kern w:val="0"/>
          <w:sz w:val="32"/>
          <w:szCs w:val="32"/>
          <w14:textFill>
            <w14:solidFill>
              <w14:schemeClr w14:val="tx1"/>
            </w14:solidFill>
          </w14:textFill>
        </w:rPr>
      </w:pPr>
      <w:r>
        <w:rPr>
          <w:rFonts w:hint="eastAsia" w:ascii="黑体" w:hAnsi="黑体" w:eastAsia="黑体" w:cs="黑体"/>
          <w:bCs/>
          <w:color w:val="000000" w:themeColor="text1"/>
          <w:kern w:val="0"/>
          <w:sz w:val="32"/>
          <w:szCs w:val="32"/>
          <w14:textFill>
            <w14:solidFill>
              <w14:schemeClr w14:val="tx1"/>
            </w14:solidFill>
          </w14:textFill>
        </w:rPr>
        <w:t>基本情况</w:t>
      </w:r>
    </w:p>
    <w:p w14:paraId="27A1A655">
      <w:pPr>
        <w:numPr>
          <w:ilvl w:val="0"/>
          <w:numId w:val="0"/>
        </w:numPr>
        <w:spacing w:line="560" w:lineRule="exact"/>
        <w:ind w:firstLine="320" w:firstLineChars="100"/>
        <w:rPr>
          <w:rFonts w:hint="eastAsia" w:ascii="楷体_GB2312" w:hAnsi="楷体_GB2312" w:eastAsia="楷体_GB2312" w:cs="楷体_GB2312"/>
          <w:b/>
          <w:bCs/>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（一）项目概况</w:t>
      </w:r>
    </w:p>
    <w:p w14:paraId="6A9759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中国国际服务贸易交易会(简称“服贸会”)由北京市人民政府和中华人民共和国商务部共同主办,是专门为服务贸易搭建的国际性、综合型大规模展会和交易平台。2024年服贸会于9月12日至16日在北京举办</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聚焦服务贸易发展热点趋势，举办展览展示、洽谈推介、成果发布、配套活动等</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重点设置综合展及电信、计算机和信息服务,金融服务,文旅服务</w:t>
      </w:r>
      <w:r>
        <w:rPr>
          <w:rFonts w:hint="eastAsia" w:ascii="仿宋_GB2312" w:hAnsi="仿宋_GB2312" w:eastAsia="仿宋_GB2312" w:cs="仿宋_GB2312"/>
          <w:color w:val="auto"/>
          <w:kern w:val="0"/>
          <w:sz w:val="32"/>
          <w:szCs w:val="32"/>
          <w:lang w:val="en-US" w:eastAsia="zh-CN"/>
        </w:rPr>
        <w:t>,</w:t>
      </w:r>
      <w:r>
        <w:rPr>
          <w:rFonts w:hint="eastAsia" w:ascii="仿宋_GB2312" w:hAnsi="仿宋_GB2312" w:eastAsia="仿宋_GB2312" w:cs="仿宋_GB2312"/>
          <w:color w:val="auto"/>
          <w:kern w:val="0"/>
          <w:sz w:val="32"/>
          <w:szCs w:val="32"/>
        </w:rPr>
        <w:t>教育服务，体育服务，供应链及商务服务，工程咨询与建筑服务，健康卫生服务，环境服务等专题展。本届服贸会采取“线下线上相结合”方式举办，更加突出国际化、专业化和市场化特点，更加注重交易功能，增强展会成效。</w:t>
      </w:r>
    </w:p>
    <w:p w14:paraId="30CF20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2024年服贸会</w:t>
      </w:r>
      <w:r>
        <w:rPr>
          <w:rFonts w:hint="eastAsia" w:ascii="仿宋_GB2312" w:hAnsi="仿宋_GB2312" w:eastAsia="仿宋_GB2312" w:cs="仿宋_GB2312"/>
          <w:color w:val="auto"/>
          <w:kern w:val="0"/>
          <w:sz w:val="32"/>
          <w:szCs w:val="32"/>
          <w:lang w:eastAsia="zh-CN"/>
        </w:rPr>
        <w:t>金融服务专题展活动</w:t>
      </w:r>
      <w:r>
        <w:rPr>
          <w:rFonts w:hint="eastAsia" w:ascii="仿宋_GB2312" w:hAnsi="仿宋_GB2312" w:eastAsia="仿宋_GB2312" w:cs="仿宋_GB2312"/>
          <w:color w:val="auto"/>
          <w:kern w:val="0"/>
          <w:sz w:val="32"/>
          <w:szCs w:val="32"/>
        </w:rPr>
        <w:t>由</w:t>
      </w:r>
      <w:r>
        <w:rPr>
          <w:rFonts w:hint="eastAsia" w:ascii="仿宋_GB2312" w:hAnsi="仿宋_GB2312" w:eastAsia="仿宋_GB2312" w:cs="仿宋_GB2312"/>
          <w:color w:val="auto"/>
          <w:kern w:val="0"/>
          <w:sz w:val="32"/>
          <w:szCs w:val="32"/>
          <w:lang w:eastAsia="zh-CN"/>
        </w:rPr>
        <w:t>中共北京市委金融委员会办公室牵头主办</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于</w:t>
      </w:r>
      <w:r>
        <w:rPr>
          <w:rFonts w:hint="eastAsia" w:ascii="仿宋_GB2312" w:hAnsi="仿宋_GB2312" w:eastAsia="仿宋_GB2312" w:cs="仿宋_GB2312"/>
          <w:color w:val="auto"/>
          <w:kern w:val="0"/>
          <w:sz w:val="32"/>
          <w:szCs w:val="32"/>
        </w:rPr>
        <w:t>北京首钢园区举行。</w:t>
      </w:r>
      <w:r>
        <w:rPr>
          <w:rFonts w:hint="eastAsia" w:ascii="仿宋_GB2312" w:hAnsi="仿宋_GB2312" w:eastAsia="仿宋_GB2312" w:cs="仿宋_GB2312"/>
          <w:color w:val="auto"/>
          <w:kern w:val="0"/>
          <w:sz w:val="32"/>
          <w:szCs w:val="32"/>
          <w:lang w:eastAsia="zh-CN"/>
        </w:rPr>
        <w:t>我委</w:t>
      </w:r>
      <w:r>
        <w:rPr>
          <w:rFonts w:hint="eastAsia" w:ascii="仿宋_GB2312" w:hAnsi="仿宋_GB2312" w:eastAsia="仿宋_GB2312" w:cs="仿宋_GB2312"/>
          <w:color w:val="auto"/>
          <w:kern w:val="0"/>
          <w:sz w:val="32"/>
          <w:szCs w:val="32"/>
        </w:rPr>
        <w:t>作为</w:t>
      </w:r>
      <w:r>
        <w:rPr>
          <w:rFonts w:hint="eastAsia" w:ascii="仿宋_GB2312" w:hAnsi="仿宋_GB2312" w:eastAsia="仿宋_GB2312" w:cs="仿宋_GB2312"/>
          <w:color w:val="auto"/>
          <w:kern w:val="0"/>
          <w:sz w:val="32"/>
          <w:szCs w:val="32"/>
          <w:lang w:val="en-US" w:eastAsia="zh-CN"/>
        </w:rPr>
        <w:t>2024年服贸会金融服务专题展北京城市副中心展位</w:t>
      </w:r>
      <w:r>
        <w:rPr>
          <w:rFonts w:hint="eastAsia" w:ascii="仿宋_GB2312" w:hAnsi="仿宋_GB2312" w:eastAsia="仿宋_GB2312" w:cs="仿宋_GB2312"/>
          <w:color w:val="auto"/>
          <w:kern w:val="0"/>
          <w:sz w:val="32"/>
          <w:szCs w:val="32"/>
        </w:rPr>
        <w:t>的实施主体，负责项目的展出工作。202</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年中国国际服务贸易交易会金融服务专题展项目经费</w:t>
      </w:r>
      <w:r>
        <w:rPr>
          <w:rFonts w:hint="eastAsia" w:ascii="仿宋_GB2312" w:hAnsi="仿宋_GB2312" w:eastAsia="仿宋_GB2312" w:cs="仿宋_GB2312"/>
          <w:color w:val="auto"/>
          <w:kern w:val="0"/>
          <w:sz w:val="32"/>
          <w:szCs w:val="32"/>
          <w:lang w:eastAsia="zh-CN"/>
        </w:rPr>
        <w:t>全年</w:t>
      </w:r>
      <w:r>
        <w:rPr>
          <w:rFonts w:hint="eastAsia" w:ascii="仿宋_GB2312" w:hAnsi="仿宋_GB2312" w:eastAsia="仿宋_GB2312" w:cs="仿宋_GB2312"/>
          <w:color w:val="auto"/>
          <w:kern w:val="0"/>
          <w:sz w:val="32"/>
          <w:szCs w:val="32"/>
        </w:rPr>
        <w:t>预算</w:t>
      </w:r>
      <w:r>
        <w:rPr>
          <w:rFonts w:hint="eastAsia" w:ascii="仿宋_GB2312" w:hAnsi="仿宋_GB2312" w:eastAsia="仿宋_GB2312" w:cs="仿宋_GB2312"/>
          <w:color w:val="auto"/>
          <w:kern w:val="0"/>
          <w:sz w:val="32"/>
          <w:szCs w:val="32"/>
          <w:lang w:eastAsia="zh-CN"/>
        </w:rPr>
        <w:t>数</w:t>
      </w:r>
      <w:r>
        <w:rPr>
          <w:rFonts w:hint="eastAsia" w:ascii="仿宋_GB2312" w:hAnsi="仿宋_GB2312" w:eastAsia="仿宋_GB2312" w:cs="仿宋_GB2312"/>
          <w:color w:val="auto"/>
          <w:kern w:val="0"/>
          <w:sz w:val="32"/>
          <w:szCs w:val="32"/>
        </w:rPr>
        <w:t>为148.91万元，实际支出为</w:t>
      </w:r>
      <w:r>
        <w:rPr>
          <w:rFonts w:hint="eastAsia" w:ascii="仿宋_GB2312" w:hAnsi="仿宋_GB2312" w:eastAsia="仿宋_GB2312" w:cs="仿宋_GB2312"/>
          <w:color w:val="auto"/>
          <w:kern w:val="0"/>
          <w:sz w:val="32"/>
          <w:szCs w:val="32"/>
          <w:lang w:val="en-US" w:eastAsia="zh-CN"/>
        </w:rPr>
        <w:t>148.91</w:t>
      </w:r>
      <w:r>
        <w:rPr>
          <w:rFonts w:hint="eastAsia" w:ascii="仿宋_GB2312" w:hAnsi="仿宋_GB2312" w:eastAsia="仿宋_GB2312" w:cs="仿宋_GB2312"/>
          <w:color w:val="auto"/>
          <w:kern w:val="0"/>
          <w:sz w:val="32"/>
          <w:szCs w:val="32"/>
        </w:rPr>
        <w:t>万元。</w:t>
      </w:r>
    </w:p>
    <w:p w14:paraId="74E35703">
      <w:pPr>
        <w:numPr>
          <w:ilvl w:val="0"/>
          <w:numId w:val="0"/>
        </w:numPr>
        <w:spacing w:line="560" w:lineRule="exact"/>
        <w:ind w:firstLine="320" w:firstLineChars="100"/>
        <w:rPr>
          <w:rFonts w:hint="eastAsia" w:ascii="楷体_GB2312" w:hAnsi="楷体_GB2312" w:eastAsia="楷体_GB2312" w:cs="楷体_GB2312"/>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color w:val="000000" w:themeColor="text1"/>
          <w:sz w:val="32"/>
          <w:szCs w:val="32"/>
          <w:lang w:val="en-US" w:eastAsia="zh-CN"/>
          <w14:textFill>
            <w14:solidFill>
              <w14:schemeClr w14:val="tx1"/>
            </w14:solidFill>
          </w14:textFill>
        </w:rPr>
        <w:t>（二）项目绩效目标</w:t>
      </w:r>
    </w:p>
    <w:p w14:paraId="72F4CD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通过多元化展示形式，综合展示</w:t>
      </w:r>
      <w:r>
        <w:rPr>
          <w:rFonts w:hint="eastAsia" w:ascii="仿宋_GB2312" w:hAnsi="仿宋_GB2312" w:eastAsia="仿宋_GB2312" w:cs="仿宋_GB2312"/>
          <w:color w:val="auto"/>
          <w:kern w:val="0"/>
          <w:sz w:val="32"/>
          <w:szCs w:val="32"/>
          <w:lang w:eastAsia="zh-CN"/>
        </w:rPr>
        <w:t>城市</w:t>
      </w:r>
      <w:r>
        <w:rPr>
          <w:rFonts w:hint="eastAsia" w:ascii="仿宋_GB2312" w:hAnsi="仿宋_GB2312" w:eastAsia="仿宋_GB2312" w:cs="仿宋_GB2312"/>
          <w:color w:val="auto"/>
          <w:kern w:val="0"/>
          <w:sz w:val="32"/>
          <w:szCs w:val="32"/>
        </w:rPr>
        <w:t>副中心</w:t>
      </w:r>
      <w:r>
        <w:rPr>
          <w:rFonts w:hint="eastAsia" w:ascii="仿宋_GB2312" w:hAnsi="仿宋_GB2312" w:eastAsia="仿宋_GB2312" w:cs="仿宋_GB2312"/>
          <w:color w:val="auto"/>
          <w:kern w:val="0"/>
          <w:sz w:val="32"/>
          <w:szCs w:val="32"/>
          <w:lang w:eastAsia="zh-CN"/>
        </w:rPr>
        <w:t>金融业</w:t>
      </w:r>
      <w:r>
        <w:rPr>
          <w:rFonts w:hint="eastAsia" w:ascii="仿宋_GB2312" w:hAnsi="仿宋_GB2312" w:eastAsia="仿宋_GB2312" w:cs="仿宋_GB2312"/>
          <w:color w:val="auto"/>
          <w:kern w:val="0"/>
          <w:sz w:val="32"/>
          <w:szCs w:val="32"/>
        </w:rPr>
        <w:t>发展情况</w:t>
      </w:r>
      <w:r>
        <w:rPr>
          <w:rFonts w:hint="eastAsia" w:ascii="仿宋_GB2312" w:hAnsi="仿宋_GB2312" w:eastAsia="仿宋_GB2312" w:cs="仿宋_GB2312"/>
          <w:color w:val="auto"/>
          <w:kern w:val="0"/>
          <w:sz w:val="32"/>
          <w:szCs w:val="32"/>
          <w:lang w:eastAsia="zh-CN"/>
        </w:rPr>
        <w:t>，宣传推广城市副中心优质营商环境</w:t>
      </w:r>
      <w:r>
        <w:rPr>
          <w:rFonts w:hint="eastAsia" w:ascii="仿宋_GB2312" w:hAnsi="仿宋_GB2312" w:eastAsia="仿宋_GB2312" w:cs="仿宋_GB2312"/>
          <w:color w:val="auto"/>
          <w:kern w:val="0"/>
          <w:sz w:val="32"/>
          <w:szCs w:val="32"/>
        </w:rPr>
        <w:t>，扩大</w:t>
      </w:r>
      <w:r>
        <w:rPr>
          <w:rFonts w:hint="eastAsia" w:ascii="仿宋_GB2312" w:hAnsi="仿宋_GB2312" w:eastAsia="仿宋_GB2312" w:cs="仿宋_GB2312"/>
          <w:color w:val="auto"/>
          <w:kern w:val="0"/>
          <w:sz w:val="32"/>
          <w:szCs w:val="32"/>
          <w:lang w:eastAsia="zh-CN"/>
        </w:rPr>
        <w:t>城市</w:t>
      </w:r>
      <w:r>
        <w:rPr>
          <w:rFonts w:hint="eastAsia" w:ascii="仿宋_GB2312" w:hAnsi="仿宋_GB2312" w:eastAsia="仿宋_GB2312" w:cs="仿宋_GB2312"/>
          <w:color w:val="auto"/>
          <w:kern w:val="0"/>
          <w:sz w:val="32"/>
          <w:szCs w:val="32"/>
        </w:rPr>
        <w:t>副中心金融业影响力。</w:t>
      </w:r>
    </w:p>
    <w:p w14:paraId="314D8F16">
      <w:pPr>
        <w:spacing w:line="56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二、绩效评价工作开展情况</w:t>
      </w:r>
    </w:p>
    <w:p w14:paraId="6A13612F">
      <w:pPr>
        <w:spacing w:line="560" w:lineRule="exact"/>
        <w:ind w:firstLine="640" w:firstLineChars="200"/>
        <w:rPr>
          <w:rFonts w:hint="eastAsia" w:ascii="楷体_GB2312" w:hAnsi="楷体_GB2312" w:eastAsia="楷体_GB2312" w:cs="楷体_GB2312"/>
          <w:color w:val="000000" w:themeColor="text1"/>
          <w:sz w:val="32"/>
          <w:szCs w:val="32"/>
          <w14:textFill>
            <w14:solidFill>
              <w14:schemeClr w14:val="tx1"/>
            </w14:solidFill>
          </w14:textFill>
        </w:rPr>
      </w:pPr>
      <w:r>
        <w:rPr>
          <w:rFonts w:hint="eastAsia" w:ascii="楷体_GB2312" w:hAnsi="楷体_GB2312" w:eastAsia="楷体_GB2312" w:cs="楷体_GB2312"/>
          <w:color w:val="000000" w:themeColor="text1"/>
          <w:sz w:val="32"/>
          <w:szCs w:val="32"/>
          <w14:textFill>
            <w14:solidFill>
              <w14:schemeClr w14:val="tx1"/>
            </w14:solidFill>
          </w14:textFill>
        </w:rPr>
        <w:t>（一）绩效评价目的、对象和范围</w:t>
      </w:r>
    </w:p>
    <w:p w14:paraId="0D12D1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开展2024年</w:t>
      </w:r>
      <w:r>
        <w:rPr>
          <w:rFonts w:hint="eastAsia" w:ascii="仿宋_GB2312" w:hAnsi="仿宋_GB2312" w:eastAsia="仿宋_GB2312" w:cs="仿宋_GB2312"/>
          <w:color w:val="auto"/>
          <w:kern w:val="0"/>
          <w:sz w:val="32"/>
          <w:szCs w:val="32"/>
        </w:rPr>
        <w:t>中国国际服务贸易交易会金融服务专题展</w:t>
      </w:r>
      <w:r>
        <w:rPr>
          <w:rFonts w:hint="eastAsia" w:ascii="仿宋_GB2312" w:hAnsi="仿宋_GB2312" w:eastAsia="仿宋_GB2312" w:cs="仿宋_GB2312"/>
          <w:color w:val="auto"/>
          <w:kern w:val="0"/>
          <w:sz w:val="32"/>
          <w:szCs w:val="32"/>
          <w:lang w:eastAsia="zh-CN"/>
        </w:rPr>
        <w:t>项目绩效评价工作，进一步加强项目预算绩效管理水平，提高财政资金使用效益。</w:t>
      </w:r>
    </w:p>
    <w:p w14:paraId="389E0936">
      <w:pPr>
        <w:spacing w:line="560" w:lineRule="exact"/>
        <w:ind w:firstLine="576" w:firstLineChars="200"/>
        <w:rPr>
          <w:rFonts w:hint="eastAsia" w:ascii="楷体_GB2312" w:hAnsi="楷体_GB2312" w:eastAsia="楷体_GB2312" w:cs="楷体_GB2312"/>
          <w:color w:val="000000" w:themeColor="text1"/>
          <w:w w:val="90"/>
          <w:sz w:val="32"/>
          <w:szCs w:val="32"/>
          <w14:textFill>
            <w14:solidFill>
              <w14:schemeClr w14:val="tx1"/>
            </w14:solidFill>
          </w14:textFill>
        </w:rPr>
      </w:pPr>
      <w:r>
        <w:rPr>
          <w:rFonts w:hint="eastAsia" w:ascii="楷体_GB2312" w:hAnsi="楷体_GB2312" w:eastAsia="楷体_GB2312" w:cs="楷体_GB2312"/>
          <w:color w:val="000000" w:themeColor="text1"/>
          <w:w w:val="90"/>
          <w:sz w:val="32"/>
          <w:szCs w:val="32"/>
          <w14:textFill>
            <w14:solidFill>
              <w14:schemeClr w14:val="tx1"/>
            </w14:solidFill>
          </w14:textFill>
        </w:rPr>
        <w:t>（二）绩效评价原则、评价指标体系、评价方法、评价标准</w:t>
      </w:r>
    </w:p>
    <w:p w14:paraId="0B4FA1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绩效评价遵循科学规范、公正公开、分级分类、绩效相关原则，2024年中国国际服务贸易交易会金融服务专题展项目具体指标详见下表。</w:t>
      </w:r>
    </w:p>
    <w:p w14:paraId="2AFE1E3B">
      <w:pPr>
        <w:pStyle w:val="2"/>
        <w:ind w:left="0" w:leftChars="0" w:firstLine="0" w:firstLineChars="0"/>
        <w:rPr>
          <w:rFonts w:hint="eastAsia"/>
          <w:lang w:val="en-US" w:eastAsia="zh-CN"/>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4"/>
        <w:gridCol w:w="2114"/>
        <w:gridCol w:w="1977"/>
        <w:gridCol w:w="1773"/>
        <w:gridCol w:w="1334"/>
      </w:tblGrid>
      <w:tr w14:paraId="478DB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noWrap w:val="0"/>
            <w:vAlign w:val="center"/>
          </w:tcPr>
          <w:p w14:paraId="195A9BA2">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sz w:val="21"/>
                <w:szCs w:val="21"/>
                <w:vertAlign w:val="baseline"/>
                <w:lang w:eastAsia="zh-CN"/>
              </w:rPr>
            </w:pPr>
            <w:r>
              <w:rPr>
                <w:rFonts w:hint="eastAsia" w:ascii="宋体" w:hAnsi="宋体" w:eastAsia="宋体" w:cs="宋体"/>
                <w:b/>
                <w:bCs/>
                <w:i w:val="0"/>
                <w:iCs w:val="0"/>
                <w:sz w:val="21"/>
                <w:szCs w:val="21"/>
                <w:vertAlign w:val="baseline"/>
                <w:lang w:eastAsia="zh-CN"/>
              </w:rPr>
              <w:t>一级指标</w:t>
            </w:r>
          </w:p>
        </w:tc>
        <w:tc>
          <w:tcPr>
            <w:tcW w:w="2114" w:type="dxa"/>
            <w:noWrap w:val="0"/>
            <w:vAlign w:val="center"/>
          </w:tcPr>
          <w:p w14:paraId="2F2EC624">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sz w:val="21"/>
                <w:szCs w:val="21"/>
                <w:vertAlign w:val="baseline"/>
                <w:lang w:eastAsia="zh-CN"/>
              </w:rPr>
            </w:pPr>
            <w:r>
              <w:rPr>
                <w:rFonts w:hint="eastAsia" w:ascii="宋体" w:hAnsi="宋体" w:eastAsia="宋体" w:cs="宋体"/>
                <w:b/>
                <w:bCs/>
                <w:i w:val="0"/>
                <w:iCs w:val="0"/>
                <w:sz w:val="21"/>
                <w:szCs w:val="21"/>
                <w:vertAlign w:val="baseline"/>
                <w:lang w:eastAsia="zh-CN"/>
              </w:rPr>
              <w:t>二级指标</w:t>
            </w:r>
          </w:p>
        </w:tc>
        <w:tc>
          <w:tcPr>
            <w:tcW w:w="1977" w:type="dxa"/>
            <w:noWrap w:val="0"/>
            <w:vAlign w:val="center"/>
          </w:tcPr>
          <w:p w14:paraId="4D19B5C7">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sz w:val="21"/>
                <w:szCs w:val="21"/>
                <w:vertAlign w:val="baseline"/>
                <w:lang w:eastAsia="zh-CN"/>
              </w:rPr>
            </w:pPr>
            <w:r>
              <w:rPr>
                <w:rFonts w:hint="eastAsia" w:ascii="宋体" w:hAnsi="宋体" w:eastAsia="宋体" w:cs="宋体"/>
                <w:b/>
                <w:bCs/>
                <w:i w:val="0"/>
                <w:iCs w:val="0"/>
                <w:sz w:val="21"/>
                <w:szCs w:val="21"/>
                <w:vertAlign w:val="baseline"/>
                <w:lang w:eastAsia="zh-CN"/>
              </w:rPr>
              <w:t>三级指标</w:t>
            </w:r>
          </w:p>
        </w:tc>
        <w:tc>
          <w:tcPr>
            <w:tcW w:w="1773" w:type="dxa"/>
            <w:noWrap w:val="0"/>
            <w:vAlign w:val="center"/>
          </w:tcPr>
          <w:p w14:paraId="5B71DEA6">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bCs/>
                <w:i w:val="0"/>
                <w:iCs w:val="0"/>
                <w:sz w:val="21"/>
                <w:szCs w:val="21"/>
                <w:vertAlign w:val="baseline"/>
                <w:lang w:eastAsia="zh-CN"/>
              </w:rPr>
            </w:pPr>
            <w:r>
              <w:rPr>
                <w:rFonts w:hint="eastAsia" w:ascii="宋体" w:hAnsi="宋体" w:eastAsia="宋体" w:cs="宋体"/>
                <w:b/>
                <w:bCs/>
                <w:i w:val="0"/>
                <w:iCs w:val="0"/>
                <w:sz w:val="21"/>
                <w:szCs w:val="21"/>
                <w:vertAlign w:val="baseline"/>
                <w:lang w:eastAsia="zh-CN"/>
              </w:rPr>
              <w:t>年度指标值</w:t>
            </w:r>
          </w:p>
        </w:tc>
        <w:tc>
          <w:tcPr>
            <w:tcW w:w="1334" w:type="dxa"/>
            <w:noWrap w:val="0"/>
            <w:vAlign w:val="center"/>
          </w:tcPr>
          <w:p w14:paraId="3ACF3395">
            <w:pPr>
              <w:pStyle w:val="2"/>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宋体" w:hAnsi="宋体" w:eastAsia="宋体" w:cs="宋体"/>
                <w:b/>
                <w:bCs/>
                <w:i w:val="0"/>
                <w:iCs w:val="0"/>
                <w:sz w:val="21"/>
                <w:szCs w:val="21"/>
                <w:vertAlign w:val="baseline"/>
                <w:lang w:eastAsia="zh-CN"/>
              </w:rPr>
            </w:pPr>
            <w:r>
              <w:rPr>
                <w:rFonts w:hint="eastAsia" w:ascii="宋体" w:hAnsi="宋体" w:eastAsia="宋体" w:cs="宋体"/>
                <w:b/>
                <w:bCs/>
                <w:i w:val="0"/>
                <w:iCs w:val="0"/>
                <w:sz w:val="21"/>
                <w:szCs w:val="21"/>
                <w:vertAlign w:val="baseline"/>
                <w:lang w:eastAsia="zh-CN"/>
              </w:rPr>
              <w:t>分值</w:t>
            </w:r>
          </w:p>
        </w:tc>
      </w:tr>
      <w:tr w14:paraId="7F1E0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noWrap w:val="0"/>
            <w:vAlign w:val="center"/>
          </w:tcPr>
          <w:p w14:paraId="2F2E9D20">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i w:val="0"/>
                <w:iCs w:val="0"/>
                <w:sz w:val="21"/>
                <w:szCs w:val="21"/>
                <w:vertAlign w:val="baseline"/>
                <w:lang w:eastAsia="zh-CN"/>
              </w:rPr>
            </w:pPr>
            <w:r>
              <w:rPr>
                <w:rFonts w:hint="eastAsia" w:ascii="宋体" w:hAnsi="宋体" w:eastAsia="宋体" w:cs="宋体"/>
                <w:i w:val="0"/>
                <w:iCs w:val="0"/>
                <w:sz w:val="21"/>
                <w:szCs w:val="21"/>
                <w:vertAlign w:val="baseline"/>
                <w:lang w:eastAsia="zh-CN"/>
              </w:rPr>
              <w:t>预算执行</w:t>
            </w:r>
          </w:p>
        </w:tc>
        <w:tc>
          <w:tcPr>
            <w:tcW w:w="2114" w:type="dxa"/>
            <w:noWrap w:val="0"/>
            <w:vAlign w:val="center"/>
          </w:tcPr>
          <w:p w14:paraId="34A7CBE2">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预算执行</w:t>
            </w:r>
          </w:p>
        </w:tc>
        <w:tc>
          <w:tcPr>
            <w:tcW w:w="1977" w:type="dxa"/>
            <w:noWrap w:val="0"/>
            <w:vAlign w:val="center"/>
          </w:tcPr>
          <w:p w14:paraId="1CA3CC68">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预算执行</w:t>
            </w:r>
          </w:p>
        </w:tc>
        <w:tc>
          <w:tcPr>
            <w:tcW w:w="1773" w:type="dxa"/>
            <w:noWrap w:val="0"/>
            <w:vAlign w:val="center"/>
          </w:tcPr>
          <w:p w14:paraId="0AA8C028">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100%</w:t>
            </w:r>
          </w:p>
        </w:tc>
        <w:tc>
          <w:tcPr>
            <w:tcW w:w="1334" w:type="dxa"/>
            <w:noWrap w:val="0"/>
            <w:vAlign w:val="center"/>
          </w:tcPr>
          <w:p w14:paraId="3B0E0B2F">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4750B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restart"/>
            <w:noWrap w:val="0"/>
            <w:vAlign w:val="center"/>
          </w:tcPr>
          <w:p w14:paraId="260DBC87">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产出指标</w:t>
            </w:r>
          </w:p>
        </w:tc>
        <w:tc>
          <w:tcPr>
            <w:tcW w:w="2114" w:type="dxa"/>
            <w:vMerge w:val="restart"/>
            <w:noWrap w:val="0"/>
            <w:vAlign w:val="center"/>
          </w:tcPr>
          <w:p w14:paraId="03C165E5">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数量指标</w:t>
            </w:r>
          </w:p>
        </w:tc>
        <w:tc>
          <w:tcPr>
            <w:tcW w:w="1977" w:type="dxa"/>
            <w:noWrap w:val="0"/>
            <w:vAlign w:val="center"/>
          </w:tcPr>
          <w:p w14:paraId="40A5674E">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参展金融机构</w:t>
            </w:r>
          </w:p>
        </w:tc>
        <w:tc>
          <w:tcPr>
            <w:tcW w:w="1773" w:type="dxa"/>
            <w:noWrap w:val="0"/>
            <w:vAlign w:val="center"/>
          </w:tcPr>
          <w:p w14:paraId="0C642E53">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color w:val="auto"/>
                <w:kern w:val="0"/>
                <w:sz w:val="21"/>
                <w:szCs w:val="21"/>
                <w:lang w:val="en-US" w:eastAsia="zh-CN"/>
              </w:rPr>
              <w:t>≥10家</w:t>
            </w:r>
          </w:p>
        </w:tc>
        <w:tc>
          <w:tcPr>
            <w:tcW w:w="1334" w:type="dxa"/>
            <w:noWrap w:val="0"/>
            <w:vAlign w:val="center"/>
          </w:tcPr>
          <w:p w14:paraId="5BFDA34C">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3A048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0E9AEDA5">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vMerge w:val="continue"/>
            <w:noWrap w:val="0"/>
            <w:vAlign w:val="center"/>
          </w:tcPr>
          <w:p w14:paraId="538A7387">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1977" w:type="dxa"/>
            <w:noWrap w:val="0"/>
            <w:vAlign w:val="center"/>
          </w:tcPr>
          <w:p w14:paraId="044F4DBC">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现场接待人数</w:t>
            </w:r>
          </w:p>
        </w:tc>
        <w:tc>
          <w:tcPr>
            <w:tcW w:w="1773" w:type="dxa"/>
            <w:noWrap w:val="0"/>
            <w:vAlign w:val="center"/>
          </w:tcPr>
          <w:p w14:paraId="25A92899">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color w:val="auto"/>
                <w:kern w:val="0"/>
                <w:sz w:val="21"/>
                <w:szCs w:val="21"/>
                <w:lang w:val="en-US" w:eastAsia="zh-CN"/>
              </w:rPr>
              <w:t>≥3000人次</w:t>
            </w:r>
          </w:p>
        </w:tc>
        <w:tc>
          <w:tcPr>
            <w:tcW w:w="1334" w:type="dxa"/>
            <w:noWrap w:val="0"/>
            <w:vAlign w:val="center"/>
          </w:tcPr>
          <w:p w14:paraId="4D81E645">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7D9F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19D7FC0D">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vMerge w:val="restart"/>
            <w:noWrap w:val="0"/>
            <w:vAlign w:val="center"/>
          </w:tcPr>
          <w:p w14:paraId="7CE97D93">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时效指标</w:t>
            </w:r>
          </w:p>
        </w:tc>
        <w:tc>
          <w:tcPr>
            <w:tcW w:w="1977" w:type="dxa"/>
            <w:noWrap w:val="0"/>
            <w:vAlign w:val="center"/>
          </w:tcPr>
          <w:p w14:paraId="767D5183">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color w:val="auto"/>
                <w:kern w:val="0"/>
                <w:sz w:val="21"/>
                <w:szCs w:val="21"/>
                <w:highlight w:val="none"/>
              </w:rPr>
              <w:t>策划、设计、搭展</w:t>
            </w:r>
          </w:p>
        </w:tc>
        <w:tc>
          <w:tcPr>
            <w:tcW w:w="1773" w:type="dxa"/>
            <w:noWrap w:val="0"/>
            <w:vAlign w:val="center"/>
          </w:tcPr>
          <w:p w14:paraId="7200C753">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按时完成</w:t>
            </w:r>
          </w:p>
        </w:tc>
        <w:tc>
          <w:tcPr>
            <w:tcW w:w="1334" w:type="dxa"/>
            <w:noWrap w:val="0"/>
            <w:vAlign w:val="center"/>
          </w:tcPr>
          <w:p w14:paraId="5205E12B">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5</w:t>
            </w:r>
          </w:p>
        </w:tc>
      </w:tr>
      <w:tr w14:paraId="5980E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4C616AB3">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vMerge w:val="continue"/>
            <w:noWrap w:val="0"/>
            <w:vAlign w:val="center"/>
          </w:tcPr>
          <w:p w14:paraId="50E49EC3">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1977" w:type="dxa"/>
            <w:noWrap w:val="0"/>
            <w:vAlign w:val="center"/>
          </w:tcPr>
          <w:p w14:paraId="4A5FEE4C">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展出</w:t>
            </w:r>
          </w:p>
        </w:tc>
        <w:tc>
          <w:tcPr>
            <w:tcW w:w="1773" w:type="dxa"/>
            <w:noWrap w:val="0"/>
            <w:vAlign w:val="center"/>
          </w:tcPr>
          <w:p w14:paraId="00B590B1">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按时完成</w:t>
            </w:r>
          </w:p>
        </w:tc>
        <w:tc>
          <w:tcPr>
            <w:tcW w:w="1334" w:type="dxa"/>
            <w:noWrap w:val="0"/>
            <w:vAlign w:val="center"/>
          </w:tcPr>
          <w:p w14:paraId="3421AA1C">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5</w:t>
            </w:r>
          </w:p>
        </w:tc>
      </w:tr>
      <w:tr w14:paraId="5B017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6A99A6D3">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vMerge w:val="continue"/>
            <w:noWrap w:val="0"/>
            <w:vAlign w:val="center"/>
          </w:tcPr>
          <w:p w14:paraId="08E151FC">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1977" w:type="dxa"/>
            <w:noWrap w:val="0"/>
            <w:vAlign w:val="center"/>
          </w:tcPr>
          <w:p w14:paraId="03A841F2">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收尾总结</w:t>
            </w:r>
          </w:p>
        </w:tc>
        <w:tc>
          <w:tcPr>
            <w:tcW w:w="1773" w:type="dxa"/>
            <w:noWrap w:val="0"/>
            <w:vAlign w:val="center"/>
          </w:tcPr>
          <w:p w14:paraId="54880F4C">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按时完成</w:t>
            </w:r>
          </w:p>
        </w:tc>
        <w:tc>
          <w:tcPr>
            <w:tcW w:w="1334" w:type="dxa"/>
            <w:noWrap w:val="0"/>
            <w:vAlign w:val="center"/>
          </w:tcPr>
          <w:p w14:paraId="60250990">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5</w:t>
            </w:r>
          </w:p>
        </w:tc>
      </w:tr>
      <w:tr w14:paraId="39EA9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restart"/>
            <w:noWrap w:val="0"/>
            <w:vAlign w:val="center"/>
          </w:tcPr>
          <w:p w14:paraId="08ABCBBB">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效益指标</w:t>
            </w:r>
          </w:p>
        </w:tc>
        <w:tc>
          <w:tcPr>
            <w:tcW w:w="2114" w:type="dxa"/>
            <w:noWrap w:val="0"/>
            <w:vAlign w:val="center"/>
          </w:tcPr>
          <w:p w14:paraId="3E96E824">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经济效益指标</w:t>
            </w:r>
          </w:p>
        </w:tc>
        <w:tc>
          <w:tcPr>
            <w:tcW w:w="1977" w:type="dxa"/>
            <w:noWrap w:val="0"/>
            <w:vAlign w:val="center"/>
          </w:tcPr>
          <w:p w14:paraId="11914CEC">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企业路演</w:t>
            </w:r>
          </w:p>
        </w:tc>
        <w:tc>
          <w:tcPr>
            <w:tcW w:w="1773" w:type="dxa"/>
            <w:noWrap w:val="0"/>
            <w:vAlign w:val="center"/>
          </w:tcPr>
          <w:p w14:paraId="6AA487CA">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color w:val="auto"/>
                <w:kern w:val="0"/>
                <w:sz w:val="21"/>
                <w:szCs w:val="21"/>
                <w:lang w:val="en-US" w:eastAsia="zh-CN"/>
              </w:rPr>
              <w:t>≥3场</w:t>
            </w:r>
          </w:p>
        </w:tc>
        <w:tc>
          <w:tcPr>
            <w:tcW w:w="1334" w:type="dxa"/>
            <w:noWrap w:val="0"/>
            <w:vAlign w:val="center"/>
          </w:tcPr>
          <w:p w14:paraId="1C1149FE">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0C908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3A11EF6A">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noWrap w:val="0"/>
            <w:vAlign w:val="center"/>
          </w:tcPr>
          <w:p w14:paraId="5C891370">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社会效益指标</w:t>
            </w:r>
          </w:p>
        </w:tc>
        <w:tc>
          <w:tcPr>
            <w:tcW w:w="1977" w:type="dxa"/>
            <w:noWrap w:val="0"/>
            <w:vAlign w:val="center"/>
          </w:tcPr>
          <w:p w14:paraId="3CCA2B7B">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媒体宣传</w:t>
            </w:r>
          </w:p>
        </w:tc>
        <w:tc>
          <w:tcPr>
            <w:tcW w:w="1773" w:type="dxa"/>
            <w:noWrap w:val="0"/>
            <w:vAlign w:val="center"/>
          </w:tcPr>
          <w:p w14:paraId="38094D8A">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color w:val="auto"/>
                <w:kern w:val="0"/>
                <w:sz w:val="21"/>
                <w:szCs w:val="21"/>
                <w:lang w:val="en-US" w:eastAsia="zh-CN"/>
              </w:rPr>
              <w:t>≥10家</w:t>
            </w:r>
          </w:p>
        </w:tc>
        <w:tc>
          <w:tcPr>
            <w:tcW w:w="1334" w:type="dxa"/>
            <w:noWrap w:val="0"/>
            <w:vAlign w:val="center"/>
          </w:tcPr>
          <w:p w14:paraId="28A1CC1E">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6ACFA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64061717">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noWrap w:val="0"/>
            <w:vAlign w:val="center"/>
          </w:tcPr>
          <w:p w14:paraId="6697B5C6">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生态效益指标</w:t>
            </w:r>
          </w:p>
        </w:tc>
        <w:tc>
          <w:tcPr>
            <w:tcW w:w="1977" w:type="dxa"/>
            <w:noWrap w:val="0"/>
            <w:vAlign w:val="center"/>
          </w:tcPr>
          <w:p w14:paraId="58D06CD0">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金融生态环境</w:t>
            </w:r>
          </w:p>
        </w:tc>
        <w:tc>
          <w:tcPr>
            <w:tcW w:w="1773" w:type="dxa"/>
            <w:noWrap w:val="0"/>
            <w:vAlign w:val="center"/>
          </w:tcPr>
          <w:p w14:paraId="05108E76">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促进新兴金融业态集聚</w:t>
            </w:r>
          </w:p>
        </w:tc>
        <w:tc>
          <w:tcPr>
            <w:tcW w:w="1334" w:type="dxa"/>
            <w:noWrap w:val="0"/>
            <w:vAlign w:val="center"/>
          </w:tcPr>
          <w:p w14:paraId="25C5354E">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2FDF6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3A9AAB8A">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noWrap w:val="0"/>
            <w:vAlign w:val="center"/>
          </w:tcPr>
          <w:p w14:paraId="42EAC735">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可持续影响指标</w:t>
            </w:r>
          </w:p>
        </w:tc>
        <w:tc>
          <w:tcPr>
            <w:tcW w:w="1977" w:type="dxa"/>
            <w:noWrap w:val="0"/>
            <w:vAlign w:val="center"/>
          </w:tcPr>
          <w:p w14:paraId="515F2920">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金融影响力</w:t>
            </w:r>
          </w:p>
        </w:tc>
        <w:tc>
          <w:tcPr>
            <w:tcW w:w="1773" w:type="dxa"/>
            <w:noWrap w:val="0"/>
            <w:vAlign w:val="center"/>
          </w:tcPr>
          <w:p w14:paraId="1F4AC777">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优良中低差</w:t>
            </w:r>
          </w:p>
        </w:tc>
        <w:tc>
          <w:tcPr>
            <w:tcW w:w="1334" w:type="dxa"/>
            <w:noWrap w:val="0"/>
            <w:vAlign w:val="center"/>
          </w:tcPr>
          <w:p w14:paraId="278A8C5D">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4A788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restart"/>
            <w:noWrap w:val="0"/>
            <w:vAlign w:val="center"/>
          </w:tcPr>
          <w:p w14:paraId="6C4E702B">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满意度指标</w:t>
            </w:r>
          </w:p>
        </w:tc>
        <w:tc>
          <w:tcPr>
            <w:tcW w:w="2114" w:type="dxa"/>
            <w:vMerge w:val="restart"/>
            <w:noWrap w:val="0"/>
            <w:vAlign w:val="center"/>
          </w:tcPr>
          <w:p w14:paraId="3FBB9475">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服务对象满意度指标</w:t>
            </w:r>
          </w:p>
        </w:tc>
        <w:tc>
          <w:tcPr>
            <w:tcW w:w="1977" w:type="dxa"/>
            <w:noWrap w:val="0"/>
            <w:vAlign w:val="center"/>
          </w:tcPr>
          <w:p w14:paraId="042A08D8">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参展人员满意度</w:t>
            </w:r>
          </w:p>
        </w:tc>
        <w:tc>
          <w:tcPr>
            <w:tcW w:w="1773" w:type="dxa"/>
            <w:noWrap w:val="0"/>
            <w:vAlign w:val="center"/>
          </w:tcPr>
          <w:p w14:paraId="1B1002C8">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color w:val="auto"/>
                <w:kern w:val="0"/>
                <w:sz w:val="21"/>
                <w:szCs w:val="21"/>
                <w:lang w:val="en-US" w:eastAsia="zh-CN"/>
              </w:rPr>
              <w:t>≥90%</w:t>
            </w:r>
          </w:p>
        </w:tc>
        <w:tc>
          <w:tcPr>
            <w:tcW w:w="1334" w:type="dxa"/>
            <w:noWrap w:val="0"/>
            <w:vAlign w:val="center"/>
          </w:tcPr>
          <w:p w14:paraId="2439DF94">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w:t>
            </w:r>
          </w:p>
        </w:tc>
      </w:tr>
      <w:tr w14:paraId="729F2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24" w:type="dxa"/>
            <w:vMerge w:val="continue"/>
            <w:noWrap w:val="0"/>
            <w:vAlign w:val="center"/>
          </w:tcPr>
          <w:p w14:paraId="49292514">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2114" w:type="dxa"/>
            <w:vMerge w:val="continue"/>
            <w:noWrap w:val="0"/>
            <w:vAlign w:val="center"/>
          </w:tcPr>
          <w:p w14:paraId="098D8CA7">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p>
        </w:tc>
        <w:tc>
          <w:tcPr>
            <w:tcW w:w="1977" w:type="dxa"/>
            <w:noWrap w:val="0"/>
            <w:vAlign w:val="center"/>
          </w:tcPr>
          <w:p w14:paraId="31850722">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主办方认可</w:t>
            </w:r>
          </w:p>
        </w:tc>
        <w:tc>
          <w:tcPr>
            <w:tcW w:w="1773" w:type="dxa"/>
            <w:noWrap w:val="0"/>
            <w:vAlign w:val="center"/>
          </w:tcPr>
          <w:p w14:paraId="7E3C41E5">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获得表彰</w:t>
            </w:r>
          </w:p>
        </w:tc>
        <w:tc>
          <w:tcPr>
            <w:tcW w:w="1334" w:type="dxa"/>
            <w:noWrap w:val="0"/>
            <w:vAlign w:val="center"/>
          </w:tcPr>
          <w:p w14:paraId="065FB790">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5</w:t>
            </w:r>
          </w:p>
        </w:tc>
      </w:tr>
      <w:tr w14:paraId="541D4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8" w:type="dxa"/>
            <w:gridSpan w:val="4"/>
            <w:noWrap w:val="0"/>
            <w:vAlign w:val="center"/>
          </w:tcPr>
          <w:p w14:paraId="7D18DF07">
            <w:pPr>
              <w:pStyle w:val="2"/>
              <w:keepNext w:val="0"/>
              <w:keepLines w:val="0"/>
              <w:pageBreakBefore w:val="0"/>
              <w:widowControl w:val="0"/>
              <w:tabs>
                <w:tab w:val="left" w:pos="5416"/>
              </w:tabs>
              <w:kinsoku/>
              <w:wordWrap/>
              <w:overflowPunct/>
              <w:topLinePunct w:val="0"/>
              <w:autoSpaceDE/>
              <w:autoSpaceDN/>
              <w:bidi w:val="0"/>
              <w:adjustRightInd/>
              <w:snapToGrid/>
              <w:ind w:firstLine="0" w:firstLineChars="0"/>
              <w:jc w:val="center"/>
              <w:textAlignment w:val="auto"/>
              <w:rPr>
                <w:rFonts w:hint="eastAsia" w:ascii="宋体" w:hAnsi="宋体" w:eastAsia="宋体" w:cs="宋体"/>
                <w:i w:val="0"/>
                <w:iCs w:val="0"/>
                <w:sz w:val="21"/>
                <w:szCs w:val="21"/>
                <w:vertAlign w:val="baseline"/>
                <w:lang w:eastAsia="zh-CN"/>
              </w:rPr>
            </w:pPr>
            <w:r>
              <w:rPr>
                <w:rFonts w:hint="eastAsia" w:ascii="宋体" w:hAnsi="宋体" w:eastAsia="宋体" w:cs="宋体"/>
                <w:i w:val="0"/>
                <w:iCs w:val="0"/>
                <w:sz w:val="21"/>
                <w:szCs w:val="21"/>
                <w:vertAlign w:val="baseline"/>
                <w:lang w:eastAsia="zh-CN"/>
              </w:rPr>
              <w:t>合计</w:t>
            </w:r>
          </w:p>
        </w:tc>
        <w:tc>
          <w:tcPr>
            <w:tcW w:w="1334" w:type="dxa"/>
            <w:noWrap w:val="0"/>
            <w:vAlign w:val="center"/>
          </w:tcPr>
          <w:p w14:paraId="621FD9E9">
            <w:pPr>
              <w:pStyle w:val="2"/>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default" w:ascii="宋体" w:hAnsi="宋体" w:eastAsia="宋体" w:cs="宋体"/>
                <w:i w:val="0"/>
                <w:iCs w:val="0"/>
                <w:sz w:val="21"/>
                <w:szCs w:val="21"/>
                <w:vertAlign w:val="baseline"/>
                <w:lang w:val="en-US" w:eastAsia="zh-CN"/>
              </w:rPr>
            </w:pPr>
            <w:r>
              <w:rPr>
                <w:rFonts w:hint="eastAsia" w:ascii="宋体" w:hAnsi="宋体" w:eastAsia="宋体" w:cs="宋体"/>
                <w:i w:val="0"/>
                <w:iCs w:val="0"/>
                <w:sz w:val="21"/>
                <w:szCs w:val="21"/>
                <w:vertAlign w:val="baseline"/>
                <w:lang w:val="en-US" w:eastAsia="zh-CN"/>
              </w:rPr>
              <w:t>100</w:t>
            </w:r>
          </w:p>
        </w:tc>
      </w:tr>
    </w:tbl>
    <w:p w14:paraId="381F80A9">
      <w:pPr>
        <w:spacing w:line="560" w:lineRule="exact"/>
        <w:ind w:firstLine="576" w:firstLineChars="200"/>
        <w:rPr>
          <w:rFonts w:hint="eastAsia" w:ascii="楷体_GB2312" w:hAnsi="楷体_GB2312" w:eastAsia="楷体_GB2312" w:cs="楷体_GB2312"/>
          <w:color w:val="000000" w:themeColor="text1"/>
          <w:w w:val="90"/>
          <w:sz w:val="32"/>
          <w:szCs w:val="32"/>
          <w14:textFill>
            <w14:solidFill>
              <w14:schemeClr w14:val="tx1"/>
            </w14:solidFill>
          </w14:textFill>
        </w:rPr>
      </w:pPr>
      <w:r>
        <w:rPr>
          <w:rFonts w:hint="eastAsia" w:ascii="楷体_GB2312" w:hAnsi="楷体_GB2312" w:eastAsia="楷体_GB2312" w:cs="楷体_GB2312"/>
          <w:color w:val="000000" w:themeColor="text1"/>
          <w:w w:val="90"/>
          <w:sz w:val="32"/>
          <w:szCs w:val="32"/>
          <w14:textFill>
            <w14:solidFill>
              <w14:schemeClr w14:val="tx1"/>
            </w14:solidFill>
          </w14:textFill>
        </w:rPr>
        <w:t>（三）绩效评价工作过程</w:t>
      </w:r>
    </w:p>
    <w:p w14:paraId="600438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根据北京市及通州区全面实施预算绩效管理工作要求，我</w:t>
      </w:r>
      <w:r>
        <w:rPr>
          <w:rFonts w:hint="eastAsia" w:ascii="仿宋_GB2312" w:hAnsi="仿宋_GB2312" w:eastAsia="仿宋_GB2312" w:cs="仿宋_GB2312"/>
          <w:color w:val="auto"/>
          <w:kern w:val="0"/>
          <w:sz w:val="32"/>
          <w:szCs w:val="32"/>
          <w:lang w:eastAsia="zh-CN"/>
        </w:rPr>
        <w:t>委</w:t>
      </w:r>
      <w:r>
        <w:rPr>
          <w:rFonts w:hint="eastAsia" w:ascii="仿宋_GB2312" w:hAnsi="仿宋_GB2312" w:eastAsia="仿宋_GB2312" w:cs="仿宋_GB2312"/>
          <w:color w:val="auto"/>
          <w:kern w:val="0"/>
          <w:sz w:val="32"/>
          <w:szCs w:val="32"/>
        </w:rPr>
        <w:t>严格落实预算绩效管理各项工作，将202</w:t>
      </w: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年中国国际服务贸易交易会金融服务专题展项目纳入预算绩效目标管理范围，有质有序开展项目支出绩效监控工作，分析绩效目标执行情况，采取重点跟踪、及时纠偏等措施，避免出现目标执行偏差，确保阶段性任务能够按计划完成。</w:t>
      </w:r>
    </w:p>
    <w:p w14:paraId="26F4AF48">
      <w:pPr>
        <w:spacing w:line="560" w:lineRule="exact"/>
        <w:ind w:firstLine="640" w:firstLineChars="20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14:textFill>
            <w14:solidFill>
              <w14:schemeClr w14:val="tx1"/>
            </w14:solidFill>
          </w14:textFill>
        </w:rPr>
        <w:t>三、综合评价情况及评价结论</w:t>
      </w:r>
    </w:p>
    <w:p w14:paraId="2FF4F6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rPr>
        <w:t>项目立项程序符合要求，</w:t>
      </w:r>
      <w:r>
        <w:rPr>
          <w:rFonts w:hint="eastAsia" w:ascii="仿宋_GB2312" w:hAnsi="仿宋_GB2312" w:eastAsia="仿宋_GB2312" w:cs="仿宋_GB2312"/>
          <w:color w:val="auto"/>
          <w:kern w:val="0"/>
          <w:sz w:val="32"/>
          <w:szCs w:val="32"/>
          <w:lang w:eastAsia="zh-CN"/>
        </w:rPr>
        <w:t>预算执行</w:t>
      </w:r>
      <w:r>
        <w:rPr>
          <w:rFonts w:hint="eastAsia" w:ascii="仿宋_GB2312" w:hAnsi="仿宋_GB2312" w:eastAsia="仿宋_GB2312" w:cs="仿宋_GB2312"/>
          <w:color w:val="auto"/>
          <w:kern w:val="0"/>
          <w:sz w:val="32"/>
          <w:szCs w:val="32"/>
        </w:rPr>
        <w:t>时严格按照“三重一大”程序开展。</w:t>
      </w:r>
      <w:r>
        <w:rPr>
          <w:rFonts w:hint="eastAsia" w:ascii="仿宋_GB2312" w:hAnsi="仿宋_GB2312" w:eastAsia="仿宋_GB2312" w:cs="仿宋_GB2312"/>
          <w:color w:val="auto"/>
          <w:kern w:val="0"/>
          <w:sz w:val="32"/>
          <w:szCs w:val="32"/>
          <w:lang w:eastAsia="zh-CN"/>
        </w:rPr>
        <w:t>项目综合评价结果为优，具体详见附件。</w:t>
      </w:r>
    </w:p>
    <w:p w14:paraId="3AE88E37">
      <w:pPr>
        <w:spacing w:line="560" w:lineRule="exact"/>
        <w:ind w:firstLine="640" w:firstLineChars="200"/>
        <w:rPr>
          <w:rFonts w:hint="eastAsia" w:ascii="黑体" w:hAnsi="黑体" w:eastAsia="黑体" w:cs="黑体"/>
          <w:bCs/>
          <w:color w:val="000000" w:themeColor="text1"/>
          <w:kern w:val="0"/>
          <w:sz w:val="32"/>
          <w:szCs w:val="32"/>
          <w14:textFill>
            <w14:solidFill>
              <w14:schemeClr w14:val="tx1"/>
            </w14:solidFill>
          </w14:textFill>
        </w:rPr>
      </w:pPr>
      <w:r>
        <w:rPr>
          <w:rFonts w:hint="eastAsia" w:ascii="黑体" w:hAnsi="黑体" w:eastAsia="黑体" w:cs="黑体"/>
          <w:bCs/>
          <w:color w:val="000000" w:themeColor="text1"/>
          <w:kern w:val="0"/>
          <w:sz w:val="32"/>
          <w:szCs w:val="32"/>
          <w14:textFill>
            <w14:solidFill>
              <w14:schemeClr w14:val="tx1"/>
            </w14:solidFill>
          </w14:textFill>
        </w:rPr>
        <w:t>四、绩效评价指标分析</w:t>
      </w:r>
    </w:p>
    <w:p w14:paraId="51F2D6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项目决策情况</w:t>
      </w:r>
    </w:p>
    <w:p w14:paraId="376631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项目立项程序严格依法依规开展，</w:t>
      </w:r>
      <w:r>
        <w:rPr>
          <w:rFonts w:hint="eastAsia" w:ascii="仿宋_GB2312" w:hAnsi="仿宋_GB2312" w:eastAsia="仿宋_GB2312" w:cs="仿宋_GB2312"/>
          <w:color w:val="auto"/>
          <w:kern w:val="0"/>
          <w:sz w:val="32"/>
          <w:szCs w:val="32"/>
        </w:rPr>
        <w:t>成立项目领导小组筹备策划本项目的相关事宜，整个推进流程均按照“三重一大”议事规则研究决定。</w:t>
      </w:r>
    </w:p>
    <w:p w14:paraId="247B67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rPr>
        <w:t>项目过程情况</w:t>
      </w:r>
    </w:p>
    <w:p w14:paraId="084784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项目推进过程中，集体参与，按照分工有序进行，项目组织管理程序严谨。</w:t>
      </w:r>
    </w:p>
    <w:p w14:paraId="715C7A2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3.</w:t>
      </w:r>
      <w:r>
        <w:rPr>
          <w:rFonts w:hint="eastAsia" w:ascii="仿宋_GB2312" w:hAnsi="仿宋_GB2312" w:eastAsia="仿宋_GB2312" w:cs="仿宋_GB2312"/>
          <w:color w:val="auto"/>
          <w:kern w:val="0"/>
          <w:sz w:val="32"/>
          <w:szCs w:val="32"/>
        </w:rPr>
        <w:t>项目产出</w:t>
      </w:r>
      <w:r>
        <w:rPr>
          <w:rFonts w:hint="eastAsia" w:ascii="仿宋_GB2312" w:hAnsi="仿宋_GB2312" w:eastAsia="仿宋_GB2312" w:cs="仿宋_GB2312"/>
          <w:color w:val="auto"/>
          <w:kern w:val="0"/>
          <w:sz w:val="32"/>
          <w:szCs w:val="32"/>
          <w:lang w:eastAsia="zh-CN"/>
        </w:rPr>
        <w:t>及效益</w:t>
      </w:r>
      <w:r>
        <w:rPr>
          <w:rFonts w:hint="eastAsia" w:ascii="仿宋_GB2312" w:hAnsi="仿宋_GB2312" w:eastAsia="仿宋_GB2312" w:cs="仿宋_GB2312"/>
          <w:color w:val="auto"/>
          <w:kern w:val="0"/>
          <w:sz w:val="32"/>
          <w:szCs w:val="32"/>
        </w:rPr>
        <w:t>情况</w:t>
      </w:r>
    </w:p>
    <w:p w14:paraId="05DEBD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项目</w:t>
      </w:r>
      <w:r>
        <w:rPr>
          <w:rFonts w:hint="eastAsia" w:ascii="仿宋_GB2312" w:hAnsi="仿宋_GB2312" w:eastAsia="仿宋_GB2312" w:cs="仿宋_GB2312"/>
          <w:color w:val="auto"/>
          <w:kern w:val="0"/>
          <w:sz w:val="32"/>
          <w:szCs w:val="32"/>
          <w:lang w:eastAsia="zh-CN"/>
        </w:rPr>
        <w:t>充分</w:t>
      </w:r>
      <w:r>
        <w:rPr>
          <w:rFonts w:hint="eastAsia" w:ascii="仿宋_GB2312" w:hAnsi="仿宋_GB2312" w:eastAsia="仿宋_GB2312" w:cs="仿宋_GB2312"/>
          <w:color w:val="auto"/>
          <w:kern w:val="0"/>
          <w:sz w:val="32"/>
          <w:szCs w:val="32"/>
        </w:rPr>
        <w:t>展示了</w:t>
      </w:r>
      <w:r>
        <w:rPr>
          <w:rFonts w:hint="eastAsia" w:ascii="仿宋_GB2312" w:hAnsi="仿宋_GB2312" w:eastAsia="仿宋_GB2312" w:cs="仿宋_GB2312"/>
          <w:color w:val="auto"/>
          <w:kern w:val="0"/>
          <w:sz w:val="32"/>
          <w:szCs w:val="32"/>
          <w:lang w:eastAsia="zh-CN"/>
        </w:rPr>
        <w:t>城市</w:t>
      </w:r>
      <w:r>
        <w:rPr>
          <w:rFonts w:hint="eastAsia" w:ascii="仿宋_GB2312" w:hAnsi="仿宋_GB2312" w:eastAsia="仿宋_GB2312" w:cs="仿宋_GB2312"/>
          <w:color w:val="auto"/>
          <w:kern w:val="0"/>
          <w:sz w:val="32"/>
          <w:szCs w:val="32"/>
        </w:rPr>
        <w:t>副中心金融业高质量发展态势和优质的营商环境，</w:t>
      </w:r>
      <w:r>
        <w:rPr>
          <w:rFonts w:hint="eastAsia" w:ascii="仿宋_GB2312" w:hAnsi="仿宋_GB2312" w:eastAsia="仿宋_GB2312" w:cs="仿宋_GB2312"/>
          <w:color w:val="auto"/>
          <w:kern w:val="0"/>
          <w:sz w:val="32"/>
          <w:szCs w:val="32"/>
          <w:lang w:eastAsia="zh-CN"/>
        </w:rPr>
        <w:t>有效</w:t>
      </w:r>
      <w:r>
        <w:rPr>
          <w:rFonts w:hint="eastAsia" w:ascii="仿宋_GB2312" w:hAnsi="仿宋_GB2312" w:eastAsia="仿宋_GB2312" w:cs="仿宋_GB2312"/>
          <w:color w:val="auto"/>
          <w:kern w:val="0"/>
          <w:sz w:val="32"/>
          <w:szCs w:val="32"/>
        </w:rPr>
        <w:t>提升</w:t>
      </w:r>
      <w:r>
        <w:rPr>
          <w:rFonts w:hint="eastAsia" w:ascii="仿宋_GB2312" w:hAnsi="仿宋_GB2312" w:eastAsia="仿宋_GB2312" w:cs="仿宋_GB2312"/>
          <w:color w:val="auto"/>
          <w:kern w:val="0"/>
          <w:sz w:val="32"/>
          <w:szCs w:val="32"/>
          <w:lang w:eastAsia="zh-CN"/>
        </w:rPr>
        <w:t>了城市</w:t>
      </w:r>
      <w:r>
        <w:rPr>
          <w:rFonts w:hint="eastAsia" w:ascii="仿宋_GB2312" w:hAnsi="仿宋_GB2312" w:eastAsia="仿宋_GB2312" w:cs="仿宋_GB2312"/>
          <w:color w:val="auto"/>
          <w:kern w:val="0"/>
          <w:sz w:val="32"/>
          <w:szCs w:val="32"/>
        </w:rPr>
        <w:t>副中心知名度和影响力。</w:t>
      </w:r>
    </w:p>
    <w:p w14:paraId="3F1AEBE6">
      <w:pPr>
        <w:spacing w:line="560" w:lineRule="exact"/>
        <w:ind w:firstLine="640" w:firstLineChars="200"/>
        <w:rPr>
          <w:rFonts w:hint="eastAsia" w:ascii="黑体" w:hAnsi="黑体" w:eastAsia="黑体" w:cs="黑体"/>
          <w:bCs/>
          <w:color w:val="auto"/>
          <w:kern w:val="0"/>
          <w:sz w:val="32"/>
          <w:szCs w:val="32"/>
          <w:highlight w:val="none"/>
        </w:rPr>
      </w:pPr>
      <w:r>
        <w:rPr>
          <w:rFonts w:hint="eastAsia" w:ascii="黑体" w:hAnsi="黑体" w:eastAsia="黑体" w:cs="黑体"/>
          <w:bCs/>
          <w:color w:val="auto"/>
          <w:kern w:val="0"/>
          <w:sz w:val="32"/>
          <w:szCs w:val="32"/>
          <w:highlight w:val="none"/>
        </w:rPr>
        <w:t>五、主要经验及做法、</w:t>
      </w:r>
      <w:bookmarkStart w:id="0" w:name="_Hlk103934256"/>
      <w:r>
        <w:rPr>
          <w:rFonts w:hint="eastAsia" w:ascii="黑体" w:hAnsi="黑体" w:eastAsia="黑体" w:cs="黑体"/>
          <w:bCs/>
          <w:color w:val="auto"/>
          <w:kern w:val="0"/>
          <w:sz w:val="32"/>
          <w:szCs w:val="32"/>
          <w:highlight w:val="none"/>
        </w:rPr>
        <w:t>存在的问题及原因分析</w:t>
      </w:r>
      <w:bookmarkEnd w:id="0"/>
    </w:p>
    <w:p w14:paraId="46276E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一是统筹兼顾，高效配合。分工部署，职责明确。</w:t>
      </w:r>
    </w:p>
    <w:p w14:paraId="655E96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二是精心策划，创新设计。运用多种方式展示城市副中心金融业发展成果。</w:t>
      </w:r>
    </w:p>
    <w:p w14:paraId="34E7FD69">
      <w:pPr>
        <w:spacing w:line="560" w:lineRule="exact"/>
        <w:ind w:firstLine="640" w:firstLineChars="200"/>
        <w:rPr>
          <w:rFonts w:hint="eastAsia" w:ascii="黑体" w:hAnsi="黑体" w:eastAsia="黑体" w:cs="黑体"/>
          <w:bCs/>
          <w:color w:val="000000" w:themeColor="text1"/>
          <w:kern w:val="0"/>
          <w:sz w:val="32"/>
          <w:szCs w:val="32"/>
          <w:highlight w:val="none"/>
          <w14:textFill>
            <w14:solidFill>
              <w14:schemeClr w14:val="tx1"/>
            </w14:solidFill>
          </w14:textFill>
        </w:rPr>
      </w:pPr>
      <w:r>
        <w:rPr>
          <w:rFonts w:hint="eastAsia" w:ascii="黑体" w:hAnsi="黑体" w:eastAsia="黑体" w:cs="黑体"/>
          <w:bCs/>
          <w:color w:val="000000" w:themeColor="text1"/>
          <w:kern w:val="0"/>
          <w:sz w:val="32"/>
          <w:szCs w:val="32"/>
          <w:highlight w:val="none"/>
          <w14:textFill>
            <w14:solidFill>
              <w14:schemeClr w14:val="tx1"/>
            </w14:solidFill>
          </w14:textFill>
        </w:rPr>
        <w:t>六、有关建议</w:t>
      </w:r>
    </w:p>
    <w:p w14:paraId="77D145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kern w:val="0"/>
          <w:sz w:val="32"/>
          <w:szCs w:val="32"/>
          <w:lang w:eastAsia="zh-CN"/>
        </w:rPr>
      </w:pPr>
      <w:r>
        <w:rPr>
          <w:rFonts w:hint="eastAsia" w:ascii="仿宋_GB2312" w:hAnsi="仿宋_GB2312" w:eastAsia="仿宋_GB2312" w:cs="仿宋_GB2312"/>
          <w:color w:val="auto"/>
          <w:kern w:val="0"/>
          <w:sz w:val="32"/>
          <w:szCs w:val="32"/>
          <w:lang w:eastAsia="zh-CN"/>
        </w:rPr>
        <w:t>无。</w:t>
      </w:r>
    </w:p>
    <w:p w14:paraId="6E11CF60">
      <w:pPr>
        <w:spacing w:line="560" w:lineRule="exact"/>
        <w:ind w:firstLine="640" w:firstLineChars="200"/>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七、其他需要说明的问题</w:t>
      </w:r>
    </w:p>
    <w:p w14:paraId="6F7349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color w:val="auto"/>
          <w:kern w:val="0"/>
          <w:sz w:val="32"/>
          <w:szCs w:val="32"/>
          <w:lang w:eastAsia="zh-CN"/>
        </w:rPr>
        <w:t>无。</w:t>
      </w:r>
    </w:p>
    <w:p w14:paraId="7468DE8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76DE43"/>
    <w:multiLevelType w:val="singleLevel"/>
    <w:tmpl w:val="7176DE4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7A550C"/>
    <w:rsid w:val="0A1334B0"/>
    <w:rsid w:val="0F36696C"/>
    <w:rsid w:val="11C02EF5"/>
    <w:rsid w:val="19BF5E57"/>
    <w:rsid w:val="204953F0"/>
    <w:rsid w:val="2233189D"/>
    <w:rsid w:val="269D29F5"/>
    <w:rsid w:val="2ACA7929"/>
    <w:rsid w:val="2C243392"/>
    <w:rsid w:val="2E356C18"/>
    <w:rsid w:val="2FFAC011"/>
    <w:rsid w:val="333D6349"/>
    <w:rsid w:val="3EFB1A1C"/>
    <w:rsid w:val="4A43307A"/>
    <w:rsid w:val="4DFE30E9"/>
    <w:rsid w:val="4EF15D2D"/>
    <w:rsid w:val="57491B6D"/>
    <w:rsid w:val="67DB16B8"/>
    <w:rsid w:val="6BCBC2ED"/>
    <w:rsid w:val="702B7570"/>
    <w:rsid w:val="78C11EC8"/>
    <w:rsid w:val="7ADFE476"/>
    <w:rsid w:val="7DBB9588"/>
    <w:rsid w:val="975DBFD8"/>
    <w:rsid w:val="CFFEB65E"/>
    <w:rsid w:val="FB6F4C59"/>
    <w:rsid w:val="FFED0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2025-09-26T05:10:00Z</dcterms:created>
  <dc:creator>86139</dc:creator>
  <cp:lastModifiedBy>User</cp:lastModifiedBy>
  <dcterms:modified xsi:type="dcterms:W3CDTF">2025-09-29T10:19:44Z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ICV">
    <vt:lpwstr>23CB6EAA9520E02821ECD96853085502_42</vt:lpwstr>
  </property>
</Properties>
</file>