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小标宋简体" w:hAnsi="黑体" w:eastAsia="方正小标宋简体" w:cs="Arial"/>
          <w:b w:val="0"/>
          <w:bCs w:val="0"/>
          <w:sz w:val="36"/>
          <w:szCs w:val="36"/>
        </w:rPr>
      </w:pPr>
      <w:r>
        <w:rPr>
          <w:rFonts w:hint="eastAsia" w:ascii="黑体" w:hAnsi="黑体" w:eastAsia="黑体" w:cs="黑体"/>
          <w:b w:val="0"/>
          <w:bCs w:val="0"/>
          <w:sz w:val="32"/>
          <w:szCs w:val="32"/>
          <w:lang w:val="en-US" w:eastAsia="zh-CN"/>
        </w:rPr>
        <w:t>附件2-1</w:t>
      </w:r>
    </w:p>
    <w:p>
      <w:pPr>
        <w:pageBreakBefore w:val="0"/>
        <w:kinsoku/>
        <w:wordWrap/>
        <w:overflowPunct/>
        <w:topLinePunct w:val="0"/>
        <w:autoSpaceDE/>
        <w:autoSpaceDN/>
        <w:bidi w:val="0"/>
        <w:spacing w:line="560" w:lineRule="exact"/>
        <w:ind w:firstLine="720" w:firstLineChars="200"/>
        <w:jc w:val="center"/>
        <w:textAlignment w:val="auto"/>
        <w:rPr>
          <w:rFonts w:hint="eastAsia" w:ascii="方正小标宋简体" w:hAnsi="黑体" w:eastAsia="方正小标宋简体" w:cs="Arial"/>
          <w:b w:val="0"/>
          <w:bCs w:val="0"/>
          <w:sz w:val="36"/>
          <w:szCs w:val="36"/>
        </w:rPr>
      </w:pPr>
      <w:r>
        <w:rPr>
          <w:rFonts w:hint="eastAsia" w:ascii="方正小标宋简体" w:hAnsi="黑体" w:eastAsia="方正小标宋简体" w:cs="Arial"/>
          <w:b w:val="0"/>
          <w:bCs w:val="0"/>
          <w:sz w:val="36"/>
          <w:szCs w:val="36"/>
        </w:rPr>
        <w:t>202</w:t>
      </w:r>
      <w:r>
        <w:rPr>
          <w:rFonts w:hint="eastAsia" w:ascii="方正小标宋简体" w:hAnsi="黑体" w:eastAsia="方正小标宋简体" w:cs="Arial"/>
          <w:b w:val="0"/>
          <w:bCs w:val="0"/>
          <w:sz w:val="36"/>
          <w:szCs w:val="36"/>
          <w:lang w:val="en-US" w:eastAsia="zh-CN"/>
        </w:rPr>
        <w:t>4</w:t>
      </w:r>
      <w:r>
        <w:rPr>
          <w:rFonts w:hint="eastAsia" w:ascii="方正小标宋简体" w:hAnsi="黑体" w:eastAsia="方正小标宋简体" w:cs="Arial"/>
          <w:b w:val="0"/>
          <w:bCs w:val="0"/>
          <w:sz w:val="36"/>
          <w:szCs w:val="36"/>
        </w:rPr>
        <w:t>年部门整体绩效报告</w:t>
      </w:r>
    </w:p>
    <w:p>
      <w:pPr>
        <w:pageBreakBefore w:val="0"/>
        <w:kinsoku/>
        <w:wordWrap/>
        <w:overflowPunct/>
        <w:topLinePunct w:val="0"/>
        <w:autoSpaceDE/>
        <w:autoSpaceDN/>
        <w:bidi w:val="0"/>
        <w:spacing w:line="560" w:lineRule="exact"/>
        <w:ind w:firstLine="420" w:firstLineChars="200"/>
        <w:jc w:val="center"/>
        <w:textAlignment w:val="auto"/>
        <w:rPr>
          <w:rFonts w:ascii="仿宋_GB2312"/>
          <w:b w:val="0"/>
          <w:bCs w:val="0"/>
          <w:szCs w:val="30"/>
        </w:rPr>
      </w:pPr>
    </w:p>
    <w:p>
      <w:pPr>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s="宋体"/>
          <w:b w:val="0"/>
          <w:bCs w:val="0"/>
          <w:color w:val="000000"/>
          <w:kern w:val="0"/>
          <w:sz w:val="32"/>
          <w:szCs w:val="32"/>
        </w:rPr>
      </w:pPr>
      <w:r>
        <w:rPr>
          <w:rFonts w:hint="eastAsia" w:ascii="黑体" w:hAnsi="黑体" w:eastAsia="黑体" w:cs="宋体"/>
          <w:b w:val="0"/>
          <w:bCs w:val="0"/>
          <w:color w:val="000000"/>
          <w:kern w:val="0"/>
          <w:sz w:val="32"/>
          <w:szCs w:val="32"/>
        </w:rPr>
        <w:t>一、部门概况</w:t>
      </w:r>
    </w:p>
    <w:p>
      <w:pPr>
        <w:pageBreakBefore w:val="0"/>
        <w:kinsoku/>
        <w:wordWrap/>
        <w:overflowPunct/>
        <w:topLinePunct w:val="0"/>
        <w:autoSpaceDE/>
        <w:autoSpaceDN/>
        <w:bidi w:val="0"/>
        <w:spacing w:line="560" w:lineRule="exact"/>
        <w:ind w:firstLine="640" w:firstLineChars="200"/>
        <w:textAlignment w:val="auto"/>
        <w:rPr>
          <w:rFonts w:hint="eastAsia" w:ascii="楷体_GB2312" w:eastAsia="楷体_GB2312"/>
          <w:b w:val="0"/>
          <w:bCs w:val="0"/>
          <w:sz w:val="32"/>
          <w:szCs w:val="32"/>
        </w:rPr>
      </w:pPr>
      <w:r>
        <w:rPr>
          <w:rFonts w:hint="eastAsia" w:ascii="楷体_GB2312" w:eastAsia="楷体_GB2312"/>
          <w:b w:val="0"/>
          <w:bCs w:val="0"/>
          <w:sz w:val="32"/>
          <w:szCs w:val="32"/>
        </w:rPr>
        <w:t>（一）机构设置及职责工作任务情况</w:t>
      </w:r>
    </w:p>
    <w:p>
      <w:pPr>
        <w:pStyle w:val="18"/>
        <w:pageBreakBefore w:val="0"/>
        <w:kinsoku/>
        <w:wordWrap/>
        <w:overflowPunct/>
        <w:topLinePunct w:val="0"/>
        <w:autoSpaceDE/>
        <w:autoSpaceDN/>
        <w:bidi w:val="0"/>
        <w:spacing w:line="560" w:lineRule="exact"/>
        <w:ind w:firstLine="640" w:firstLineChars="200"/>
        <w:textAlignment w:val="auto"/>
        <w:rPr>
          <w:sz w:val="32"/>
          <w:szCs w:val="32"/>
        </w:rPr>
      </w:pPr>
      <w:r>
        <w:rPr>
          <w:rFonts w:hint="eastAsia"/>
          <w:sz w:val="32"/>
          <w:szCs w:val="32"/>
        </w:rPr>
        <w:t>1</w:t>
      </w:r>
      <w:r>
        <w:rPr>
          <w:sz w:val="32"/>
          <w:szCs w:val="32"/>
        </w:rPr>
        <w:t>.</w:t>
      </w:r>
      <w:r>
        <w:rPr>
          <w:rFonts w:hint="eastAsia"/>
          <w:sz w:val="32"/>
          <w:szCs w:val="32"/>
        </w:rPr>
        <w:t>部门职责</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承办以区政府或者区政府办名义制发的规范性文件、报请区政府会议审议和区政府审批的涉及法律问题的有关文件或者事项的合法性审核工作。承担各乡镇街道、区政府工作部门制定的规范性文件的备案审查工作。</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承担统筹推进本区法治政府建设的责任。指导、监督区政府各部门和乡镇政府依法行政工作。负责综合协调行政执法，承担推进行政执法体制改革有关工作，推进严格规范公正文明执法。指导、监督全区行政复议和行政应诉工作，负责行政复议、行政赔偿案件办理工作。承办区政府行政诉讼的应诉代理工作。承办由市政府裁决的区政府行政复议案件的有关工作。</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承担统筹规划本区法治社会建设的责任。负责拟定法治宣传教育规划，组织实施普法宣传工作。推动人民参与和促进法治建设。组织依法治理和法治创建工作。组织调解工作和人民陪审员、人民监督员选任管理工作，推进司法所建设。</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（4）负责本区社区矫正工作和刑满释放人员安置帮教工作。</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（5）负责拟定本区公共法律服务体系建设规划并组织实施，统筹和布局城乡、区域法律服务资源。负责本区律师、法律援助、司法鉴定、公证、仲裁和基层法律服务管理工作。</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（6）负责本区法治人才队伍建设相关工作，负责本系统队伍建设。</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（7）完成区委、区政府交办的其他任务。</w:t>
      </w:r>
    </w:p>
    <w:p>
      <w:pPr>
        <w:pStyle w:val="18"/>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Calibri" w:eastAsia="仿宋_GB2312" w:cs="Times New Roman"/>
          <w:color w:val="auto"/>
          <w:kern w:val="2"/>
          <w:sz w:val="32"/>
          <w:szCs w:val="32"/>
          <w:lang w:val="en-US" w:eastAsia="zh-CN" w:bidi="ar-SA"/>
        </w:rPr>
      </w:pPr>
      <w:r>
        <w:rPr>
          <w:rFonts w:hint="eastAsia" w:ascii="仿宋_GB2312" w:hAnsi="Calibri" w:eastAsia="仿宋_GB2312" w:cs="Times New Roman"/>
          <w:color w:val="auto"/>
          <w:kern w:val="2"/>
          <w:sz w:val="32"/>
          <w:szCs w:val="32"/>
          <w:lang w:val="en-US" w:eastAsia="zh-CN" w:bidi="ar-SA"/>
        </w:rPr>
        <w:t>2.机构设置</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Calibri" w:eastAsia="仿宋_GB2312" w:cs="Times New Roman"/>
          <w:color w:val="auto"/>
          <w:kern w:val="2"/>
          <w:sz w:val="32"/>
          <w:szCs w:val="32"/>
          <w:lang w:val="en-US" w:eastAsia="zh-CN" w:bidi="ar-SA"/>
        </w:rPr>
      </w:pPr>
      <w:r>
        <w:rPr>
          <w:rFonts w:hint="eastAsia" w:ascii="仿宋_GB2312" w:hAnsi="Calibri" w:eastAsia="仿宋_GB2312" w:cs="Times New Roman"/>
          <w:color w:val="auto"/>
          <w:kern w:val="2"/>
          <w:sz w:val="32"/>
          <w:szCs w:val="32"/>
          <w:lang w:val="en-US" w:eastAsia="zh-CN" w:bidi="ar-SA"/>
        </w:rPr>
        <w:t>根据中共中央、国务院批准的北京市人民政府机构改革方案和《北京市人民政府关于机构设置的通知》（京政发[2009]2号），设立通州区司法局。内设12个科室，分别为：办公室、组织人事科、人民参与和促进法治科、公共法律服务管理科、公证律师工作科、行政执法协调科、法治调研科、规范性文件审查科、社区矫正管理科、普法与依法治理科、行政复议科、行政应诉科。</w:t>
      </w:r>
    </w:p>
    <w:p>
      <w:pPr>
        <w:pStyle w:val="2"/>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Calibri" w:eastAsia="仿宋_GB2312" w:cs="Times New Roman"/>
          <w:color w:val="auto"/>
          <w:kern w:val="2"/>
          <w:sz w:val="32"/>
          <w:szCs w:val="32"/>
          <w:lang w:val="en-US" w:eastAsia="zh-CN" w:bidi="ar-SA"/>
        </w:rPr>
      </w:pPr>
      <w:r>
        <w:rPr>
          <w:rFonts w:hint="eastAsia" w:ascii="仿宋_GB2312" w:hAnsi="Calibri" w:eastAsia="仿宋_GB2312" w:cs="Times New Roman"/>
          <w:color w:val="auto"/>
          <w:kern w:val="2"/>
          <w:sz w:val="32"/>
          <w:szCs w:val="32"/>
          <w:lang w:val="en-US" w:eastAsia="zh-CN" w:bidi="ar-SA"/>
        </w:rPr>
        <w:t>下属四个事业单位，分别为通州区法律援助中心（参公事业单位）、通州区阳光中途之家（全额拨款事业单位）、通州区人民政府行政复议接待室（全额拨款事业单位）、北京市潞洲公证处（自收自支事业单位）。</w:t>
      </w:r>
    </w:p>
    <w:p>
      <w:pPr>
        <w:pStyle w:val="18"/>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sz w:val="32"/>
          <w:szCs w:val="32"/>
        </w:rPr>
      </w:pPr>
      <w:r>
        <w:rPr>
          <w:rFonts w:hint="eastAsia"/>
          <w:sz w:val="32"/>
          <w:szCs w:val="32"/>
        </w:rPr>
        <w:t>3</w:t>
      </w:r>
      <w:r>
        <w:rPr>
          <w:sz w:val="32"/>
          <w:szCs w:val="32"/>
        </w:rPr>
        <w:t>.</w:t>
      </w:r>
      <w:r>
        <w:rPr>
          <w:rFonts w:hint="eastAsia"/>
          <w:sz w:val="32"/>
          <w:szCs w:val="32"/>
        </w:rPr>
        <w:t>年度工作任务</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sz w:val="32"/>
          <w:szCs w:val="32"/>
        </w:rPr>
      </w:pPr>
      <w:r>
        <w:rPr>
          <w:rFonts w:hint="eastAsia" w:ascii="仿宋_GB2312" w:hAnsi="宋体" w:eastAsia="仿宋_GB2312"/>
          <w:sz w:val="32"/>
          <w:szCs w:val="32"/>
          <w:lang w:eastAsia="zh-CN"/>
        </w:rPr>
        <w:t>2024年</w:t>
      </w:r>
      <w:r>
        <w:rPr>
          <w:rFonts w:hint="eastAsia" w:ascii="仿宋_GB2312" w:hAnsi="宋体" w:eastAsia="仿宋_GB2312"/>
          <w:sz w:val="32"/>
          <w:szCs w:val="32"/>
        </w:rPr>
        <w:t>，</w:t>
      </w:r>
      <w:r>
        <w:rPr>
          <w:rFonts w:hint="eastAsia" w:ascii="仿宋_GB2312" w:hAnsi="宋体" w:eastAsia="仿宋_GB2312"/>
          <w:sz w:val="32"/>
          <w:szCs w:val="32"/>
          <w:lang w:eastAsia="zh-CN"/>
        </w:rPr>
        <w:t>我</w:t>
      </w:r>
      <w:r>
        <w:rPr>
          <w:rFonts w:hint="eastAsia" w:ascii="仿宋_GB2312" w:hAnsi="宋体" w:eastAsia="仿宋_GB2312"/>
          <w:sz w:val="32"/>
          <w:szCs w:val="32"/>
          <w:lang w:val="en-US" w:eastAsia="zh-CN"/>
        </w:rPr>
        <w:t>局继续</w:t>
      </w:r>
      <w:r>
        <w:rPr>
          <w:rFonts w:hint="eastAsia" w:ascii="仿宋_GB2312" w:hAnsi="宋体" w:eastAsia="仿宋_GB2312"/>
          <w:sz w:val="32"/>
          <w:szCs w:val="32"/>
        </w:rPr>
        <w:t>坚持以习近平新时代中国特色社会主义思想为指导，认真学习宣传贯彻党的二十大精神，深入贯彻习近平法治思想，以</w:t>
      </w:r>
      <w:r>
        <w:rPr>
          <w:rFonts w:hint="eastAsia" w:ascii="仿宋_GB2312" w:hAnsi="仿宋_GB2312" w:eastAsia="仿宋_GB2312" w:cs="仿宋_GB2312"/>
          <w:color w:val="auto"/>
          <w:sz w:val="32"/>
          <w:szCs w:val="32"/>
          <w:lang w:val="en-US" w:eastAsia="zh-CN"/>
        </w:rPr>
        <w:t>围绕副中心建设，提供高质量的法治服务</w:t>
      </w:r>
      <w:r>
        <w:rPr>
          <w:rFonts w:hint="eastAsia" w:ascii="仿宋_GB2312" w:hAnsi="宋体" w:eastAsia="仿宋_GB2312"/>
          <w:sz w:val="32"/>
          <w:szCs w:val="32"/>
        </w:rPr>
        <w:t>为主线，完成法制建设、公共法律服务、基层司法业务、律师公证管理、普法宣传、社区矫正等年度工作任务目标。</w:t>
      </w:r>
    </w:p>
    <w:p>
      <w:pPr>
        <w:pStyle w:val="19"/>
        <w:pageBreakBefore w:val="0"/>
        <w:numPr>
          <w:ilvl w:val="0"/>
          <w:numId w:val="1"/>
        </w:numPr>
        <w:kinsoku/>
        <w:wordWrap/>
        <w:overflowPunct/>
        <w:topLinePunct w:val="0"/>
        <w:autoSpaceDE/>
        <w:autoSpaceDN/>
        <w:bidi w:val="0"/>
        <w:spacing w:line="560" w:lineRule="exact"/>
        <w:ind w:firstLine="640" w:firstLineChars="200"/>
        <w:textAlignment w:val="auto"/>
        <w:rPr>
          <w:rFonts w:hint="eastAsia" w:ascii="楷体_GB2312" w:eastAsia="楷体_GB2312"/>
          <w:b w:val="0"/>
          <w:bCs w:val="0"/>
          <w:sz w:val="32"/>
          <w:szCs w:val="32"/>
        </w:rPr>
      </w:pPr>
      <w:r>
        <w:rPr>
          <w:rFonts w:hint="eastAsia" w:ascii="楷体_GB2312" w:eastAsia="楷体_GB2312"/>
          <w:b w:val="0"/>
          <w:bCs w:val="0"/>
          <w:sz w:val="32"/>
          <w:szCs w:val="32"/>
        </w:rPr>
        <w:t>部门整体绩效目标设立情况</w:t>
      </w:r>
    </w:p>
    <w:p>
      <w:pPr>
        <w:pStyle w:val="19"/>
        <w:pageBreakBefore w:val="0"/>
        <w:kinsoku/>
        <w:wordWrap/>
        <w:overflowPunct/>
        <w:topLinePunct w:val="0"/>
        <w:autoSpaceDE/>
        <w:autoSpaceDN/>
        <w:bidi w:val="0"/>
        <w:spacing w:line="560" w:lineRule="exact"/>
        <w:ind w:firstLine="640" w:firstLineChars="200"/>
        <w:textAlignment w:val="auto"/>
        <w:rPr>
          <w:rFonts w:ascii="仿宋_GB2312" w:hAnsi="宋体" w:eastAsia="仿宋_GB2312" w:cs="宋体"/>
          <w:b w:val="0"/>
          <w:bCs w:val="0"/>
          <w:color w:val="000000"/>
          <w:kern w:val="0"/>
          <w:sz w:val="32"/>
          <w:szCs w:val="32"/>
        </w:rPr>
      </w:pPr>
      <w:r>
        <w:rPr>
          <w:rFonts w:hint="eastAsia"/>
          <w:sz w:val="32"/>
          <w:szCs w:val="32"/>
          <w:lang w:val="en-US" w:eastAsia="zh-CN"/>
        </w:rPr>
        <w:t>2024年，我局</w:t>
      </w:r>
      <w:r>
        <w:rPr>
          <w:rFonts w:hint="eastAsia"/>
          <w:sz w:val="32"/>
          <w:szCs w:val="32"/>
        </w:rPr>
        <w:t>依据部门</w:t>
      </w:r>
      <w:r>
        <w:rPr>
          <w:rFonts w:hint="eastAsia"/>
          <w:sz w:val="32"/>
          <w:szCs w:val="32"/>
          <w:lang w:val="en-US" w:eastAsia="zh-CN"/>
        </w:rPr>
        <w:t>职责</w:t>
      </w:r>
      <w:r>
        <w:rPr>
          <w:rFonts w:hint="eastAsia"/>
          <w:sz w:val="32"/>
          <w:szCs w:val="32"/>
        </w:rPr>
        <w:t>及年度重点工作任务</w:t>
      </w:r>
      <w:r>
        <w:rPr>
          <w:rFonts w:hint="eastAsia"/>
          <w:sz w:val="32"/>
          <w:szCs w:val="32"/>
          <w:lang w:val="en-US" w:eastAsia="zh-CN"/>
        </w:rPr>
        <w:t>设置整体绩效目标，并</w:t>
      </w:r>
      <w:r>
        <w:rPr>
          <w:rFonts w:hint="eastAsia"/>
          <w:sz w:val="32"/>
          <w:szCs w:val="32"/>
        </w:rPr>
        <w:t>对绩效目标进行分解与细化，设置了相应的产出指标、效益指标及满意度指标。总体上，部门绩效目标内容较为全面、合理，分解后的绩效指标与我局部门职责、年度重点工作任务匹配性较好。</w:t>
      </w:r>
    </w:p>
    <w:p>
      <w:pPr>
        <w:pageBreakBefore w:val="0"/>
        <w:kinsoku/>
        <w:wordWrap/>
        <w:overflowPunct/>
        <w:topLinePunct w:val="0"/>
        <w:autoSpaceDE/>
        <w:autoSpaceDN/>
        <w:bidi w:val="0"/>
        <w:spacing w:line="560" w:lineRule="exact"/>
        <w:ind w:left="105" w:leftChars="50" w:firstLine="640" w:firstLineChars="200"/>
        <w:textAlignment w:val="auto"/>
        <w:rPr>
          <w:rFonts w:ascii="黑体" w:hAnsi="黑体" w:eastAsia="黑体" w:cs="宋体"/>
          <w:b w:val="0"/>
          <w:bCs w:val="0"/>
          <w:color w:val="000000"/>
          <w:kern w:val="0"/>
          <w:sz w:val="32"/>
          <w:szCs w:val="32"/>
        </w:rPr>
      </w:pPr>
      <w:r>
        <w:rPr>
          <w:rFonts w:hint="eastAsia" w:ascii="黑体" w:hAnsi="黑体" w:eastAsia="黑体" w:cs="宋体"/>
          <w:b w:val="0"/>
          <w:bCs w:val="0"/>
          <w:color w:val="000000"/>
          <w:kern w:val="0"/>
          <w:sz w:val="32"/>
          <w:szCs w:val="32"/>
        </w:rPr>
        <w:t>二</w:t>
      </w:r>
      <w:r>
        <w:rPr>
          <w:rFonts w:ascii="黑体" w:hAnsi="黑体" w:eastAsia="黑体" w:cs="宋体"/>
          <w:b w:val="0"/>
          <w:bCs w:val="0"/>
          <w:color w:val="000000"/>
          <w:kern w:val="0"/>
          <w:sz w:val="32"/>
          <w:szCs w:val="32"/>
        </w:rPr>
        <w:t>、</w:t>
      </w:r>
      <w:r>
        <w:rPr>
          <w:rFonts w:hint="eastAsia" w:ascii="黑体" w:hAnsi="黑体" w:eastAsia="黑体" w:cs="宋体"/>
          <w:b w:val="0"/>
          <w:bCs w:val="0"/>
          <w:color w:val="000000"/>
          <w:kern w:val="0"/>
          <w:sz w:val="32"/>
          <w:szCs w:val="32"/>
        </w:rPr>
        <w:t>当年</w:t>
      </w:r>
      <w:r>
        <w:rPr>
          <w:rFonts w:ascii="黑体" w:hAnsi="黑体" w:eastAsia="黑体" w:cs="宋体"/>
          <w:b w:val="0"/>
          <w:bCs w:val="0"/>
          <w:color w:val="000000"/>
          <w:kern w:val="0"/>
          <w:sz w:val="32"/>
          <w:szCs w:val="32"/>
        </w:rPr>
        <w:t>预算执行情况</w:t>
      </w:r>
    </w:p>
    <w:p>
      <w:pPr>
        <w:pageBreakBefore w:val="0"/>
        <w:kinsoku/>
        <w:wordWrap/>
        <w:overflowPunct/>
        <w:topLinePunct w:val="0"/>
        <w:autoSpaceDE/>
        <w:autoSpaceDN/>
        <w:bidi w:val="0"/>
        <w:spacing w:line="560" w:lineRule="exact"/>
        <w:ind w:left="105" w:leftChars="50" w:firstLine="640" w:firstLineChars="200"/>
        <w:textAlignment w:val="auto"/>
        <w:rPr>
          <w:rFonts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202</w:t>
      </w:r>
      <w:r>
        <w:rPr>
          <w:rFonts w:hint="eastAsia" w:ascii="仿宋_GB2312" w:hAnsi="宋体" w:eastAsia="仿宋_GB2312" w:cs="宋体"/>
          <w:b w:val="0"/>
          <w:bCs w:val="0"/>
          <w:color w:val="000000"/>
          <w:kern w:val="0"/>
          <w:sz w:val="32"/>
          <w:szCs w:val="32"/>
          <w:lang w:val="en-US" w:eastAsia="zh-CN"/>
        </w:rPr>
        <w:t>4</w:t>
      </w:r>
      <w:r>
        <w:rPr>
          <w:rFonts w:hint="eastAsia" w:ascii="仿宋_GB2312" w:hAnsi="宋体" w:eastAsia="仿宋_GB2312" w:cs="宋体"/>
          <w:b w:val="0"/>
          <w:bCs w:val="0"/>
          <w:color w:val="000000"/>
          <w:kern w:val="0"/>
          <w:sz w:val="32"/>
          <w:szCs w:val="32"/>
        </w:rPr>
        <w:t>年</w:t>
      </w:r>
      <w:r>
        <w:rPr>
          <w:rFonts w:ascii="仿宋_GB2312" w:hAnsi="宋体" w:eastAsia="仿宋_GB2312" w:cs="宋体"/>
          <w:b w:val="0"/>
          <w:bCs w:val="0"/>
          <w:color w:val="000000"/>
          <w:kern w:val="0"/>
          <w:sz w:val="32"/>
          <w:szCs w:val="32"/>
        </w:rPr>
        <w:t>全年</w:t>
      </w:r>
      <w:r>
        <w:rPr>
          <w:rFonts w:hint="eastAsia" w:ascii="仿宋_GB2312" w:hAnsi="宋体" w:eastAsia="仿宋_GB2312" w:cs="宋体"/>
          <w:b w:val="0"/>
          <w:bCs w:val="0"/>
          <w:color w:val="000000"/>
          <w:kern w:val="0"/>
          <w:sz w:val="32"/>
          <w:szCs w:val="32"/>
        </w:rPr>
        <w:t>预算数</w:t>
      </w:r>
      <w:r>
        <w:rPr>
          <w:rFonts w:hint="eastAsia" w:ascii="仿宋_GB2312" w:hAnsi="仿宋" w:eastAsia="仿宋_GB2312"/>
          <w:strike w:val="0"/>
          <w:dstrike w:val="0"/>
          <w:sz w:val="32"/>
          <w:szCs w:val="32"/>
          <w:highlight w:val="none"/>
          <w:u w:val="none"/>
        </w:rPr>
        <w:t>6078.58万元</w:t>
      </w:r>
      <w:r>
        <w:rPr>
          <w:rFonts w:ascii="仿宋_GB2312" w:hAnsi="宋体" w:eastAsia="仿宋_GB2312" w:cs="宋体"/>
          <w:b w:val="0"/>
          <w:bCs w:val="0"/>
          <w:color w:val="000000"/>
          <w:kern w:val="0"/>
          <w:sz w:val="32"/>
          <w:szCs w:val="32"/>
        </w:rPr>
        <w:t>，</w:t>
      </w:r>
      <w:r>
        <w:rPr>
          <w:rFonts w:hint="eastAsia" w:ascii="仿宋_GB2312" w:hAnsi="宋体" w:eastAsia="仿宋_GB2312" w:cs="宋体"/>
          <w:b w:val="0"/>
          <w:bCs w:val="0"/>
          <w:color w:val="000000"/>
          <w:kern w:val="0"/>
          <w:sz w:val="32"/>
          <w:szCs w:val="32"/>
        </w:rPr>
        <w:t>其中</w:t>
      </w:r>
      <w:r>
        <w:rPr>
          <w:rFonts w:ascii="仿宋_GB2312" w:hAnsi="宋体" w:eastAsia="仿宋_GB2312" w:cs="宋体"/>
          <w:b w:val="0"/>
          <w:bCs w:val="0"/>
          <w:color w:val="000000"/>
          <w:kern w:val="0"/>
          <w:sz w:val="32"/>
          <w:szCs w:val="32"/>
        </w:rPr>
        <w:t>，基本</w:t>
      </w:r>
      <w:r>
        <w:rPr>
          <w:rFonts w:hint="eastAsia" w:ascii="仿宋_GB2312" w:hAnsi="宋体" w:eastAsia="仿宋_GB2312" w:cs="宋体"/>
          <w:b w:val="0"/>
          <w:bCs w:val="0"/>
          <w:color w:val="000000"/>
          <w:kern w:val="0"/>
          <w:sz w:val="32"/>
          <w:szCs w:val="32"/>
        </w:rPr>
        <w:t>支出</w:t>
      </w:r>
      <w:r>
        <w:rPr>
          <w:rFonts w:ascii="仿宋_GB2312" w:hAnsi="宋体" w:eastAsia="仿宋_GB2312" w:cs="宋体"/>
          <w:b w:val="0"/>
          <w:bCs w:val="0"/>
          <w:color w:val="000000"/>
          <w:kern w:val="0"/>
          <w:sz w:val="32"/>
          <w:szCs w:val="32"/>
        </w:rPr>
        <w:t>预算数</w:t>
      </w:r>
      <w:r>
        <w:rPr>
          <w:rFonts w:hint="eastAsia" w:ascii="仿宋_GB2312" w:hAnsi="宋体" w:eastAsia="仿宋_GB2312" w:cs="宋体"/>
          <w:b w:val="0"/>
          <w:bCs w:val="0"/>
          <w:color w:val="000000"/>
          <w:kern w:val="0"/>
          <w:sz w:val="32"/>
          <w:szCs w:val="32"/>
        </w:rPr>
        <w:t>3120.19</w:t>
      </w:r>
      <w:r>
        <w:rPr>
          <w:rFonts w:ascii="仿宋_GB2312" w:hAnsi="宋体" w:eastAsia="仿宋_GB2312" w:cs="宋体"/>
          <w:b w:val="0"/>
          <w:bCs w:val="0"/>
          <w:color w:val="000000"/>
          <w:kern w:val="0"/>
          <w:sz w:val="32"/>
          <w:szCs w:val="32"/>
        </w:rPr>
        <w:t>万元，</w:t>
      </w:r>
      <w:r>
        <w:rPr>
          <w:rFonts w:hint="eastAsia" w:ascii="仿宋_GB2312" w:hAnsi="宋体" w:eastAsia="仿宋_GB2312" w:cs="宋体"/>
          <w:b w:val="0"/>
          <w:bCs w:val="0"/>
          <w:color w:val="000000"/>
          <w:kern w:val="0"/>
          <w:sz w:val="32"/>
          <w:szCs w:val="32"/>
        </w:rPr>
        <w:t>项目支出预算数2958.39</w:t>
      </w:r>
      <w:r>
        <w:rPr>
          <w:rFonts w:ascii="仿宋_GB2312" w:hAnsi="宋体" w:eastAsia="仿宋_GB2312" w:cs="宋体"/>
          <w:b w:val="0"/>
          <w:bCs w:val="0"/>
          <w:color w:val="000000"/>
          <w:kern w:val="0"/>
          <w:sz w:val="32"/>
          <w:szCs w:val="32"/>
        </w:rPr>
        <w:t>万元</w:t>
      </w:r>
      <w:r>
        <w:rPr>
          <w:rFonts w:hint="eastAsia" w:ascii="仿宋_GB2312" w:hAnsi="宋体" w:eastAsia="仿宋_GB2312" w:cs="宋体"/>
          <w:b w:val="0"/>
          <w:bCs w:val="0"/>
          <w:color w:val="000000"/>
          <w:kern w:val="0"/>
          <w:sz w:val="32"/>
          <w:szCs w:val="32"/>
        </w:rPr>
        <w:t>。</w:t>
      </w:r>
      <w:r>
        <w:rPr>
          <w:rFonts w:ascii="仿宋_GB2312" w:hAnsi="宋体" w:eastAsia="仿宋_GB2312" w:cs="宋体"/>
          <w:b w:val="0"/>
          <w:bCs w:val="0"/>
          <w:color w:val="000000"/>
          <w:kern w:val="0"/>
          <w:sz w:val="32"/>
          <w:szCs w:val="32"/>
        </w:rPr>
        <w:t>资金总体</w:t>
      </w:r>
      <w:r>
        <w:rPr>
          <w:rFonts w:hint="eastAsia" w:ascii="仿宋_GB2312" w:hAnsi="宋体" w:eastAsia="仿宋_GB2312" w:cs="宋体"/>
          <w:b w:val="0"/>
          <w:bCs w:val="0"/>
          <w:color w:val="000000"/>
          <w:kern w:val="0"/>
          <w:sz w:val="32"/>
          <w:szCs w:val="32"/>
        </w:rPr>
        <w:t>支出</w:t>
      </w:r>
      <w:r>
        <w:rPr>
          <w:rFonts w:hint="eastAsia" w:ascii="仿宋_GB2312" w:hAnsi="仿宋" w:eastAsia="仿宋_GB2312"/>
          <w:sz w:val="32"/>
          <w:szCs w:val="32"/>
          <w:highlight w:val="none"/>
          <w:u w:val="none"/>
        </w:rPr>
        <w:t>5386.12</w:t>
      </w:r>
      <w:r>
        <w:rPr>
          <w:rFonts w:ascii="仿宋_GB2312" w:hAnsi="宋体" w:eastAsia="仿宋_GB2312" w:cs="宋体"/>
          <w:b w:val="0"/>
          <w:bCs w:val="0"/>
          <w:color w:val="000000"/>
          <w:kern w:val="0"/>
          <w:sz w:val="32"/>
          <w:szCs w:val="32"/>
        </w:rPr>
        <w:t>万元，其中，基本支出</w:t>
      </w:r>
      <w:r>
        <w:rPr>
          <w:rFonts w:hint="eastAsia" w:ascii="仿宋_GB2312" w:hAnsi="宋体" w:eastAsia="仿宋_GB2312" w:cs="宋体"/>
          <w:b w:val="0"/>
          <w:bCs w:val="0"/>
          <w:color w:val="000000"/>
          <w:kern w:val="0"/>
          <w:sz w:val="32"/>
          <w:szCs w:val="32"/>
          <w:lang w:val="en-US" w:eastAsia="zh-CN"/>
        </w:rPr>
        <w:t>3144.00</w:t>
      </w:r>
      <w:r>
        <w:rPr>
          <w:rFonts w:ascii="仿宋_GB2312" w:hAnsi="宋体" w:eastAsia="仿宋_GB2312" w:cs="宋体"/>
          <w:b w:val="0"/>
          <w:bCs w:val="0"/>
          <w:color w:val="000000"/>
          <w:kern w:val="0"/>
          <w:sz w:val="32"/>
          <w:szCs w:val="32"/>
        </w:rPr>
        <w:t>万元，项目</w:t>
      </w:r>
      <w:r>
        <w:rPr>
          <w:rFonts w:hint="eastAsia" w:ascii="仿宋_GB2312" w:hAnsi="宋体" w:eastAsia="仿宋_GB2312" w:cs="宋体"/>
          <w:b w:val="0"/>
          <w:bCs w:val="0"/>
          <w:color w:val="000000"/>
          <w:kern w:val="0"/>
          <w:sz w:val="32"/>
          <w:szCs w:val="32"/>
        </w:rPr>
        <w:t>支出</w:t>
      </w:r>
      <w:r>
        <w:rPr>
          <w:rFonts w:hint="eastAsia" w:ascii="仿宋_GB2312" w:hAnsi="宋体" w:eastAsia="仿宋_GB2312" w:cs="宋体"/>
          <w:b w:val="0"/>
          <w:bCs w:val="0"/>
          <w:color w:val="000000"/>
          <w:kern w:val="0"/>
          <w:sz w:val="32"/>
          <w:szCs w:val="32"/>
          <w:lang w:val="en-US" w:eastAsia="zh-CN"/>
        </w:rPr>
        <w:t>2242.12</w:t>
      </w:r>
      <w:r>
        <w:rPr>
          <w:rFonts w:ascii="仿宋_GB2312" w:hAnsi="宋体" w:eastAsia="仿宋_GB2312" w:cs="宋体"/>
          <w:b w:val="0"/>
          <w:bCs w:val="0"/>
          <w:color w:val="000000"/>
          <w:kern w:val="0"/>
          <w:sz w:val="32"/>
          <w:szCs w:val="32"/>
        </w:rPr>
        <w:t>万元。</w:t>
      </w:r>
      <w:r>
        <w:rPr>
          <w:rFonts w:hint="eastAsia" w:ascii="仿宋_GB2312" w:hAnsi="宋体" w:eastAsia="仿宋_GB2312" w:cs="宋体"/>
          <w:b w:val="0"/>
          <w:bCs w:val="0"/>
          <w:color w:val="000000"/>
          <w:kern w:val="0"/>
          <w:sz w:val="32"/>
          <w:szCs w:val="32"/>
        </w:rPr>
        <w:t>预算</w:t>
      </w:r>
      <w:r>
        <w:rPr>
          <w:rFonts w:ascii="仿宋_GB2312" w:hAnsi="宋体" w:eastAsia="仿宋_GB2312" w:cs="宋体"/>
          <w:b w:val="0"/>
          <w:bCs w:val="0"/>
          <w:color w:val="000000"/>
          <w:kern w:val="0"/>
          <w:sz w:val="32"/>
          <w:szCs w:val="32"/>
        </w:rPr>
        <w:t>执行率为</w:t>
      </w:r>
      <w:r>
        <w:rPr>
          <w:rFonts w:hint="eastAsia" w:ascii="仿宋_GB2312" w:hAnsi="宋体" w:eastAsia="仿宋_GB2312" w:cs="宋体"/>
          <w:b w:val="0"/>
          <w:bCs w:val="0"/>
          <w:color w:val="000000"/>
          <w:kern w:val="0"/>
          <w:sz w:val="32"/>
          <w:szCs w:val="32"/>
          <w:lang w:val="en-US" w:eastAsia="zh-CN"/>
        </w:rPr>
        <w:t>88.61%</w:t>
      </w:r>
      <w:r>
        <w:rPr>
          <w:rFonts w:hint="eastAsia" w:ascii="仿宋_GB2312" w:hAnsi="宋体" w:eastAsia="仿宋_GB2312" w:cs="宋体"/>
          <w:b w:val="0"/>
          <w:bCs w:val="0"/>
          <w:color w:val="000000"/>
          <w:kern w:val="0"/>
          <w:sz w:val="32"/>
          <w:szCs w:val="32"/>
        </w:rPr>
        <w:t>。</w:t>
      </w:r>
    </w:p>
    <w:p>
      <w:pPr>
        <w:pageBreakBefore w:val="0"/>
        <w:kinsoku/>
        <w:wordWrap/>
        <w:overflowPunct/>
        <w:topLinePunct w:val="0"/>
        <w:autoSpaceDE/>
        <w:autoSpaceDN/>
        <w:bidi w:val="0"/>
        <w:spacing w:line="560" w:lineRule="exact"/>
        <w:ind w:left="105" w:leftChars="50" w:firstLine="640" w:firstLineChars="200"/>
        <w:textAlignment w:val="auto"/>
        <w:rPr>
          <w:rFonts w:ascii="黑体" w:hAnsi="黑体" w:eastAsia="黑体" w:cs="宋体"/>
          <w:b w:val="0"/>
          <w:bCs w:val="0"/>
          <w:color w:val="000000"/>
          <w:kern w:val="0"/>
          <w:sz w:val="32"/>
          <w:szCs w:val="32"/>
        </w:rPr>
      </w:pPr>
      <w:r>
        <w:rPr>
          <w:rFonts w:hint="eastAsia" w:ascii="黑体" w:hAnsi="黑体" w:eastAsia="黑体" w:cs="宋体"/>
          <w:b w:val="0"/>
          <w:bCs w:val="0"/>
          <w:color w:val="000000"/>
          <w:kern w:val="0"/>
          <w:sz w:val="32"/>
          <w:szCs w:val="32"/>
        </w:rPr>
        <w:t>三</w:t>
      </w:r>
      <w:r>
        <w:rPr>
          <w:rFonts w:ascii="黑体" w:hAnsi="黑体" w:eastAsia="黑体" w:cs="宋体"/>
          <w:b w:val="0"/>
          <w:bCs w:val="0"/>
          <w:color w:val="000000"/>
          <w:kern w:val="0"/>
          <w:sz w:val="32"/>
          <w:szCs w:val="32"/>
        </w:rPr>
        <w:t>、整体绩效目标实现情况</w:t>
      </w:r>
    </w:p>
    <w:p>
      <w:pPr>
        <w:pageBreakBefore w:val="0"/>
        <w:kinsoku/>
        <w:wordWrap/>
        <w:overflowPunct/>
        <w:topLinePunct w:val="0"/>
        <w:autoSpaceDE/>
        <w:autoSpaceDN/>
        <w:bidi w:val="0"/>
        <w:spacing w:line="560" w:lineRule="exact"/>
        <w:ind w:left="105" w:leftChars="50" w:firstLine="640" w:firstLineChars="200"/>
        <w:textAlignment w:val="auto"/>
        <w:rPr>
          <w:rFonts w:ascii="楷体_GB2312" w:eastAsia="楷体_GB2312"/>
          <w:b w:val="0"/>
          <w:bCs w:val="0"/>
          <w:sz w:val="32"/>
          <w:szCs w:val="32"/>
        </w:rPr>
      </w:pPr>
      <w:r>
        <w:rPr>
          <w:rFonts w:hint="eastAsia" w:ascii="楷体_GB2312" w:eastAsia="楷体_GB2312"/>
          <w:b w:val="0"/>
          <w:bCs w:val="0"/>
          <w:sz w:val="32"/>
          <w:szCs w:val="32"/>
        </w:rPr>
        <w:t>（一）产出完成情况分析</w:t>
      </w:r>
    </w:p>
    <w:p>
      <w:pPr>
        <w:pageBreakBefore w:val="0"/>
        <w:kinsoku/>
        <w:wordWrap/>
        <w:overflowPunct/>
        <w:topLinePunct w:val="0"/>
        <w:autoSpaceDE/>
        <w:autoSpaceDN/>
        <w:bidi w:val="0"/>
        <w:spacing w:line="560" w:lineRule="exact"/>
        <w:ind w:left="105" w:leftChars="50" w:firstLine="640" w:firstLineChars="200"/>
        <w:textAlignment w:val="auto"/>
        <w:rPr>
          <w:rFonts w:hint="eastAsia"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1.产出数量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bookmarkStart w:id="0" w:name="OLE_LINK1"/>
      <w:r>
        <w:rPr>
          <w:rFonts w:hint="eastAsia" w:ascii="仿宋_GB2312" w:hAnsi="宋体" w:eastAsia="仿宋_GB2312"/>
          <w:sz w:val="32"/>
          <w:szCs w:val="32"/>
          <w:lang w:eastAsia="zh-CN"/>
        </w:rPr>
        <w:t>2024年</w:t>
      </w:r>
      <w:r>
        <w:rPr>
          <w:rFonts w:hint="eastAsia" w:ascii="仿宋_GB2312" w:hAnsi="宋体" w:eastAsia="仿宋_GB2312"/>
          <w:sz w:val="32"/>
          <w:szCs w:val="32"/>
        </w:rPr>
        <w:t>，我局</w:t>
      </w:r>
      <w:r>
        <w:rPr>
          <w:rFonts w:hint="eastAsia" w:ascii="仿宋_GB2312" w:hAnsi="宋体" w:eastAsia="仿宋_GB2312"/>
          <w:sz w:val="32"/>
          <w:szCs w:val="32"/>
          <w:lang w:val="en-US" w:eastAsia="zh-CN"/>
        </w:rPr>
        <w:t>全年共对区政府文件和决策出具合法性审查意见199件，提出意见建议95条，审核区委、区政府重大合同、协议55件，为区属部门出具征求意见函138件。</w:t>
      </w:r>
      <w:bookmarkEnd w:id="0"/>
      <w:r>
        <w:rPr>
          <w:rFonts w:hint="eastAsia" w:ascii="仿宋_GB2312" w:hAnsi="宋体" w:eastAsia="仿宋_GB2312"/>
          <w:sz w:val="32"/>
          <w:szCs w:val="32"/>
          <w:lang w:val="en-US" w:eastAsia="zh-CN"/>
        </w:rPr>
        <w:t>收到行政复议申请1628件，审结1268件；以区政府为被申请人的复议案件共47件，办理以区政府为被告的行政诉讼案件301件。法援中心共受理法律援助案件2115件。</w:t>
      </w:r>
      <w:r>
        <w:rPr>
          <w:rFonts w:hint="eastAsia" w:ascii="仿宋_GB2312" w:hAnsi="仿宋_GB2312" w:eastAsia="仿宋_GB2312" w:cs="仿宋_GB2312"/>
          <w:b w:val="0"/>
          <w:bCs w:val="0"/>
          <w:color w:val="auto"/>
          <w:sz w:val="32"/>
          <w:szCs w:val="32"/>
          <w:lang w:val="en-US" w:eastAsia="zh-CN"/>
        </w:rPr>
        <w:t>全区各级各类调解组织共开展矛盾纠纷排查25530次，人民调解52160件(同比增长8215件、18.70%)，办理司法确认2646件，行政调解1665件。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 xml:space="preserve">产出质量 </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我局202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年部门工作完成质量较好。规范性文件做到应审尽审，行政诉讼案件办理与工作要求相符，法律援助相关办案补贴发放符合相关办法要求，各类宣传工作实际覆盖面、宣传信息发布频次与计划相符，</w:t>
      </w:r>
      <w:r>
        <w:rPr>
          <w:rFonts w:hint="eastAsia" w:ascii="仿宋_GB2312" w:hAnsi="宋体" w:eastAsia="仿宋_GB2312"/>
          <w:sz w:val="32"/>
          <w:szCs w:val="32"/>
          <w:lang w:val="en-US" w:eastAsia="zh-CN"/>
        </w:rPr>
        <w:t>公共法律服务中心及中途之家运维保障率达到100%，</w:t>
      </w:r>
      <w:r>
        <w:rPr>
          <w:rFonts w:hint="eastAsia" w:ascii="仿宋_GB2312" w:hAnsi="宋体" w:eastAsia="仿宋_GB2312"/>
          <w:sz w:val="32"/>
          <w:szCs w:val="32"/>
        </w:rPr>
        <w:t xml:space="preserve">各项质量指标完成情况达到预期目标。 </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 xml:space="preserve">产出进度 </w:t>
      </w:r>
    </w:p>
    <w:p>
      <w:pPr>
        <w:pStyle w:val="18"/>
        <w:pageBreakBefore w:val="0"/>
        <w:kinsoku/>
        <w:wordWrap/>
        <w:overflowPunct/>
        <w:topLinePunct w:val="0"/>
        <w:autoSpaceDE/>
        <w:autoSpaceDN/>
        <w:bidi w:val="0"/>
        <w:spacing w:line="560" w:lineRule="exact"/>
        <w:ind w:firstLine="640" w:firstLineChars="200"/>
        <w:textAlignment w:val="auto"/>
        <w:rPr>
          <w:rFonts w:ascii="仿宋_GB2312" w:hAnsi="宋体" w:eastAsia="仿宋_GB2312" w:cs="宋体"/>
          <w:b w:val="0"/>
          <w:bCs w:val="0"/>
          <w:color w:val="000000"/>
          <w:kern w:val="0"/>
          <w:sz w:val="32"/>
          <w:szCs w:val="32"/>
        </w:rPr>
      </w:pPr>
      <w:r>
        <w:rPr>
          <w:rFonts w:hint="eastAsia" w:ascii="仿宋_GB2312" w:hAnsi="宋体" w:eastAsia="仿宋_GB2312"/>
          <w:sz w:val="32"/>
          <w:szCs w:val="32"/>
        </w:rPr>
        <w:t>我局202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年部门工作任务</w:t>
      </w:r>
      <w:r>
        <w:rPr>
          <w:rFonts w:hint="eastAsia" w:ascii="仿宋_GB2312" w:hAnsi="宋体" w:eastAsia="仿宋_GB2312"/>
          <w:sz w:val="32"/>
          <w:szCs w:val="32"/>
          <w:lang w:eastAsia="zh-CN"/>
        </w:rPr>
        <w:t>基本</w:t>
      </w:r>
      <w:r>
        <w:rPr>
          <w:rFonts w:hint="eastAsia" w:ascii="仿宋_GB2312" w:hAnsi="宋体" w:eastAsia="仿宋_GB2312"/>
          <w:sz w:val="32"/>
          <w:szCs w:val="32"/>
        </w:rPr>
        <w:t>按</w:t>
      </w:r>
      <w:r>
        <w:rPr>
          <w:rFonts w:hint="eastAsia" w:ascii="仿宋_GB2312" w:hAnsi="宋体" w:eastAsia="仿宋_GB2312"/>
          <w:sz w:val="32"/>
          <w:szCs w:val="32"/>
          <w:lang w:val="en-US" w:eastAsia="zh-CN"/>
        </w:rPr>
        <w:t>合同约定时间履行，</w:t>
      </w:r>
      <w:r>
        <w:rPr>
          <w:rFonts w:hint="eastAsia" w:ascii="仿宋_GB2312" w:hAnsi="宋体" w:eastAsia="仿宋_GB2312"/>
          <w:sz w:val="32"/>
          <w:szCs w:val="32"/>
        </w:rPr>
        <w:t>总体符合计划进度要求</w:t>
      </w:r>
      <w:r>
        <w:rPr>
          <w:rFonts w:hint="eastAsia"/>
          <w:sz w:val="32"/>
          <w:szCs w:val="32"/>
          <w:lang w:eastAsia="zh-CN"/>
        </w:rPr>
        <w:t>，</w:t>
      </w:r>
      <w:r>
        <w:rPr>
          <w:rFonts w:hint="eastAsia" w:hAnsi="仿宋_GB2312" w:cs="仿宋_GB2312"/>
          <w:sz w:val="32"/>
          <w:szCs w:val="32"/>
        </w:rPr>
        <w:t>基本支出及各项目支出均控制在年度预算范围内</w:t>
      </w:r>
      <w:r>
        <w:rPr>
          <w:rFonts w:hint="eastAsia" w:hAnsi="仿宋_GB2312" w:cs="仿宋_GB2312"/>
          <w:sz w:val="32"/>
          <w:szCs w:val="32"/>
          <w:lang w:eastAsia="zh-CN"/>
        </w:rPr>
        <w:t>。</w:t>
      </w:r>
      <w:r>
        <w:rPr>
          <w:rFonts w:hint="eastAsia" w:ascii="仿宋_GB2312" w:hAnsi="宋体" w:eastAsia="仿宋_GB2312" w:cs="宋体"/>
          <w:b w:val="0"/>
          <w:bCs w:val="0"/>
          <w:color w:val="000000"/>
          <w:kern w:val="0"/>
          <w:sz w:val="32"/>
          <w:szCs w:val="32"/>
        </w:rPr>
        <w:t xml:space="preserve">                        </w:t>
      </w:r>
    </w:p>
    <w:p>
      <w:pPr>
        <w:pageBreakBefore w:val="0"/>
        <w:kinsoku/>
        <w:wordWrap/>
        <w:overflowPunct/>
        <w:topLinePunct w:val="0"/>
        <w:autoSpaceDE/>
        <w:autoSpaceDN/>
        <w:bidi w:val="0"/>
        <w:spacing w:line="560" w:lineRule="exact"/>
        <w:ind w:left="105" w:leftChars="50" w:firstLine="640" w:firstLineChars="200"/>
        <w:textAlignment w:val="auto"/>
        <w:rPr>
          <w:rFonts w:ascii="楷体_GB2312" w:eastAsia="楷体_GB2312"/>
          <w:b w:val="0"/>
          <w:bCs w:val="0"/>
          <w:sz w:val="32"/>
          <w:szCs w:val="32"/>
        </w:rPr>
      </w:pPr>
      <w:r>
        <w:rPr>
          <w:rFonts w:hint="eastAsia" w:ascii="楷体_GB2312" w:eastAsia="楷体_GB2312"/>
          <w:b w:val="0"/>
          <w:bCs w:val="0"/>
          <w:sz w:val="32"/>
          <w:szCs w:val="32"/>
        </w:rPr>
        <w:t>（二）效果</w:t>
      </w:r>
      <w:r>
        <w:rPr>
          <w:rFonts w:ascii="楷体_GB2312" w:eastAsia="楷体_GB2312"/>
          <w:b w:val="0"/>
          <w:bCs w:val="0"/>
          <w:sz w:val="32"/>
          <w:szCs w:val="32"/>
        </w:rPr>
        <w:t>实现情况分析</w:t>
      </w:r>
    </w:p>
    <w:p>
      <w:pPr>
        <w:pageBreakBefore w:val="0"/>
        <w:kinsoku/>
        <w:wordWrap/>
        <w:overflowPunct/>
        <w:topLinePunct w:val="0"/>
        <w:autoSpaceDE/>
        <w:autoSpaceDN/>
        <w:bidi w:val="0"/>
        <w:spacing w:line="560" w:lineRule="exact"/>
        <w:ind w:left="105" w:leftChars="50" w:firstLine="640" w:firstLineChars="200"/>
        <w:textAlignment w:val="auto"/>
        <w:rPr>
          <w:rFonts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1.经济</w:t>
      </w:r>
      <w:r>
        <w:rPr>
          <w:rFonts w:ascii="仿宋_GB2312" w:hAnsi="宋体" w:eastAsia="仿宋_GB2312" w:cs="宋体"/>
          <w:b w:val="0"/>
          <w:bCs w:val="0"/>
          <w:color w:val="000000"/>
          <w:kern w:val="0"/>
          <w:sz w:val="32"/>
          <w:szCs w:val="32"/>
        </w:rPr>
        <w:t>效益</w:t>
      </w:r>
    </w:p>
    <w:p>
      <w:pPr>
        <w:pageBreakBefore w:val="0"/>
        <w:kinsoku/>
        <w:wordWrap/>
        <w:overflowPunct/>
        <w:topLinePunct w:val="0"/>
        <w:autoSpaceDE/>
        <w:autoSpaceDN/>
        <w:bidi w:val="0"/>
        <w:spacing w:line="560" w:lineRule="exact"/>
        <w:ind w:left="105" w:leftChars="50" w:firstLine="640" w:firstLineChars="200"/>
        <w:textAlignment w:val="auto"/>
        <w:rPr>
          <w:rFonts w:hint="eastAsia"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我局年度工作开展不直接对经济发展产生影响。但我局向市民提供法律援助</w:t>
      </w:r>
      <w:r>
        <w:rPr>
          <w:rFonts w:hint="eastAsia" w:ascii="仿宋_GB2312" w:hAnsi="宋体" w:eastAsia="仿宋_GB2312" w:cs="宋体"/>
          <w:b w:val="0"/>
          <w:bCs w:val="0"/>
          <w:color w:val="000000"/>
          <w:kern w:val="0"/>
          <w:sz w:val="32"/>
          <w:szCs w:val="32"/>
          <w:lang w:eastAsia="zh-CN"/>
        </w:rPr>
        <w:t>、</w:t>
      </w:r>
      <w:r>
        <w:rPr>
          <w:rFonts w:hint="eastAsia" w:ascii="仿宋_GB2312" w:hAnsi="宋体" w:eastAsia="仿宋_GB2312" w:cs="宋体"/>
          <w:b w:val="0"/>
          <w:bCs w:val="0"/>
          <w:color w:val="000000"/>
          <w:kern w:val="0"/>
          <w:sz w:val="32"/>
          <w:szCs w:val="32"/>
          <w:lang w:val="en-US" w:eastAsia="zh-CN"/>
        </w:rPr>
        <w:t>人民调解</w:t>
      </w:r>
      <w:r>
        <w:rPr>
          <w:rFonts w:hint="eastAsia" w:ascii="仿宋_GB2312" w:hAnsi="宋体" w:eastAsia="仿宋_GB2312" w:cs="宋体"/>
          <w:b w:val="0"/>
          <w:bCs w:val="0"/>
          <w:color w:val="000000"/>
          <w:kern w:val="0"/>
          <w:sz w:val="32"/>
          <w:szCs w:val="32"/>
        </w:rPr>
        <w:t>等公共法律服务，能够在一定程度上为受援人挽回经济损失，保障弱势群体</w:t>
      </w:r>
      <w:r>
        <w:rPr>
          <w:rFonts w:hint="eastAsia" w:ascii="仿宋_GB2312" w:hAnsi="宋体" w:eastAsia="仿宋_GB2312" w:cs="宋体"/>
          <w:b w:val="0"/>
          <w:bCs w:val="0"/>
          <w:color w:val="000000"/>
          <w:kern w:val="0"/>
          <w:sz w:val="32"/>
          <w:szCs w:val="32"/>
          <w:lang w:val="en-US" w:eastAsia="zh-CN"/>
        </w:rPr>
        <w:t>权利</w:t>
      </w:r>
      <w:r>
        <w:rPr>
          <w:rFonts w:hint="eastAsia" w:ascii="仿宋_GB2312" w:hAnsi="宋体" w:eastAsia="仿宋_GB2312" w:cs="宋体"/>
          <w:b w:val="0"/>
          <w:bCs w:val="0"/>
          <w:color w:val="000000"/>
          <w:kern w:val="0"/>
          <w:sz w:val="32"/>
          <w:szCs w:val="32"/>
        </w:rPr>
        <w:t>。</w:t>
      </w:r>
    </w:p>
    <w:p>
      <w:pPr>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lang w:val="en-US" w:eastAsia="zh-CN"/>
        </w:rPr>
        <w:t>2.</w:t>
      </w:r>
      <w:r>
        <w:rPr>
          <w:rFonts w:hint="eastAsia" w:ascii="仿宋_GB2312" w:hAnsi="宋体" w:eastAsia="仿宋_GB2312" w:cs="宋体"/>
          <w:b w:val="0"/>
          <w:bCs w:val="0"/>
          <w:color w:val="000000"/>
          <w:kern w:val="0"/>
          <w:sz w:val="32"/>
          <w:szCs w:val="32"/>
        </w:rPr>
        <w:t>社会效益</w:t>
      </w:r>
    </w:p>
    <w:p>
      <w:pPr>
        <w:pageBreakBefore w:val="0"/>
        <w:kinsoku/>
        <w:wordWrap/>
        <w:overflowPunct/>
        <w:topLinePunct w:val="0"/>
        <w:autoSpaceDE/>
        <w:autoSpaceDN/>
        <w:bidi w:val="0"/>
        <w:spacing w:line="560" w:lineRule="exact"/>
        <w:ind w:left="105" w:leftChars="50" w:firstLine="640" w:firstLineChars="200"/>
        <w:textAlignment w:val="auto"/>
        <w:rPr>
          <w:rFonts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一是持续推进轻微违法免罚和初次违法慎罚制度</w:t>
      </w:r>
      <w:r>
        <w:rPr>
          <w:rFonts w:hint="eastAsia" w:ascii="仿宋_GB2312" w:hAnsi="宋体" w:eastAsia="仿宋_GB2312" w:cs="宋体"/>
          <w:b w:val="0"/>
          <w:bCs w:val="0"/>
          <w:color w:val="000000"/>
          <w:kern w:val="0"/>
          <w:sz w:val="32"/>
          <w:szCs w:val="32"/>
          <w:lang w:eastAsia="zh-CN"/>
        </w:rPr>
        <w:t>，</w:t>
      </w:r>
      <w:r>
        <w:rPr>
          <w:rFonts w:hint="eastAsia" w:ascii="仿宋_GB2312" w:hAnsi="宋体" w:eastAsia="仿宋_GB2312" w:cs="宋体"/>
          <w:b w:val="0"/>
          <w:bCs w:val="0"/>
          <w:color w:val="000000"/>
          <w:kern w:val="0"/>
          <w:sz w:val="32"/>
          <w:szCs w:val="32"/>
        </w:rPr>
        <w:t>不断优化法治化营商环境，2024年全区各行政执法机关共作出不予行政处罚案件1.91万件，切实提高市场主体和人民群众的获得感和满意度。</w:t>
      </w:r>
      <w:r>
        <w:rPr>
          <w:rFonts w:hint="eastAsia" w:ascii="仿宋_GB2312" w:hAnsi="宋体" w:eastAsia="仿宋_GB2312" w:cs="宋体"/>
          <w:b w:val="0"/>
          <w:bCs w:val="0"/>
          <w:color w:val="000000"/>
          <w:kern w:val="0"/>
          <w:sz w:val="32"/>
          <w:szCs w:val="32"/>
          <w:lang w:val="en-US" w:eastAsia="zh-CN"/>
        </w:rPr>
        <w:t>二</w:t>
      </w:r>
      <w:r>
        <w:rPr>
          <w:rFonts w:hint="eastAsia" w:ascii="仿宋_GB2312" w:hAnsi="宋体" w:eastAsia="仿宋_GB2312" w:cs="宋体"/>
          <w:b w:val="0"/>
          <w:bCs w:val="0"/>
          <w:color w:val="000000"/>
          <w:kern w:val="0"/>
          <w:sz w:val="32"/>
          <w:szCs w:val="32"/>
        </w:rPr>
        <w:t>是持续提升复议应诉工作质量。通过互联网、书面、口头以及向作出行政处罚决定的行政机关提交等多种申请方式，进一步畅通申请渠道，为人民群众申请行政复议提供便利，打造形象鲜明、便捷亲民的行政复议“窗口”。三是发挥好法治固根本利长远的保障作用。制定《通州区司法局关于组建“副中心有我·法律服务指导员”的工作方案》，推行“助企十条”服务举措，选拔15位政治素质过硬、业务能力精湛的年轻干部组建首批助企法律服务指导员队伍，探索联动共建新模式，与重点产业园区深度对接，与服务管家体系积极衔接，针对企业经营发展过程中遇到的法律问题、法律风险和服务需求，提供多样化、全方位的公共法律服务。四是围绕重点项目法律需求，主动靠前作为。组建公益律师团，派驻骨干律师进驻马驹桥智造基地住宅搬迁项目、八里桥腾退项目等重点工程点位，为群众提供便捷、高效、专业的法律指导和法律咨询，让群众享受到更实惠、更优质的法律服务。</w:t>
      </w:r>
      <w:r>
        <w:rPr>
          <w:rFonts w:hint="eastAsia" w:ascii="仿宋_GB2312" w:hAnsi="宋体" w:eastAsia="仿宋_GB2312" w:cs="宋体"/>
          <w:b w:val="0"/>
          <w:bCs w:val="0"/>
          <w:color w:val="000000"/>
          <w:kern w:val="0"/>
          <w:sz w:val="32"/>
          <w:szCs w:val="32"/>
          <w:lang w:val="en-US" w:eastAsia="zh-CN"/>
        </w:rPr>
        <w:t>五是</w:t>
      </w:r>
      <w:r>
        <w:rPr>
          <w:rFonts w:hint="eastAsia" w:ascii="仿宋_GB2312" w:hAnsi="宋体" w:eastAsia="仿宋_GB2312" w:cs="宋体"/>
          <w:b w:val="0"/>
          <w:bCs w:val="0"/>
          <w:color w:val="000000"/>
          <w:kern w:val="0"/>
          <w:sz w:val="32"/>
          <w:szCs w:val="32"/>
        </w:rPr>
        <w:t>夯实实体平台基础，将法律咨询、法律援助、行政复议、人民调解、法治宣传、公证等职能全部融合，为群众提供优质、高效、便捷的“一站式”法律服务。</w:t>
      </w:r>
      <w:r>
        <w:rPr>
          <w:rFonts w:hint="eastAsia" w:ascii="仿宋_GB2312" w:hAnsi="宋体" w:eastAsia="仿宋_GB2312" w:cs="宋体"/>
          <w:b w:val="0"/>
          <w:bCs w:val="0"/>
          <w:color w:val="000000"/>
          <w:kern w:val="0"/>
          <w:sz w:val="32"/>
          <w:szCs w:val="32"/>
          <w:lang w:val="en-US" w:eastAsia="zh-CN"/>
        </w:rPr>
        <w:t>六</w:t>
      </w:r>
      <w:r>
        <w:rPr>
          <w:rFonts w:hint="eastAsia" w:ascii="仿宋_GB2312" w:hAnsi="宋体" w:eastAsia="仿宋_GB2312" w:cs="宋体"/>
          <w:b w:val="0"/>
          <w:bCs w:val="0"/>
          <w:color w:val="000000"/>
          <w:kern w:val="0"/>
          <w:sz w:val="32"/>
          <w:szCs w:val="32"/>
        </w:rPr>
        <w:t>是深化“大普法”工作格局，着力提升全民法治素养。发挥守法普法协调小组统筹、协调、督促等职能，组织开展“守住钱袋子·过好幸福年”防范非法集资宣传教育活动、警惕“长收短付、高进低出”反诈骗活动、“3.8”妇女权益保护日、“3.15”消费者权益保护日、“4.15”国安日、民法典宣传月、“8.1”拥军等全区性系列主题普法宣传活动共计480余场次，持续提升公民法治素养。深入校园开展“开学第一课”活动110余场，开展“副中心有我·法治护航成长”普法系列活动，发布“副中心有我·法治护航成长”护苗行动、“副中心有我·法治护航成长”服务行动和“副中心有我·法治护航成长”护航行动三大专项普法行动，切实强化青少年法治宣传教育。</w:t>
      </w:r>
      <w:r>
        <w:rPr>
          <w:rFonts w:hint="eastAsia" w:ascii="仿宋_GB2312" w:hAnsi="宋体" w:eastAsia="仿宋_GB2312" w:cs="宋体"/>
          <w:b w:val="0"/>
          <w:bCs w:val="0"/>
          <w:color w:val="000000"/>
          <w:kern w:val="0"/>
          <w:sz w:val="32"/>
          <w:szCs w:val="32"/>
          <w:lang w:val="en-US" w:eastAsia="zh-CN"/>
        </w:rPr>
        <w:t>七</w:t>
      </w:r>
      <w:r>
        <w:rPr>
          <w:rFonts w:hint="eastAsia" w:ascii="仿宋_GB2312" w:hAnsi="宋体" w:eastAsia="仿宋_GB2312" w:cs="宋体"/>
          <w:b w:val="0"/>
          <w:bCs w:val="0"/>
          <w:color w:val="000000"/>
          <w:kern w:val="0"/>
          <w:sz w:val="32"/>
          <w:szCs w:val="32"/>
        </w:rPr>
        <w:t>是推进社区矫正和安置帮教工作高质量发展。实施分级分类教育提升计划，建立社区矫正教育专家库，联合公检法及人保、民政等各部门，深入开展“每月一主题矫心正行”教育计划，根据管控对象不同阶段不断强化初始教育、分类教育、解矫教育。</w:t>
      </w:r>
      <w:r>
        <w:rPr>
          <w:rFonts w:hint="eastAsia" w:ascii="仿宋_GB2312" w:hAnsi="宋体" w:eastAsia="仿宋_GB2312" w:cs="宋体"/>
          <w:b w:val="0"/>
          <w:bCs w:val="0"/>
          <w:color w:val="000000"/>
          <w:kern w:val="0"/>
          <w:sz w:val="32"/>
          <w:szCs w:val="32"/>
          <w:lang w:val="en-US" w:eastAsia="zh-CN"/>
        </w:rPr>
        <w:t>八</w:t>
      </w:r>
      <w:r>
        <w:rPr>
          <w:rFonts w:hint="eastAsia" w:ascii="仿宋_GB2312" w:hAnsi="宋体" w:eastAsia="仿宋_GB2312" w:cs="宋体"/>
          <w:b w:val="0"/>
          <w:bCs w:val="0"/>
          <w:color w:val="000000"/>
          <w:kern w:val="0"/>
          <w:sz w:val="32"/>
          <w:szCs w:val="32"/>
        </w:rPr>
        <w:t>是持续推进矛盾纠纷多元调解工作。完成首批10家“品牌调解室”示范创建及验收，推出台湖“零宿源”、漷县“榆邻为伴”等首批10个各具区域、领域特色的品牌调解室。</w:t>
      </w:r>
      <w:r>
        <w:rPr>
          <w:rFonts w:hint="eastAsia" w:ascii="仿宋_GB2312" w:hAnsi="宋体" w:eastAsia="仿宋_GB2312" w:cs="宋体"/>
          <w:b w:val="0"/>
          <w:bCs w:val="0"/>
          <w:color w:val="000000"/>
          <w:kern w:val="0"/>
          <w:sz w:val="32"/>
          <w:szCs w:val="32"/>
          <w:lang w:val="en-US" w:eastAsia="zh-CN"/>
        </w:rPr>
        <w:t>九</w:t>
      </w:r>
      <w:r>
        <w:rPr>
          <w:rFonts w:hint="eastAsia" w:ascii="仿宋_GB2312" w:hAnsi="宋体" w:eastAsia="仿宋_GB2312" w:cs="宋体"/>
          <w:b w:val="0"/>
          <w:bCs w:val="0"/>
          <w:color w:val="000000"/>
          <w:kern w:val="0"/>
          <w:sz w:val="32"/>
          <w:szCs w:val="32"/>
        </w:rPr>
        <w:t>是全力做好各项维稳安保工作。根据重要节点、重大活动，落实好“两类人员”教育稳控、社会矛盾排查、律师队伍管控等工作，全面摸排，切实做到底数清、情况明、工作实，圆满完成各项维稳安保工作。</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3.可持续</w:t>
      </w:r>
      <w:r>
        <w:rPr>
          <w:rFonts w:ascii="仿宋_GB2312" w:hAnsi="宋体" w:eastAsia="仿宋_GB2312" w:cs="宋体"/>
          <w:b w:val="0"/>
          <w:bCs w:val="0"/>
          <w:color w:val="000000"/>
          <w:kern w:val="0"/>
          <w:sz w:val="32"/>
          <w:szCs w:val="32"/>
        </w:rPr>
        <w:t>性影响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我局具有多年的项目管理经验，具有项目持续运行的可持续性；各项经费以政策为依据，具有政策的可持续性；各项目经费的实施</w:t>
      </w:r>
      <w:r>
        <w:rPr>
          <w:rFonts w:hint="eastAsia" w:ascii="仿宋_GB2312" w:hAnsi="仿宋_GB2312" w:eastAsia="仿宋_GB2312" w:cs="仿宋_GB2312"/>
          <w:color w:val="auto"/>
          <w:sz w:val="32"/>
          <w:szCs w:val="32"/>
          <w:lang w:val="en-US" w:eastAsia="zh-CN"/>
        </w:rPr>
        <w:t>围绕副中心建设，以提供高质量的法治服务</w:t>
      </w:r>
      <w:r>
        <w:rPr>
          <w:rFonts w:hint="eastAsia" w:ascii="仿宋_GB2312" w:hAnsi="宋体" w:eastAsia="仿宋_GB2312"/>
          <w:sz w:val="32"/>
          <w:szCs w:val="32"/>
        </w:rPr>
        <w:t>为主线</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产出效果的可持续性较为明显。</w:t>
      </w:r>
    </w:p>
    <w:p>
      <w:pPr>
        <w:pageBreakBefore w:val="0"/>
        <w:kinsoku/>
        <w:wordWrap/>
        <w:overflowPunct/>
        <w:topLinePunct w:val="0"/>
        <w:autoSpaceDE/>
        <w:autoSpaceDN/>
        <w:bidi w:val="0"/>
        <w:spacing w:line="560" w:lineRule="exact"/>
        <w:ind w:left="105" w:leftChars="50" w:firstLine="640" w:firstLineChars="200"/>
        <w:textAlignment w:val="auto"/>
        <w:rPr>
          <w:rFonts w:hint="eastAsia" w:ascii="黑体" w:hAnsi="黑体" w:eastAsia="黑体" w:cs="宋体"/>
          <w:b w:val="0"/>
          <w:bCs w:val="0"/>
          <w:color w:val="000000"/>
          <w:kern w:val="0"/>
          <w:sz w:val="32"/>
          <w:szCs w:val="32"/>
        </w:rPr>
      </w:pPr>
      <w:r>
        <w:rPr>
          <w:rFonts w:hint="eastAsia" w:ascii="黑体" w:hAnsi="黑体" w:eastAsia="黑体" w:cs="宋体"/>
          <w:b w:val="0"/>
          <w:bCs w:val="0"/>
          <w:color w:val="000000"/>
          <w:kern w:val="0"/>
          <w:sz w:val="32"/>
          <w:szCs w:val="32"/>
        </w:rPr>
        <w:t>四</w:t>
      </w:r>
      <w:r>
        <w:rPr>
          <w:rFonts w:ascii="黑体" w:hAnsi="黑体" w:eastAsia="黑体" w:cs="宋体"/>
          <w:b w:val="0"/>
          <w:bCs w:val="0"/>
          <w:color w:val="000000"/>
          <w:kern w:val="0"/>
          <w:sz w:val="32"/>
          <w:szCs w:val="32"/>
        </w:rPr>
        <w:t>、预算管理</w:t>
      </w:r>
      <w:r>
        <w:rPr>
          <w:rFonts w:hint="eastAsia" w:ascii="黑体" w:hAnsi="黑体" w:eastAsia="黑体" w:cs="宋体"/>
          <w:b w:val="0"/>
          <w:bCs w:val="0"/>
          <w:color w:val="000000"/>
          <w:kern w:val="0"/>
          <w:sz w:val="32"/>
          <w:szCs w:val="32"/>
        </w:rPr>
        <w:t>情况分</w:t>
      </w:r>
      <w:r>
        <w:rPr>
          <w:rFonts w:ascii="黑体" w:hAnsi="黑体" w:eastAsia="黑体" w:cs="宋体"/>
          <w:b w:val="0"/>
          <w:bCs w:val="0"/>
          <w:color w:val="000000"/>
          <w:kern w:val="0"/>
          <w:sz w:val="32"/>
          <w:szCs w:val="32"/>
        </w:rPr>
        <w:t>析</w:t>
      </w:r>
    </w:p>
    <w:p>
      <w:pPr>
        <w:pageBreakBefore w:val="0"/>
        <w:kinsoku/>
        <w:wordWrap/>
        <w:overflowPunct/>
        <w:topLinePunct w:val="0"/>
        <w:autoSpaceDE/>
        <w:autoSpaceDN/>
        <w:bidi w:val="0"/>
        <w:spacing w:line="560" w:lineRule="exact"/>
        <w:ind w:left="105" w:leftChars="50" w:firstLine="640" w:firstLineChars="200"/>
        <w:textAlignment w:val="auto"/>
        <w:rPr>
          <w:rFonts w:ascii="楷体_GB2312" w:eastAsia="楷体_GB2312"/>
          <w:b w:val="0"/>
          <w:bCs w:val="0"/>
          <w:sz w:val="32"/>
          <w:szCs w:val="32"/>
        </w:rPr>
      </w:pPr>
      <w:r>
        <w:rPr>
          <w:rFonts w:hint="eastAsia" w:ascii="楷体_GB2312" w:eastAsia="楷体_GB2312"/>
          <w:b w:val="0"/>
          <w:bCs w:val="0"/>
          <w:sz w:val="32"/>
          <w:szCs w:val="32"/>
        </w:rPr>
        <w:t>（一）财务管理</w:t>
      </w:r>
    </w:p>
    <w:p>
      <w:pPr>
        <w:pageBreakBefore w:val="0"/>
        <w:kinsoku/>
        <w:wordWrap/>
        <w:overflowPunct/>
        <w:topLinePunct w:val="0"/>
        <w:autoSpaceDE/>
        <w:autoSpaceDN/>
        <w:bidi w:val="0"/>
        <w:spacing w:line="560" w:lineRule="exact"/>
        <w:ind w:left="105" w:leftChars="50" w:firstLine="640" w:firstLineChars="200"/>
        <w:textAlignment w:val="auto"/>
        <w:rPr>
          <w:rFonts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1.财务</w:t>
      </w:r>
      <w:r>
        <w:rPr>
          <w:rFonts w:ascii="仿宋_GB2312" w:hAnsi="宋体" w:eastAsia="仿宋_GB2312" w:cs="宋体"/>
          <w:b w:val="0"/>
          <w:bCs w:val="0"/>
          <w:color w:val="000000"/>
          <w:kern w:val="0"/>
          <w:sz w:val="32"/>
          <w:szCs w:val="32"/>
        </w:rPr>
        <w:t>管理制度健全性</w:t>
      </w:r>
    </w:p>
    <w:p>
      <w:pPr>
        <w:pStyle w:val="19"/>
        <w:pageBreakBefore w:val="0"/>
        <w:kinsoku/>
        <w:wordWrap/>
        <w:overflowPunct/>
        <w:topLinePunct w:val="0"/>
        <w:autoSpaceDE/>
        <w:autoSpaceDN/>
        <w:bidi w:val="0"/>
        <w:spacing w:line="560" w:lineRule="exact"/>
        <w:ind w:firstLine="640" w:firstLineChars="200"/>
        <w:textAlignment w:val="auto"/>
        <w:rPr>
          <w:sz w:val="32"/>
          <w:szCs w:val="32"/>
        </w:rPr>
      </w:pPr>
      <w:r>
        <w:rPr>
          <w:rFonts w:hint="eastAsia"/>
          <w:sz w:val="32"/>
          <w:szCs w:val="32"/>
        </w:rPr>
        <w:t>根据</w:t>
      </w:r>
      <w:r>
        <w:rPr>
          <w:rFonts w:hint="eastAsia"/>
          <w:sz w:val="32"/>
          <w:szCs w:val="32"/>
          <w:lang w:val="en-US" w:eastAsia="zh-CN"/>
        </w:rPr>
        <w:t>区</w:t>
      </w:r>
      <w:r>
        <w:rPr>
          <w:rFonts w:hint="eastAsia"/>
          <w:sz w:val="32"/>
          <w:szCs w:val="32"/>
        </w:rPr>
        <w:t>财政局</w:t>
      </w:r>
      <w:r>
        <w:rPr>
          <w:rFonts w:hint="eastAsia"/>
          <w:sz w:val="32"/>
          <w:szCs w:val="32"/>
          <w:lang w:eastAsia="zh-CN"/>
        </w:rPr>
        <w:t>、</w:t>
      </w:r>
      <w:r>
        <w:rPr>
          <w:rFonts w:hint="eastAsia"/>
          <w:sz w:val="32"/>
          <w:szCs w:val="32"/>
          <w:lang w:val="en-US" w:eastAsia="zh-CN"/>
        </w:rPr>
        <w:t>市司法局</w:t>
      </w:r>
      <w:r>
        <w:rPr>
          <w:rFonts w:hint="eastAsia"/>
          <w:sz w:val="32"/>
          <w:szCs w:val="32"/>
        </w:rPr>
        <w:t>相关规范要求，我局结合单位实际情况，全面梳理单位经济活动，制定了《北京市</w:t>
      </w:r>
      <w:r>
        <w:rPr>
          <w:rFonts w:hint="eastAsia"/>
          <w:sz w:val="32"/>
          <w:szCs w:val="32"/>
          <w:lang w:val="en-US" w:eastAsia="zh-CN"/>
        </w:rPr>
        <w:t>通州区</w:t>
      </w:r>
      <w:r>
        <w:rPr>
          <w:rFonts w:hint="eastAsia"/>
          <w:sz w:val="32"/>
          <w:szCs w:val="32"/>
        </w:rPr>
        <w:t>司法局</w:t>
      </w:r>
      <w:r>
        <w:rPr>
          <w:rFonts w:hint="eastAsia"/>
          <w:sz w:val="32"/>
          <w:szCs w:val="32"/>
          <w:lang w:val="en-US" w:eastAsia="zh-CN"/>
        </w:rPr>
        <w:t>财务管理制度</w:t>
      </w:r>
      <w:r>
        <w:rPr>
          <w:rFonts w:hint="eastAsia"/>
          <w:sz w:val="32"/>
          <w:szCs w:val="32"/>
        </w:rPr>
        <w:t>》</w:t>
      </w:r>
      <w:r>
        <w:rPr>
          <w:rFonts w:hint="eastAsia"/>
          <w:sz w:val="32"/>
          <w:szCs w:val="32"/>
          <w:lang w:eastAsia="zh-CN"/>
        </w:rPr>
        <w:t>《</w:t>
      </w:r>
      <w:r>
        <w:rPr>
          <w:rFonts w:hint="eastAsia"/>
          <w:sz w:val="32"/>
          <w:szCs w:val="32"/>
        </w:rPr>
        <w:t>北京市</w:t>
      </w:r>
      <w:r>
        <w:rPr>
          <w:rFonts w:hint="eastAsia"/>
          <w:sz w:val="32"/>
          <w:szCs w:val="32"/>
          <w:lang w:val="en-US" w:eastAsia="zh-CN"/>
        </w:rPr>
        <w:t>通州区</w:t>
      </w:r>
      <w:r>
        <w:rPr>
          <w:rFonts w:hint="eastAsia"/>
          <w:sz w:val="32"/>
          <w:szCs w:val="32"/>
        </w:rPr>
        <w:t>司法局</w:t>
      </w:r>
      <w:r>
        <w:rPr>
          <w:rFonts w:hint="eastAsia"/>
          <w:sz w:val="32"/>
          <w:szCs w:val="32"/>
          <w:lang w:val="en-US" w:eastAsia="zh-CN"/>
        </w:rPr>
        <w:t>内部控制手册</w:t>
      </w:r>
      <w:r>
        <w:rPr>
          <w:rFonts w:hint="eastAsia"/>
          <w:sz w:val="32"/>
          <w:szCs w:val="32"/>
          <w:lang w:eastAsia="zh-CN"/>
        </w:rPr>
        <w:t>》</w:t>
      </w:r>
      <w:r>
        <w:rPr>
          <w:rFonts w:hint="eastAsia"/>
          <w:sz w:val="32"/>
          <w:szCs w:val="32"/>
        </w:rPr>
        <w:t>，以制度形式明确了单位预算管理、资产管理、财务管理、会计核算等方面要求。总体上，我局财务管理制度较为健全。</w:t>
      </w:r>
    </w:p>
    <w:p>
      <w:pPr>
        <w:pageBreakBefore w:val="0"/>
        <w:kinsoku/>
        <w:wordWrap/>
        <w:overflowPunct/>
        <w:topLinePunct w:val="0"/>
        <w:autoSpaceDE/>
        <w:autoSpaceDN/>
        <w:bidi w:val="0"/>
        <w:spacing w:line="560" w:lineRule="exact"/>
        <w:ind w:left="105" w:leftChars="50" w:firstLine="640" w:firstLineChars="200"/>
        <w:textAlignment w:val="auto"/>
        <w:rPr>
          <w:rFonts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2.资金使用合规性</w:t>
      </w:r>
      <w:r>
        <w:rPr>
          <w:rFonts w:ascii="仿宋_GB2312" w:hAnsi="宋体" w:eastAsia="仿宋_GB2312" w:cs="宋体"/>
          <w:b w:val="0"/>
          <w:bCs w:val="0"/>
          <w:color w:val="000000"/>
          <w:kern w:val="0"/>
          <w:sz w:val="32"/>
          <w:szCs w:val="32"/>
        </w:rPr>
        <w:t>和安全性</w:t>
      </w:r>
    </w:p>
    <w:p>
      <w:pPr>
        <w:pStyle w:val="19"/>
        <w:pageBreakBefore w:val="0"/>
        <w:kinsoku/>
        <w:wordWrap/>
        <w:overflowPunct/>
        <w:topLinePunct w:val="0"/>
        <w:autoSpaceDE/>
        <w:autoSpaceDN/>
        <w:bidi w:val="0"/>
        <w:spacing w:line="560" w:lineRule="exact"/>
        <w:ind w:firstLine="640" w:firstLineChars="200"/>
        <w:textAlignment w:val="auto"/>
        <w:rPr>
          <w:sz w:val="32"/>
          <w:szCs w:val="32"/>
        </w:rPr>
      </w:pPr>
      <w:r>
        <w:rPr>
          <w:rFonts w:hint="eastAsia"/>
          <w:sz w:val="32"/>
          <w:szCs w:val="32"/>
        </w:rPr>
        <w:t>我局严格按照相关财务管理制度规定使用和支出资金。资金支出时，</w:t>
      </w:r>
      <w:r>
        <w:rPr>
          <w:rFonts w:hint="eastAsia" w:ascii="仿宋_GB2312" w:hAnsi="仿宋_GB2312" w:eastAsia="仿宋_GB2312" w:cs="仿宋_GB2312"/>
          <w:sz w:val="32"/>
          <w:szCs w:val="32"/>
        </w:rPr>
        <w:t>由资金使用科室负责人填写支出说明，经局财务部门审核后，依次报主管业务领导和主管财务领导分别审核。支出额度在1万元以下，由局长审批同意后实施；支出额度在1</w:t>
      </w:r>
      <w:r>
        <w:rPr>
          <w:rFonts w:hint="eastAsia" w:ascii="仿宋_GB2312" w:hAnsi="仿宋_GB2312" w:eastAsia="仿宋_GB2312" w:cs="仿宋_GB2312"/>
          <w:color w:val="000000"/>
          <w:sz w:val="32"/>
          <w:szCs w:val="32"/>
        </w:rPr>
        <w:t>万元以上，应通过局党组会议集体研究决定。</w:t>
      </w:r>
      <w:r>
        <w:rPr>
          <w:rFonts w:hint="eastAsia"/>
          <w:sz w:val="32"/>
          <w:szCs w:val="32"/>
        </w:rPr>
        <w:t>资金支出方向与部门预算批复用途基本一致，不存在截留、挤占、挪用的情况，资金使用符合政府采购程序与流程，符合公务卡结算相关制度和规定。</w:t>
      </w:r>
    </w:p>
    <w:p>
      <w:pPr>
        <w:pageBreakBefore w:val="0"/>
        <w:numPr>
          <w:ilvl w:val="0"/>
          <w:numId w:val="0"/>
        </w:numPr>
        <w:kinsoku/>
        <w:wordWrap/>
        <w:overflowPunct/>
        <w:topLinePunct w:val="0"/>
        <w:autoSpaceDE/>
        <w:autoSpaceDN/>
        <w:bidi w:val="0"/>
        <w:spacing w:line="560" w:lineRule="exact"/>
        <w:ind w:firstLine="640" w:firstLineChars="200"/>
        <w:textAlignment w:val="auto"/>
        <w:rPr>
          <w:rFonts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lang w:val="en-US" w:eastAsia="zh-CN"/>
        </w:rPr>
        <w:t>3.</w:t>
      </w:r>
      <w:r>
        <w:rPr>
          <w:rFonts w:hint="eastAsia" w:ascii="仿宋_GB2312" w:hAnsi="宋体" w:eastAsia="仿宋_GB2312" w:cs="宋体"/>
          <w:b w:val="0"/>
          <w:bCs w:val="0"/>
          <w:color w:val="000000"/>
          <w:kern w:val="0"/>
          <w:sz w:val="32"/>
          <w:szCs w:val="32"/>
        </w:rPr>
        <w:t>会计</w:t>
      </w:r>
      <w:r>
        <w:rPr>
          <w:rFonts w:ascii="仿宋_GB2312" w:hAnsi="宋体" w:eastAsia="仿宋_GB2312" w:cs="宋体"/>
          <w:b w:val="0"/>
          <w:bCs w:val="0"/>
          <w:color w:val="000000"/>
          <w:kern w:val="0"/>
          <w:sz w:val="32"/>
          <w:szCs w:val="32"/>
        </w:rPr>
        <w:t>基础信息完善性</w:t>
      </w:r>
    </w:p>
    <w:p>
      <w:pPr>
        <w:pStyle w:val="19"/>
        <w:pageBreakBefore w:val="0"/>
        <w:kinsoku/>
        <w:wordWrap/>
        <w:overflowPunct/>
        <w:topLinePunct w:val="0"/>
        <w:autoSpaceDE/>
        <w:autoSpaceDN/>
        <w:bidi w:val="0"/>
        <w:spacing w:line="560" w:lineRule="exact"/>
        <w:ind w:firstLine="640" w:firstLineChars="200"/>
        <w:textAlignment w:val="auto"/>
        <w:rPr>
          <w:sz w:val="32"/>
          <w:szCs w:val="32"/>
        </w:rPr>
      </w:pPr>
      <w:r>
        <w:rPr>
          <w:rFonts w:hint="eastAsia"/>
          <w:sz w:val="32"/>
          <w:szCs w:val="32"/>
        </w:rPr>
        <w:t>我局注重会计基础信息和会计信息资料的真实性、准确性、完整性管理，发生资金收入、支出后及时登记入账，会计凭证及其附件资料按时装订成册并</w:t>
      </w:r>
      <w:r>
        <w:rPr>
          <w:rFonts w:hint="eastAsia"/>
          <w:sz w:val="32"/>
          <w:szCs w:val="32"/>
          <w:lang w:val="en-US" w:eastAsia="zh-CN"/>
        </w:rPr>
        <w:t>交由档案室</w:t>
      </w:r>
      <w:r>
        <w:rPr>
          <w:rFonts w:hint="eastAsia"/>
          <w:sz w:val="32"/>
          <w:szCs w:val="32"/>
        </w:rPr>
        <w:t>保管。</w:t>
      </w:r>
    </w:p>
    <w:p>
      <w:pPr>
        <w:pageBreakBefore w:val="0"/>
        <w:numPr>
          <w:ilvl w:val="0"/>
          <w:numId w:val="1"/>
        </w:numPr>
        <w:kinsoku/>
        <w:wordWrap/>
        <w:overflowPunct/>
        <w:topLinePunct w:val="0"/>
        <w:autoSpaceDE/>
        <w:autoSpaceDN/>
        <w:bidi w:val="0"/>
        <w:spacing w:line="560" w:lineRule="exact"/>
        <w:ind w:left="0" w:leftChars="0" w:firstLine="640" w:firstLineChars="200"/>
        <w:textAlignment w:val="auto"/>
        <w:rPr>
          <w:rFonts w:hint="eastAsia" w:ascii="楷体_GB2312" w:eastAsia="楷体_GB2312"/>
          <w:b w:val="0"/>
          <w:bCs w:val="0"/>
          <w:sz w:val="32"/>
          <w:szCs w:val="32"/>
        </w:rPr>
      </w:pPr>
      <w:r>
        <w:rPr>
          <w:rFonts w:hint="eastAsia" w:ascii="楷体_GB2312" w:eastAsia="楷体_GB2312"/>
          <w:b w:val="0"/>
          <w:bCs w:val="0"/>
          <w:sz w:val="32"/>
          <w:szCs w:val="32"/>
        </w:rPr>
        <w:t>资产管理</w:t>
      </w:r>
    </w:p>
    <w:p>
      <w:pPr>
        <w:pStyle w:val="19"/>
        <w:pageBreakBefore w:val="0"/>
        <w:kinsoku/>
        <w:wordWrap/>
        <w:overflowPunct/>
        <w:topLinePunct w:val="0"/>
        <w:autoSpaceDE/>
        <w:autoSpaceDN/>
        <w:bidi w:val="0"/>
        <w:spacing w:line="560" w:lineRule="exact"/>
        <w:ind w:firstLine="640" w:firstLineChars="200"/>
        <w:textAlignment w:val="auto"/>
        <w:rPr>
          <w:sz w:val="32"/>
          <w:szCs w:val="32"/>
        </w:rPr>
      </w:pPr>
      <w:r>
        <w:rPr>
          <w:rFonts w:hint="eastAsia" w:ascii="仿宋_GB2312" w:hAnsi="宋体" w:eastAsia="仿宋_GB2312" w:cs="宋体"/>
          <w:b w:val="0"/>
          <w:color w:val="000000"/>
          <w:kern w:val="0"/>
          <w:sz w:val="32"/>
          <w:szCs w:val="32"/>
          <w:lang w:val="en-US" w:eastAsia="zh-CN" w:bidi="ar-SA"/>
        </w:rPr>
        <w:t>我局严格按照《北京市通州区司法局</w:t>
      </w:r>
      <w:r>
        <w:rPr>
          <w:rFonts w:hint="eastAsia" w:cs="宋体"/>
          <w:b w:val="0"/>
          <w:color w:val="000000"/>
          <w:kern w:val="0"/>
          <w:sz w:val="32"/>
          <w:szCs w:val="32"/>
          <w:lang w:val="en-US" w:eastAsia="zh-CN" w:bidi="ar-SA"/>
        </w:rPr>
        <w:t>财务管理制度</w:t>
      </w:r>
      <w:r>
        <w:rPr>
          <w:rFonts w:hint="eastAsia" w:ascii="仿宋_GB2312" w:hAnsi="宋体" w:eastAsia="仿宋_GB2312" w:cs="宋体"/>
          <w:b w:val="0"/>
          <w:color w:val="000000"/>
          <w:kern w:val="0"/>
          <w:sz w:val="32"/>
          <w:szCs w:val="32"/>
          <w:lang w:val="en-US" w:eastAsia="zh-CN" w:bidi="ar-SA"/>
        </w:rPr>
        <w:t>》进行资产管理，将使用年限在1年（不含）以上，单价在1000元以上的设备，且在使用过程中基本保存实物形态的资产列入固定资产管理。</w:t>
      </w:r>
      <w:r>
        <w:rPr>
          <w:rFonts w:hint="eastAsia"/>
          <w:sz w:val="32"/>
          <w:szCs w:val="32"/>
        </w:rPr>
        <w:t>2</w:t>
      </w:r>
      <w:r>
        <w:rPr>
          <w:sz w:val="32"/>
          <w:szCs w:val="32"/>
        </w:rPr>
        <w:t>02</w:t>
      </w:r>
      <w:r>
        <w:rPr>
          <w:rFonts w:hint="eastAsia"/>
          <w:sz w:val="32"/>
          <w:szCs w:val="32"/>
          <w:lang w:val="en-US" w:eastAsia="zh-CN"/>
        </w:rPr>
        <w:t>4</w:t>
      </w:r>
      <w:r>
        <w:rPr>
          <w:rFonts w:hint="eastAsia"/>
          <w:sz w:val="32"/>
          <w:szCs w:val="32"/>
        </w:rPr>
        <w:t>年我局资产使用规范</w:t>
      </w:r>
      <w:r>
        <w:rPr>
          <w:rFonts w:hint="eastAsia"/>
          <w:sz w:val="32"/>
          <w:szCs w:val="32"/>
          <w:lang w:eastAsia="zh-CN"/>
        </w:rPr>
        <w:t>，</w:t>
      </w:r>
      <w:r>
        <w:rPr>
          <w:rFonts w:hint="eastAsia"/>
          <w:sz w:val="32"/>
          <w:szCs w:val="32"/>
        </w:rPr>
        <w:t>不存在超标准配置资产，不存在未经批准擅自出租、出借资产行为，不存在不按要求进行报批或资产不公开处置行为，不存在对外投资行为。</w:t>
      </w:r>
    </w:p>
    <w:p>
      <w:pPr>
        <w:pageBreakBefore w:val="0"/>
        <w:numPr>
          <w:ilvl w:val="0"/>
          <w:numId w:val="1"/>
        </w:numPr>
        <w:kinsoku/>
        <w:wordWrap/>
        <w:overflowPunct/>
        <w:topLinePunct w:val="0"/>
        <w:autoSpaceDE/>
        <w:autoSpaceDN/>
        <w:bidi w:val="0"/>
        <w:spacing w:line="560" w:lineRule="exact"/>
        <w:ind w:left="0" w:leftChars="0" w:firstLine="640" w:firstLineChars="200"/>
        <w:textAlignment w:val="auto"/>
        <w:rPr>
          <w:rFonts w:ascii="楷体_GB2312" w:eastAsia="楷体_GB2312"/>
          <w:b w:val="0"/>
          <w:bCs w:val="0"/>
          <w:sz w:val="32"/>
          <w:szCs w:val="32"/>
        </w:rPr>
      </w:pPr>
      <w:r>
        <w:rPr>
          <w:rFonts w:hint="eastAsia" w:ascii="楷体_GB2312" w:eastAsia="楷体_GB2312"/>
          <w:b w:val="0"/>
          <w:bCs w:val="0"/>
          <w:sz w:val="32"/>
          <w:szCs w:val="32"/>
        </w:rPr>
        <w:t>绩效</w:t>
      </w:r>
      <w:r>
        <w:rPr>
          <w:rFonts w:ascii="楷体_GB2312" w:eastAsia="楷体_GB2312"/>
          <w:b w:val="0"/>
          <w:bCs w:val="0"/>
          <w:sz w:val="32"/>
          <w:szCs w:val="32"/>
        </w:rPr>
        <w:t>管理</w:t>
      </w:r>
    </w:p>
    <w:p>
      <w:pPr>
        <w:pStyle w:val="5"/>
        <w:pageBreakBefore w:val="0"/>
        <w:numPr>
          <w:ilvl w:val="0"/>
          <w:numId w:val="0"/>
        </w:numPr>
        <w:kinsoku/>
        <w:wordWrap/>
        <w:overflowPunct/>
        <w:topLinePunct w:val="0"/>
        <w:autoSpaceDE/>
        <w:autoSpaceDN/>
        <w:bidi w:val="0"/>
        <w:spacing w:line="560" w:lineRule="exact"/>
        <w:ind w:firstLine="640" w:firstLineChars="200"/>
        <w:textAlignment w:val="auto"/>
        <w:rPr>
          <w:rFonts w:hint="default" w:ascii="仿宋_GB2312" w:hAnsi="宋体" w:eastAsia="仿宋_GB2312" w:cs="宋体"/>
          <w:b w:val="0"/>
          <w:color w:val="000000"/>
          <w:kern w:val="0"/>
          <w:sz w:val="32"/>
          <w:szCs w:val="32"/>
          <w:lang w:val="en-US" w:eastAsia="zh-CN" w:bidi="ar-SA"/>
        </w:rPr>
      </w:pPr>
      <w:r>
        <w:rPr>
          <w:rFonts w:hint="eastAsia" w:ascii="仿宋_GB2312" w:hAnsi="宋体" w:eastAsia="仿宋_GB2312" w:cs="宋体"/>
          <w:b w:val="0"/>
          <w:color w:val="000000"/>
          <w:kern w:val="0"/>
          <w:sz w:val="32"/>
          <w:szCs w:val="32"/>
          <w:lang w:val="en-US" w:eastAsia="zh-CN" w:bidi="ar-SA"/>
        </w:rPr>
        <w:t>2024年，我局严格按照区财政局全面预算绩效管理的相关要求开展部门绩效管理，及时进行绩效信息汇总分析、绩效目标纠偏工作。年初，按要求组织科室开展本年度项目绩效目标申报及上年度项目绩效自评工作；分别于5月及10月填报《项目支出绩效目标执行监控汇总表》和《项目支出绩效目标执行监控报告》，报送区财政局。</w:t>
      </w:r>
    </w:p>
    <w:p>
      <w:pPr>
        <w:pageBreakBefore w:val="0"/>
        <w:numPr>
          <w:ilvl w:val="0"/>
          <w:numId w:val="1"/>
        </w:numPr>
        <w:kinsoku/>
        <w:wordWrap/>
        <w:overflowPunct/>
        <w:topLinePunct w:val="0"/>
        <w:autoSpaceDE/>
        <w:autoSpaceDN/>
        <w:bidi w:val="0"/>
        <w:spacing w:line="560" w:lineRule="exact"/>
        <w:ind w:left="0" w:leftChars="0" w:firstLine="640" w:firstLineChars="200"/>
        <w:textAlignment w:val="auto"/>
        <w:rPr>
          <w:rFonts w:hint="eastAsia" w:ascii="楷体_GB2312" w:eastAsia="楷体_GB2312"/>
          <w:b w:val="0"/>
          <w:bCs w:val="0"/>
          <w:sz w:val="32"/>
          <w:szCs w:val="32"/>
        </w:rPr>
      </w:pPr>
      <w:r>
        <w:rPr>
          <w:rFonts w:hint="eastAsia" w:ascii="楷体_GB2312" w:eastAsia="楷体_GB2312"/>
          <w:b w:val="0"/>
          <w:bCs w:val="0"/>
          <w:sz w:val="32"/>
          <w:szCs w:val="32"/>
        </w:rPr>
        <w:t>结转结余率</w:t>
      </w:r>
    </w:p>
    <w:p>
      <w:pPr>
        <w:pStyle w:val="18"/>
        <w:pageBreakBefore w:val="0"/>
        <w:kinsoku/>
        <w:wordWrap/>
        <w:overflowPunct/>
        <w:topLinePunct w:val="0"/>
        <w:autoSpaceDE/>
        <w:autoSpaceDN/>
        <w:bidi w:val="0"/>
        <w:spacing w:line="560" w:lineRule="exact"/>
        <w:ind w:firstLine="640" w:firstLineChars="200"/>
        <w:textAlignment w:val="auto"/>
        <w:rPr>
          <w:sz w:val="32"/>
          <w:szCs w:val="32"/>
        </w:rPr>
      </w:pPr>
      <w:r>
        <w:rPr>
          <w:rFonts w:hint="eastAsia"/>
          <w:sz w:val="32"/>
          <w:szCs w:val="32"/>
        </w:rPr>
        <w:t>截至2</w:t>
      </w:r>
      <w:r>
        <w:rPr>
          <w:sz w:val="32"/>
          <w:szCs w:val="32"/>
        </w:rPr>
        <w:t>02</w:t>
      </w:r>
      <w:r>
        <w:rPr>
          <w:rFonts w:hint="eastAsia"/>
          <w:sz w:val="32"/>
          <w:szCs w:val="32"/>
          <w:lang w:val="en-US" w:eastAsia="zh-CN"/>
        </w:rPr>
        <w:t>4</w:t>
      </w:r>
      <w:r>
        <w:rPr>
          <w:rFonts w:hint="eastAsia"/>
          <w:sz w:val="32"/>
          <w:szCs w:val="32"/>
        </w:rPr>
        <w:t>年底，我局支出预算</w:t>
      </w:r>
      <w:r>
        <w:rPr>
          <w:rFonts w:hint="eastAsia"/>
          <w:sz w:val="32"/>
          <w:szCs w:val="32"/>
          <w:lang w:val="en-US" w:eastAsia="zh-CN"/>
        </w:rPr>
        <w:t>5386.12</w:t>
      </w:r>
      <w:r>
        <w:rPr>
          <w:rFonts w:hint="eastAsia"/>
          <w:sz w:val="32"/>
          <w:szCs w:val="32"/>
        </w:rPr>
        <w:t>万元，结转总额</w:t>
      </w:r>
      <w:r>
        <w:rPr>
          <w:rFonts w:hint="eastAsia"/>
          <w:sz w:val="32"/>
          <w:szCs w:val="32"/>
          <w:lang w:val="en-US" w:eastAsia="zh-CN"/>
        </w:rPr>
        <w:t>711.89</w:t>
      </w:r>
      <w:r>
        <w:rPr>
          <w:rFonts w:hint="eastAsia"/>
          <w:sz w:val="32"/>
          <w:szCs w:val="32"/>
        </w:rPr>
        <w:t>万元，2</w:t>
      </w:r>
      <w:r>
        <w:rPr>
          <w:sz w:val="32"/>
          <w:szCs w:val="32"/>
        </w:rPr>
        <w:t>02</w:t>
      </w:r>
      <w:r>
        <w:rPr>
          <w:rFonts w:hint="eastAsia"/>
          <w:sz w:val="32"/>
          <w:szCs w:val="32"/>
          <w:lang w:val="en-US" w:eastAsia="zh-CN"/>
        </w:rPr>
        <w:t>4</w:t>
      </w:r>
      <w:r>
        <w:rPr>
          <w:rFonts w:hint="eastAsia"/>
          <w:sz w:val="32"/>
          <w:szCs w:val="32"/>
        </w:rPr>
        <w:t>年结转结余率</w:t>
      </w:r>
      <w:r>
        <w:rPr>
          <w:rFonts w:hint="eastAsia"/>
          <w:sz w:val="32"/>
          <w:szCs w:val="32"/>
          <w:lang w:val="en-US" w:eastAsia="zh-CN"/>
        </w:rPr>
        <w:t>11.67</w:t>
      </w:r>
      <w:r>
        <w:rPr>
          <w:sz w:val="32"/>
          <w:szCs w:val="32"/>
        </w:rPr>
        <w:t>%</w:t>
      </w:r>
      <w:r>
        <w:rPr>
          <w:rFonts w:hint="eastAsia"/>
          <w:sz w:val="32"/>
          <w:szCs w:val="32"/>
        </w:rPr>
        <w:t>。</w:t>
      </w:r>
    </w:p>
    <w:p>
      <w:pPr>
        <w:pageBreakBefore w:val="0"/>
        <w:numPr>
          <w:ilvl w:val="0"/>
          <w:numId w:val="1"/>
        </w:numPr>
        <w:kinsoku/>
        <w:wordWrap/>
        <w:overflowPunct/>
        <w:topLinePunct w:val="0"/>
        <w:autoSpaceDE/>
        <w:autoSpaceDN/>
        <w:bidi w:val="0"/>
        <w:spacing w:line="560" w:lineRule="exact"/>
        <w:ind w:left="0" w:leftChars="0" w:firstLine="640" w:firstLineChars="200"/>
        <w:textAlignment w:val="auto"/>
        <w:rPr>
          <w:rFonts w:ascii="楷体_GB2312" w:eastAsia="楷体_GB2312"/>
          <w:b w:val="0"/>
          <w:bCs w:val="0"/>
          <w:sz w:val="32"/>
          <w:szCs w:val="32"/>
        </w:rPr>
      </w:pPr>
      <w:r>
        <w:rPr>
          <w:rFonts w:hint="eastAsia" w:ascii="楷体_GB2312" w:eastAsia="楷体_GB2312"/>
          <w:b w:val="0"/>
          <w:bCs w:val="0"/>
          <w:sz w:val="32"/>
          <w:szCs w:val="32"/>
        </w:rPr>
        <w:t>部门</w:t>
      </w:r>
      <w:r>
        <w:rPr>
          <w:rFonts w:ascii="楷体_GB2312" w:eastAsia="楷体_GB2312"/>
          <w:b w:val="0"/>
          <w:bCs w:val="0"/>
          <w:sz w:val="32"/>
          <w:szCs w:val="32"/>
        </w:rPr>
        <w:t>预决算差异率</w:t>
      </w:r>
    </w:p>
    <w:p>
      <w:pPr>
        <w:pStyle w:val="5"/>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宋体" w:eastAsia="仿宋_GB2312" w:cs="宋体"/>
          <w:b w:val="0"/>
          <w:color w:val="000000"/>
          <w:kern w:val="0"/>
          <w:sz w:val="32"/>
          <w:szCs w:val="32"/>
          <w:lang w:val="en-US" w:eastAsia="zh-CN" w:bidi="ar-SA"/>
        </w:rPr>
      </w:pPr>
      <w:r>
        <w:rPr>
          <w:rFonts w:hint="eastAsia" w:ascii="仿宋_GB2312" w:hAnsi="宋体" w:eastAsia="仿宋_GB2312" w:cs="宋体"/>
          <w:b w:val="0"/>
          <w:color w:val="000000"/>
          <w:kern w:val="0"/>
          <w:sz w:val="32"/>
          <w:szCs w:val="32"/>
          <w:lang w:val="en-US" w:eastAsia="zh-CN" w:bidi="ar-SA"/>
        </w:rPr>
        <w:t>2024年，我局年初收入预算总数为6078.58万元，收入决算总数为5386.12万元，收入的预决算差异率为11.39%；年初支出预算总数为6102.36万元，实际支出5386.12万元，支出的预决算差异率为11.73%。</w:t>
      </w:r>
    </w:p>
    <w:p>
      <w:pPr>
        <w:pageBreakBefore w:val="0"/>
        <w:numPr>
          <w:ilvl w:val="0"/>
          <w:numId w:val="2"/>
        </w:numPr>
        <w:kinsoku/>
        <w:wordWrap/>
        <w:overflowPunct/>
        <w:topLinePunct w:val="0"/>
        <w:autoSpaceDE/>
        <w:autoSpaceDN/>
        <w:bidi w:val="0"/>
        <w:spacing w:line="560" w:lineRule="exact"/>
        <w:ind w:left="105" w:leftChars="50" w:firstLine="640" w:firstLineChars="200"/>
        <w:textAlignment w:val="auto"/>
        <w:rPr>
          <w:rFonts w:ascii="黑体" w:hAnsi="黑体" w:eastAsia="黑体"/>
          <w:b w:val="0"/>
          <w:bCs w:val="0"/>
          <w:sz w:val="32"/>
          <w:szCs w:val="32"/>
        </w:rPr>
      </w:pPr>
      <w:r>
        <w:rPr>
          <w:rFonts w:hint="eastAsia" w:ascii="黑体" w:hAnsi="黑体" w:eastAsia="黑体"/>
          <w:b w:val="0"/>
          <w:bCs w:val="0"/>
          <w:sz w:val="32"/>
          <w:szCs w:val="32"/>
        </w:rPr>
        <w:t>总体</w:t>
      </w:r>
      <w:r>
        <w:rPr>
          <w:rFonts w:ascii="黑体" w:hAnsi="黑体" w:eastAsia="黑体"/>
          <w:b w:val="0"/>
          <w:bCs w:val="0"/>
          <w:sz w:val="32"/>
          <w:szCs w:val="32"/>
        </w:rPr>
        <w:t>评价结论</w:t>
      </w:r>
    </w:p>
    <w:p>
      <w:pPr>
        <w:pStyle w:val="5"/>
        <w:pageBreakBefore w:val="0"/>
        <w:numPr>
          <w:ilvl w:val="0"/>
          <w:numId w:val="3"/>
        </w:numPr>
        <w:kinsoku/>
        <w:wordWrap/>
        <w:overflowPunct/>
        <w:topLinePunct w:val="0"/>
        <w:autoSpaceDE/>
        <w:autoSpaceDN/>
        <w:bidi w:val="0"/>
        <w:spacing w:line="560" w:lineRule="exact"/>
        <w:ind w:firstLine="640" w:firstLineChars="200"/>
        <w:textAlignment w:val="auto"/>
        <w:rPr>
          <w:rFonts w:hint="eastAsia" w:ascii="仿宋_GB2312" w:hAnsi="宋体" w:eastAsia="仿宋_GB2312" w:cs="宋体"/>
          <w:b w:val="0"/>
          <w:color w:val="000000"/>
          <w:kern w:val="0"/>
          <w:sz w:val="32"/>
          <w:szCs w:val="32"/>
          <w:lang w:val="en-US" w:eastAsia="zh-CN" w:bidi="ar-SA"/>
        </w:rPr>
      </w:pPr>
      <w:r>
        <w:rPr>
          <w:rFonts w:hint="eastAsia" w:ascii="楷体_GB2312" w:eastAsia="楷体_GB2312"/>
          <w:b w:val="0"/>
          <w:bCs w:val="0"/>
          <w:sz w:val="32"/>
          <w:szCs w:val="32"/>
        </w:rPr>
        <w:t>评价</w:t>
      </w:r>
      <w:r>
        <w:rPr>
          <w:rFonts w:ascii="楷体_GB2312" w:eastAsia="楷体_GB2312"/>
          <w:b w:val="0"/>
          <w:bCs w:val="0"/>
          <w:sz w:val="32"/>
          <w:szCs w:val="32"/>
        </w:rPr>
        <w:t>得分</w:t>
      </w:r>
      <w:r>
        <w:rPr>
          <w:rFonts w:hint="eastAsia" w:ascii="楷体_GB2312" w:eastAsia="楷体_GB2312"/>
          <w:b w:val="0"/>
          <w:bCs w:val="0"/>
          <w:sz w:val="32"/>
          <w:szCs w:val="32"/>
        </w:rPr>
        <w:t>情况</w:t>
      </w:r>
    </w:p>
    <w:p>
      <w:pPr>
        <w:pStyle w:val="5"/>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宋体" w:eastAsia="仿宋_GB2312" w:cs="宋体"/>
          <w:b w:val="0"/>
          <w:color w:val="000000"/>
          <w:kern w:val="0"/>
          <w:sz w:val="32"/>
          <w:szCs w:val="32"/>
          <w:lang w:val="en-US" w:eastAsia="zh-CN" w:bidi="ar-SA"/>
        </w:rPr>
      </w:pPr>
      <w:r>
        <w:rPr>
          <w:rFonts w:hint="eastAsia" w:ascii="仿宋_GB2312" w:hAnsi="宋体" w:eastAsia="仿宋_GB2312" w:cs="宋体"/>
          <w:b w:val="0"/>
          <w:color w:val="000000"/>
          <w:kern w:val="0"/>
          <w:sz w:val="32"/>
          <w:szCs w:val="32"/>
          <w:lang w:val="en-US" w:eastAsia="zh-CN" w:bidi="ar-SA"/>
        </w:rPr>
        <w:t>2024年，我局坚持以习近平新时代中国特色社会主义思想为指导，全面贯彻落实党的二十大精神，深入学习贯彻习近平法治思想，有效履行统筹依法治区、公共法律服务等各项职能，结合年度工作目标有序开展了各项工作，年度工作任务完成情况较好，扎实推进了新时代司法行政工作现代化，为副中心高质量发展提供坚强有力法治保障。部门整体综合评价得分92.00分，具体得分情况见表1。</w:t>
      </w:r>
    </w:p>
    <w:p>
      <w:pPr>
        <w:pageBreakBefore w:val="0"/>
        <w:kinsoku/>
        <w:wordWrap/>
        <w:overflowPunct/>
        <w:topLinePunct w:val="0"/>
        <w:autoSpaceDE/>
        <w:autoSpaceDN/>
        <w:bidi w:val="0"/>
        <w:adjustRightInd w:val="0"/>
        <w:snapToGrid w:val="0"/>
        <w:spacing w:line="560" w:lineRule="exact"/>
        <w:ind w:firstLine="640" w:firstLineChars="200"/>
        <w:jc w:val="center"/>
        <w:textAlignment w:val="auto"/>
        <w:rPr>
          <w:rFonts w:ascii="黑体" w:hAnsi="黑体" w:eastAsia="黑体"/>
          <w:sz w:val="32"/>
          <w:szCs w:val="32"/>
        </w:rPr>
      </w:pPr>
      <w:r>
        <w:rPr>
          <w:rFonts w:hint="eastAsia" w:ascii="黑体" w:hAnsi="黑体" w:eastAsia="黑体"/>
          <w:sz w:val="32"/>
          <w:szCs w:val="32"/>
        </w:rPr>
        <w:t>表</w:t>
      </w:r>
      <w:r>
        <w:rPr>
          <w:rFonts w:hint="eastAsia" w:ascii="黑体" w:hAnsi="黑体" w:eastAsia="黑体"/>
          <w:sz w:val="32"/>
          <w:szCs w:val="32"/>
          <w:lang w:val="en-US" w:eastAsia="zh-CN"/>
        </w:rPr>
        <w:t>1</w:t>
      </w:r>
      <w:r>
        <w:rPr>
          <w:rFonts w:hint="eastAsia" w:ascii="黑体" w:hAnsi="黑体" w:eastAsia="黑体"/>
          <w:sz w:val="32"/>
          <w:szCs w:val="32"/>
        </w:rPr>
        <w:t>：综合评价得分情况表</w:t>
      </w:r>
    </w:p>
    <w:tbl>
      <w:tblPr>
        <w:tblStyle w:val="9"/>
        <w:tblW w:w="80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9"/>
        <w:gridCol w:w="2126"/>
        <w:gridCol w:w="155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2689" w:type="dxa"/>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643" w:firstLineChars="200"/>
              <w:jc w:val="center"/>
              <w:textAlignment w:val="auto"/>
              <w:rPr>
                <w:rFonts w:ascii="宋体" w:hAnsi="宋体" w:cs="宋体"/>
                <w:b/>
                <w:bCs/>
                <w:color w:val="000000"/>
                <w:kern w:val="0"/>
                <w:sz w:val="32"/>
                <w:szCs w:val="32"/>
              </w:rPr>
            </w:pPr>
            <w:r>
              <w:rPr>
                <w:rFonts w:hint="eastAsia" w:ascii="宋体" w:hAnsi="宋体" w:cs="宋体"/>
                <w:b/>
                <w:bCs/>
                <w:color w:val="000000"/>
                <w:kern w:val="0"/>
                <w:sz w:val="32"/>
                <w:szCs w:val="32"/>
              </w:rPr>
              <w:t>一级指标</w:t>
            </w:r>
          </w:p>
        </w:tc>
        <w:tc>
          <w:tcPr>
            <w:tcW w:w="2126" w:type="dxa"/>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643" w:firstLineChars="200"/>
              <w:jc w:val="center"/>
              <w:textAlignment w:val="auto"/>
              <w:rPr>
                <w:rFonts w:ascii="宋体" w:hAnsi="宋体" w:cs="宋体"/>
                <w:b/>
                <w:bCs/>
                <w:color w:val="000000"/>
                <w:kern w:val="0"/>
                <w:sz w:val="32"/>
                <w:szCs w:val="32"/>
              </w:rPr>
            </w:pPr>
            <w:r>
              <w:rPr>
                <w:rFonts w:hint="eastAsia" w:ascii="宋体" w:hAnsi="宋体" w:cs="宋体"/>
                <w:b/>
                <w:bCs/>
                <w:color w:val="000000"/>
                <w:kern w:val="0"/>
                <w:sz w:val="32"/>
                <w:szCs w:val="32"/>
              </w:rPr>
              <w:t>二级指标</w:t>
            </w:r>
          </w:p>
        </w:tc>
        <w:tc>
          <w:tcPr>
            <w:tcW w:w="1559" w:type="dxa"/>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643" w:firstLineChars="200"/>
              <w:jc w:val="center"/>
              <w:textAlignment w:val="auto"/>
              <w:rPr>
                <w:rFonts w:ascii="宋体" w:hAnsi="宋体" w:cs="宋体"/>
                <w:b/>
                <w:bCs/>
                <w:color w:val="000000"/>
                <w:kern w:val="0"/>
                <w:sz w:val="32"/>
                <w:szCs w:val="32"/>
              </w:rPr>
            </w:pPr>
            <w:r>
              <w:rPr>
                <w:rFonts w:hint="eastAsia" w:ascii="宋体" w:hAnsi="宋体" w:cs="宋体"/>
                <w:b/>
                <w:bCs/>
                <w:color w:val="000000"/>
                <w:kern w:val="0"/>
                <w:sz w:val="32"/>
                <w:szCs w:val="32"/>
              </w:rPr>
              <w:t>分值</w:t>
            </w:r>
          </w:p>
        </w:tc>
        <w:tc>
          <w:tcPr>
            <w:tcW w:w="1701" w:type="dxa"/>
            <w:vAlign w:val="center"/>
          </w:tcPr>
          <w:p>
            <w:pPr>
              <w:pageBreakBefore w:val="0"/>
              <w:widowControl/>
              <w:kinsoku/>
              <w:wordWrap/>
              <w:overflowPunct/>
              <w:topLinePunct w:val="0"/>
              <w:autoSpaceDE/>
              <w:autoSpaceDN/>
              <w:bidi w:val="0"/>
              <w:adjustRightInd w:val="0"/>
              <w:snapToGrid w:val="0"/>
              <w:spacing w:line="560" w:lineRule="exact"/>
              <w:ind w:firstLine="643" w:firstLineChars="200"/>
              <w:jc w:val="center"/>
              <w:textAlignment w:val="auto"/>
              <w:rPr>
                <w:rFonts w:ascii="宋体" w:hAnsi="宋体" w:cs="宋体"/>
                <w:b/>
                <w:bCs/>
                <w:color w:val="000000"/>
                <w:kern w:val="0"/>
                <w:sz w:val="32"/>
                <w:szCs w:val="32"/>
              </w:rPr>
            </w:pPr>
            <w:r>
              <w:rPr>
                <w:rFonts w:hint="eastAsia" w:ascii="宋体" w:hAnsi="宋体" w:cs="宋体"/>
                <w:b/>
                <w:bCs/>
                <w:color w:val="000000"/>
                <w:kern w:val="0"/>
                <w:sz w:val="32"/>
                <w:szCs w:val="3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689" w:type="dxa"/>
            <w:shd w:val="clear" w:color="auto" w:fill="auto"/>
            <w:vAlign w:val="center"/>
          </w:tcPr>
          <w:p>
            <w:pPr>
              <w:pageBreakBefore w:val="0"/>
              <w:widowControl/>
              <w:kinsoku/>
              <w:wordWrap/>
              <w:overflowPunct/>
              <w:topLinePunct w:val="0"/>
              <w:autoSpaceDE/>
              <w:autoSpaceDN/>
              <w:bidi w:val="0"/>
              <w:adjustRightInd w:val="0"/>
              <w:snapToGrid w:val="0"/>
              <w:spacing w:line="560" w:lineRule="exact"/>
              <w:jc w:val="center"/>
              <w:textAlignment w:val="auto"/>
              <w:rPr>
                <w:rFonts w:ascii="宋体" w:hAnsi="宋体" w:cs="宋体"/>
                <w:color w:val="000000"/>
                <w:kern w:val="0"/>
                <w:sz w:val="32"/>
                <w:szCs w:val="32"/>
              </w:rPr>
            </w:pPr>
            <w:r>
              <w:rPr>
                <w:rFonts w:hint="eastAsia" w:ascii="宋体" w:hAnsi="宋体" w:cs="宋体"/>
                <w:color w:val="000000"/>
                <w:kern w:val="0"/>
                <w:sz w:val="32"/>
                <w:szCs w:val="32"/>
              </w:rPr>
              <w:t>当年预算执行情况</w:t>
            </w:r>
          </w:p>
        </w:tc>
        <w:tc>
          <w:tcPr>
            <w:tcW w:w="2126" w:type="dxa"/>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center"/>
              <w:textAlignment w:val="auto"/>
              <w:rPr>
                <w:rFonts w:ascii="宋体" w:hAnsi="宋体" w:cs="宋体"/>
                <w:color w:val="000000"/>
                <w:kern w:val="0"/>
                <w:sz w:val="32"/>
                <w:szCs w:val="32"/>
              </w:rPr>
            </w:pPr>
            <w:r>
              <w:rPr>
                <w:rFonts w:hint="eastAsia" w:ascii="宋体" w:hAnsi="宋体" w:cs="宋体"/>
                <w:color w:val="000000"/>
                <w:kern w:val="0"/>
                <w:sz w:val="32"/>
                <w:szCs w:val="32"/>
              </w:rPr>
              <w:t>——</w:t>
            </w:r>
          </w:p>
        </w:tc>
        <w:tc>
          <w:tcPr>
            <w:tcW w:w="1559"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color w:val="000000"/>
                <w:sz w:val="32"/>
                <w:szCs w:val="32"/>
              </w:rPr>
            </w:pPr>
            <w:r>
              <w:rPr>
                <w:rFonts w:hint="eastAsia"/>
                <w:color w:val="000000"/>
                <w:sz w:val="32"/>
                <w:szCs w:val="32"/>
              </w:rPr>
              <w:t>20</w:t>
            </w:r>
          </w:p>
        </w:tc>
        <w:tc>
          <w:tcPr>
            <w:tcW w:w="1701" w:type="dxa"/>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default" w:eastAsia="宋体"/>
                <w:color w:val="000000"/>
                <w:sz w:val="32"/>
                <w:szCs w:val="32"/>
                <w:lang w:val="en-US" w:eastAsia="zh-CN"/>
              </w:rPr>
            </w:pPr>
            <w:r>
              <w:rPr>
                <w:rFonts w:hint="eastAsia"/>
                <w:color w:val="000000"/>
                <w:sz w:val="32"/>
                <w:szCs w:val="32"/>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689" w:type="dxa"/>
            <w:vMerge w:val="restart"/>
            <w:shd w:val="clear" w:color="auto" w:fill="auto"/>
            <w:vAlign w:val="center"/>
          </w:tcPr>
          <w:p>
            <w:pPr>
              <w:pageBreakBefore w:val="0"/>
              <w:widowControl/>
              <w:kinsoku/>
              <w:wordWrap/>
              <w:overflowPunct/>
              <w:topLinePunct w:val="0"/>
              <w:autoSpaceDE/>
              <w:autoSpaceDN/>
              <w:bidi w:val="0"/>
              <w:adjustRightInd w:val="0"/>
              <w:snapToGrid w:val="0"/>
              <w:spacing w:line="560" w:lineRule="exact"/>
              <w:jc w:val="center"/>
              <w:textAlignment w:val="auto"/>
              <w:rPr>
                <w:rFonts w:ascii="宋体" w:hAnsi="宋体" w:cs="宋体"/>
                <w:color w:val="000000"/>
                <w:kern w:val="0"/>
                <w:sz w:val="32"/>
                <w:szCs w:val="32"/>
              </w:rPr>
            </w:pPr>
            <w:r>
              <w:rPr>
                <w:rFonts w:hint="eastAsia" w:ascii="宋体" w:hAnsi="宋体" w:cs="宋体"/>
                <w:color w:val="000000"/>
                <w:kern w:val="0"/>
                <w:sz w:val="32"/>
                <w:szCs w:val="32"/>
              </w:rPr>
              <w:t>整体绩效目标实现情况</w:t>
            </w:r>
          </w:p>
        </w:tc>
        <w:tc>
          <w:tcPr>
            <w:tcW w:w="2126" w:type="dxa"/>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ascii="宋体" w:hAnsi="宋体" w:cs="宋体"/>
                <w:color w:val="000000"/>
                <w:kern w:val="0"/>
                <w:sz w:val="32"/>
                <w:szCs w:val="32"/>
              </w:rPr>
            </w:pPr>
            <w:r>
              <w:rPr>
                <w:rFonts w:hint="eastAsia" w:ascii="宋体" w:hAnsi="宋体" w:cs="宋体"/>
                <w:color w:val="000000"/>
                <w:kern w:val="0"/>
                <w:sz w:val="32"/>
                <w:szCs w:val="32"/>
              </w:rPr>
              <w:t>小计</w:t>
            </w:r>
          </w:p>
        </w:tc>
        <w:tc>
          <w:tcPr>
            <w:tcW w:w="1559"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color w:val="000000"/>
                <w:sz w:val="32"/>
                <w:szCs w:val="32"/>
              </w:rPr>
            </w:pPr>
            <w:r>
              <w:rPr>
                <w:rFonts w:hint="eastAsia"/>
                <w:color w:val="000000"/>
                <w:sz w:val="32"/>
                <w:szCs w:val="32"/>
              </w:rPr>
              <w:t>60</w:t>
            </w:r>
          </w:p>
        </w:tc>
        <w:tc>
          <w:tcPr>
            <w:tcW w:w="1701" w:type="dxa"/>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default" w:eastAsia="宋体"/>
                <w:color w:val="000000"/>
                <w:sz w:val="32"/>
                <w:szCs w:val="32"/>
                <w:lang w:val="en-US" w:eastAsia="zh-CN"/>
              </w:rPr>
            </w:pPr>
            <w:r>
              <w:rPr>
                <w:rFonts w:hint="eastAsia"/>
                <w:color w:val="000000"/>
                <w:sz w:val="32"/>
                <w:szCs w:val="32"/>
                <w:lang w:val="en-US" w:eastAsia="zh-CN"/>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689" w:type="dxa"/>
            <w:vMerge w:val="continue"/>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center"/>
              <w:textAlignment w:val="auto"/>
              <w:rPr>
                <w:rFonts w:ascii="宋体" w:hAnsi="宋体" w:cs="宋体"/>
                <w:color w:val="000000"/>
                <w:kern w:val="0"/>
                <w:sz w:val="32"/>
                <w:szCs w:val="32"/>
              </w:rPr>
            </w:pPr>
          </w:p>
        </w:tc>
        <w:tc>
          <w:tcPr>
            <w:tcW w:w="2126"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ascii="宋体" w:hAnsi="宋体" w:cs="宋体"/>
                <w:color w:val="000000"/>
                <w:kern w:val="0"/>
                <w:sz w:val="32"/>
                <w:szCs w:val="32"/>
              </w:rPr>
            </w:pPr>
            <w:r>
              <w:rPr>
                <w:rFonts w:hint="eastAsia" w:ascii="宋体" w:hAnsi="宋体" w:cs="宋体"/>
                <w:color w:val="000000"/>
                <w:kern w:val="0"/>
                <w:sz w:val="32"/>
                <w:szCs w:val="32"/>
              </w:rPr>
              <w:t>产出</w:t>
            </w:r>
          </w:p>
        </w:tc>
        <w:tc>
          <w:tcPr>
            <w:tcW w:w="1559"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color w:val="000000"/>
                <w:sz w:val="32"/>
                <w:szCs w:val="32"/>
              </w:rPr>
            </w:pPr>
            <w:r>
              <w:rPr>
                <w:rFonts w:hint="eastAsia"/>
                <w:color w:val="000000"/>
                <w:sz w:val="32"/>
                <w:szCs w:val="32"/>
              </w:rPr>
              <w:t>30</w:t>
            </w:r>
          </w:p>
        </w:tc>
        <w:tc>
          <w:tcPr>
            <w:tcW w:w="1701" w:type="dxa"/>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default" w:eastAsia="宋体"/>
                <w:color w:val="000000"/>
                <w:sz w:val="32"/>
                <w:szCs w:val="32"/>
                <w:lang w:val="en-US" w:eastAsia="zh-CN"/>
              </w:rPr>
            </w:pPr>
            <w:r>
              <w:rPr>
                <w:rFonts w:hint="eastAsia"/>
                <w:color w:val="000000"/>
                <w:sz w:val="32"/>
                <w:szCs w:val="32"/>
                <w:lang w:val="en-US" w:eastAsia="zh-CN"/>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689" w:type="dxa"/>
            <w:vMerge w:val="continue"/>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center"/>
              <w:textAlignment w:val="auto"/>
              <w:rPr>
                <w:rFonts w:ascii="宋体" w:hAnsi="宋体" w:cs="宋体"/>
                <w:color w:val="000000"/>
                <w:kern w:val="0"/>
                <w:sz w:val="32"/>
                <w:szCs w:val="32"/>
              </w:rPr>
            </w:pPr>
          </w:p>
        </w:tc>
        <w:tc>
          <w:tcPr>
            <w:tcW w:w="2126"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ascii="宋体" w:hAnsi="宋体" w:cs="宋体"/>
                <w:color w:val="000000"/>
                <w:kern w:val="0"/>
                <w:sz w:val="32"/>
                <w:szCs w:val="32"/>
              </w:rPr>
            </w:pPr>
            <w:r>
              <w:rPr>
                <w:rFonts w:hint="eastAsia" w:ascii="宋体" w:hAnsi="宋体" w:cs="宋体"/>
                <w:color w:val="000000"/>
                <w:kern w:val="0"/>
                <w:sz w:val="32"/>
                <w:szCs w:val="32"/>
              </w:rPr>
              <w:t>效果</w:t>
            </w:r>
          </w:p>
        </w:tc>
        <w:tc>
          <w:tcPr>
            <w:tcW w:w="1559"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color w:val="000000"/>
                <w:sz w:val="32"/>
                <w:szCs w:val="32"/>
              </w:rPr>
            </w:pPr>
            <w:r>
              <w:rPr>
                <w:rFonts w:hint="eastAsia"/>
                <w:color w:val="000000"/>
                <w:sz w:val="32"/>
                <w:szCs w:val="32"/>
              </w:rPr>
              <w:t>30</w:t>
            </w:r>
          </w:p>
        </w:tc>
        <w:tc>
          <w:tcPr>
            <w:tcW w:w="1701" w:type="dxa"/>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default" w:eastAsia="宋体"/>
                <w:color w:val="000000"/>
                <w:sz w:val="32"/>
                <w:szCs w:val="32"/>
                <w:lang w:val="en-US" w:eastAsia="zh-CN"/>
              </w:rPr>
            </w:pPr>
            <w:r>
              <w:rPr>
                <w:rFonts w:hint="eastAsia"/>
                <w:color w:val="000000"/>
                <w:sz w:val="32"/>
                <w:szCs w:val="32"/>
                <w:lang w:val="en-US" w:eastAsia="zh-CN"/>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689" w:type="dxa"/>
            <w:vMerge w:val="restart"/>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jc w:val="center"/>
              <w:textAlignment w:val="auto"/>
              <w:rPr>
                <w:rFonts w:ascii="宋体" w:hAnsi="宋体" w:cs="宋体"/>
                <w:color w:val="000000"/>
                <w:kern w:val="0"/>
                <w:sz w:val="32"/>
                <w:szCs w:val="32"/>
              </w:rPr>
            </w:pPr>
            <w:r>
              <w:rPr>
                <w:rFonts w:hint="eastAsia" w:ascii="宋体" w:hAnsi="宋体" w:cs="宋体"/>
                <w:color w:val="000000"/>
                <w:kern w:val="0"/>
                <w:sz w:val="32"/>
                <w:szCs w:val="32"/>
              </w:rPr>
              <w:t>预算管理情况</w:t>
            </w:r>
          </w:p>
        </w:tc>
        <w:tc>
          <w:tcPr>
            <w:tcW w:w="2126" w:type="dxa"/>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ascii="宋体" w:hAnsi="宋体" w:cs="宋体"/>
                <w:color w:val="000000"/>
                <w:kern w:val="0"/>
                <w:sz w:val="32"/>
                <w:szCs w:val="32"/>
              </w:rPr>
            </w:pPr>
            <w:r>
              <w:rPr>
                <w:rFonts w:hint="eastAsia" w:ascii="宋体" w:hAnsi="宋体" w:cs="宋体"/>
                <w:color w:val="000000"/>
                <w:kern w:val="0"/>
                <w:sz w:val="32"/>
                <w:szCs w:val="32"/>
              </w:rPr>
              <w:t>小计</w:t>
            </w:r>
          </w:p>
        </w:tc>
        <w:tc>
          <w:tcPr>
            <w:tcW w:w="1559"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color w:val="000000"/>
                <w:sz w:val="32"/>
                <w:szCs w:val="32"/>
              </w:rPr>
            </w:pPr>
            <w:r>
              <w:rPr>
                <w:rFonts w:hint="eastAsia"/>
                <w:color w:val="000000"/>
                <w:sz w:val="32"/>
                <w:szCs w:val="32"/>
              </w:rPr>
              <w:t>20</w:t>
            </w:r>
          </w:p>
        </w:tc>
        <w:tc>
          <w:tcPr>
            <w:tcW w:w="1701" w:type="dxa"/>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default" w:eastAsia="宋体"/>
                <w:color w:val="000000"/>
                <w:sz w:val="32"/>
                <w:szCs w:val="32"/>
                <w:lang w:val="en-US" w:eastAsia="zh-CN"/>
              </w:rPr>
            </w:pPr>
            <w:r>
              <w:rPr>
                <w:rFonts w:hint="eastAsia"/>
                <w:color w:val="000000"/>
                <w:sz w:val="32"/>
                <w:szCs w:val="32"/>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689" w:type="dxa"/>
            <w:vMerge w:val="continue"/>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center"/>
              <w:textAlignment w:val="auto"/>
              <w:rPr>
                <w:rFonts w:ascii="宋体" w:hAnsi="宋体" w:cs="宋体"/>
                <w:color w:val="000000"/>
                <w:kern w:val="0"/>
                <w:sz w:val="32"/>
                <w:szCs w:val="32"/>
              </w:rPr>
            </w:pPr>
          </w:p>
        </w:tc>
        <w:tc>
          <w:tcPr>
            <w:tcW w:w="2126"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jc w:val="center"/>
              <w:textAlignment w:val="auto"/>
              <w:rPr>
                <w:rFonts w:ascii="宋体" w:hAnsi="宋体" w:cs="宋体"/>
                <w:color w:val="000000"/>
                <w:kern w:val="0"/>
                <w:sz w:val="32"/>
                <w:szCs w:val="32"/>
              </w:rPr>
            </w:pPr>
            <w:r>
              <w:rPr>
                <w:rFonts w:hint="eastAsia" w:ascii="宋体" w:hAnsi="宋体" w:cs="宋体"/>
                <w:color w:val="000000"/>
                <w:kern w:val="0"/>
                <w:sz w:val="32"/>
                <w:szCs w:val="32"/>
              </w:rPr>
              <w:t>财务管理</w:t>
            </w:r>
          </w:p>
        </w:tc>
        <w:tc>
          <w:tcPr>
            <w:tcW w:w="1559"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color w:val="000000"/>
                <w:sz w:val="32"/>
                <w:szCs w:val="32"/>
              </w:rPr>
            </w:pPr>
            <w:r>
              <w:rPr>
                <w:rFonts w:hint="eastAsia"/>
                <w:color w:val="000000"/>
                <w:sz w:val="32"/>
                <w:szCs w:val="32"/>
              </w:rPr>
              <w:t>4</w:t>
            </w:r>
          </w:p>
        </w:tc>
        <w:tc>
          <w:tcPr>
            <w:tcW w:w="1701" w:type="dxa"/>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color w:val="000000"/>
                <w:sz w:val="32"/>
                <w:szCs w:val="32"/>
              </w:rPr>
            </w:pPr>
            <w:r>
              <w:rPr>
                <w:rFonts w:hint="eastAsia"/>
                <w:color w:val="000000"/>
                <w:sz w:val="32"/>
                <w:szCs w:val="3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689" w:type="dxa"/>
            <w:vMerge w:val="continue"/>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center"/>
              <w:textAlignment w:val="auto"/>
              <w:rPr>
                <w:rFonts w:ascii="宋体" w:hAnsi="宋体" w:cs="宋体"/>
                <w:color w:val="000000"/>
                <w:kern w:val="0"/>
                <w:sz w:val="32"/>
                <w:szCs w:val="32"/>
              </w:rPr>
            </w:pPr>
          </w:p>
        </w:tc>
        <w:tc>
          <w:tcPr>
            <w:tcW w:w="2126"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jc w:val="center"/>
              <w:textAlignment w:val="auto"/>
              <w:rPr>
                <w:rFonts w:ascii="宋体" w:hAnsi="宋体" w:cs="宋体"/>
                <w:color w:val="000000"/>
                <w:kern w:val="0"/>
                <w:sz w:val="32"/>
                <w:szCs w:val="32"/>
              </w:rPr>
            </w:pPr>
            <w:r>
              <w:rPr>
                <w:rFonts w:hint="eastAsia" w:ascii="宋体" w:hAnsi="宋体" w:cs="宋体"/>
                <w:color w:val="000000"/>
                <w:kern w:val="0"/>
                <w:sz w:val="32"/>
                <w:szCs w:val="32"/>
              </w:rPr>
              <w:t>资产管理</w:t>
            </w:r>
          </w:p>
        </w:tc>
        <w:tc>
          <w:tcPr>
            <w:tcW w:w="1559"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color w:val="000000"/>
                <w:sz w:val="32"/>
                <w:szCs w:val="32"/>
              </w:rPr>
            </w:pPr>
            <w:r>
              <w:rPr>
                <w:rFonts w:hint="eastAsia"/>
                <w:color w:val="000000"/>
                <w:sz w:val="32"/>
                <w:szCs w:val="32"/>
              </w:rPr>
              <w:t>4</w:t>
            </w:r>
          </w:p>
        </w:tc>
        <w:tc>
          <w:tcPr>
            <w:tcW w:w="1701" w:type="dxa"/>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color w:val="000000"/>
                <w:sz w:val="32"/>
                <w:szCs w:val="32"/>
              </w:rPr>
            </w:pPr>
            <w:r>
              <w:rPr>
                <w:rFonts w:hint="eastAsia"/>
                <w:color w:val="000000"/>
                <w:sz w:val="32"/>
                <w:szCs w:val="3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689" w:type="dxa"/>
            <w:vMerge w:val="continue"/>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center"/>
              <w:textAlignment w:val="auto"/>
              <w:rPr>
                <w:rFonts w:ascii="宋体" w:hAnsi="宋体" w:cs="宋体"/>
                <w:color w:val="000000"/>
                <w:kern w:val="0"/>
                <w:sz w:val="32"/>
                <w:szCs w:val="32"/>
              </w:rPr>
            </w:pPr>
          </w:p>
        </w:tc>
        <w:tc>
          <w:tcPr>
            <w:tcW w:w="2126"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jc w:val="center"/>
              <w:textAlignment w:val="auto"/>
              <w:rPr>
                <w:rFonts w:ascii="宋体" w:hAnsi="宋体" w:cs="宋体"/>
                <w:color w:val="000000"/>
                <w:kern w:val="0"/>
                <w:sz w:val="32"/>
                <w:szCs w:val="32"/>
              </w:rPr>
            </w:pPr>
            <w:r>
              <w:rPr>
                <w:rFonts w:hint="eastAsia" w:ascii="宋体" w:hAnsi="宋体" w:cs="宋体"/>
                <w:color w:val="000000"/>
                <w:kern w:val="0"/>
                <w:sz w:val="32"/>
                <w:szCs w:val="32"/>
              </w:rPr>
              <w:t>绩效管理</w:t>
            </w:r>
          </w:p>
        </w:tc>
        <w:tc>
          <w:tcPr>
            <w:tcW w:w="1559"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color w:val="000000"/>
                <w:sz w:val="32"/>
                <w:szCs w:val="32"/>
              </w:rPr>
            </w:pPr>
            <w:r>
              <w:rPr>
                <w:rFonts w:hint="eastAsia"/>
                <w:color w:val="000000"/>
                <w:sz w:val="32"/>
                <w:szCs w:val="32"/>
              </w:rPr>
              <w:t>4</w:t>
            </w:r>
          </w:p>
        </w:tc>
        <w:tc>
          <w:tcPr>
            <w:tcW w:w="1701" w:type="dxa"/>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color w:val="000000"/>
                <w:sz w:val="32"/>
                <w:szCs w:val="32"/>
              </w:rPr>
            </w:pPr>
            <w:r>
              <w:rPr>
                <w:rFonts w:hint="eastAsia"/>
                <w:color w:val="000000"/>
                <w:sz w:val="32"/>
                <w:szCs w:val="3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689" w:type="dxa"/>
            <w:vMerge w:val="continue"/>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center"/>
              <w:textAlignment w:val="auto"/>
              <w:rPr>
                <w:rFonts w:ascii="宋体" w:hAnsi="宋体" w:cs="宋体"/>
                <w:color w:val="000000"/>
                <w:kern w:val="0"/>
                <w:sz w:val="32"/>
                <w:szCs w:val="32"/>
              </w:rPr>
            </w:pPr>
          </w:p>
        </w:tc>
        <w:tc>
          <w:tcPr>
            <w:tcW w:w="2126"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jc w:val="center"/>
              <w:textAlignment w:val="auto"/>
              <w:rPr>
                <w:rFonts w:ascii="宋体" w:hAnsi="宋体" w:cs="宋体"/>
                <w:color w:val="000000"/>
                <w:kern w:val="0"/>
                <w:sz w:val="32"/>
                <w:szCs w:val="32"/>
              </w:rPr>
            </w:pPr>
            <w:r>
              <w:rPr>
                <w:rFonts w:hint="eastAsia" w:ascii="宋体" w:hAnsi="宋体" w:cs="宋体"/>
                <w:color w:val="000000"/>
                <w:kern w:val="0"/>
                <w:sz w:val="32"/>
                <w:szCs w:val="32"/>
              </w:rPr>
              <w:t>结转结余率</w:t>
            </w:r>
          </w:p>
        </w:tc>
        <w:tc>
          <w:tcPr>
            <w:tcW w:w="1559"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color w:val="000000"/>
                <w:sz w:val="32"/>
                <w:szCs w:val="32"/>
              </w:rPr>
            </w:pPr>
            <w:r>
              <w:rPr>
                <w:rFonts w:hint="eastAsia"/>
                <w:color w:val="000000"/>
                <w:sz w:val="32"/>
                <w:szCs w:val="32"/>
              </w:rPr>
              <w:t>4</w:t>
            </w:r>
          </w:p>
        </w:tc>
        <w:tc>
          <w:tcPr>
            <w:tcW w:w="1701" w:type="dxa"/>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eastAsia" w:eastAsia="宋体"/>
                <w:color w:val="000000"/>
                <w:sz w:val="32"/>
                <w:szCs w:val="32"/>
                <w:lang w:eastAsia="zh-CN"/>
              </w:rPr>
            </w:pPr>
            <w:r>
              <w:rPr>
                <w:rFonts w:hint="eastAsia"/>
                <w:color w:val="000000"/>
                <w:sz w:val="32"/>
                <w:szCs w:val="3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689" w:type="dxa"/>
            <w:vMerge w:val="continue"/>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center"/>
              <w:textAlignment w:val="auto"/>
              <w:rPr>
                <w:rFonts w:ascii="宋体" w:hAnsi="宋体" w:cs="宋体"/>
                <w:color w:val="000000"/>
                <w:kern w:val="0"/>
                <w:sz w:val="32"/>
                <w:szCs w:val="32"/>
              </w:rPr>
            </w:pPr>
          </w:p>
        </w:tc>
        <w:tc>
          <w:tcPr>
            <w:tcW w:w="2126"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jc w:val="center"/>
              <w:textAlignment w:val="auto"/>
              <w:rPr>
                <w:rFonts w:ascii="宋体" w:hAnsi="宋体" w:cs="宋体"/>
                <w:color w:val="000000"/>
                <w:kern w:val="0"/>
                <w:sz w:val="32"/>
                <w:szCs w:val="32"/>
              </w:rPr>
            </w:pPr>
            <w:r>
              <w:rPr>
                <w:rFonts w:hint="eastAsia" w:ascii="宋体" w:hAnsi="宋体" w:cs="宋体"/>
                <w:color w:val="000000"/>
                <w:kern w:val="0"/>
                <w:sz w:val="32"/>
                <w:szCs w:val="32"/>
              </w:rPr>
              <w:t>部门预决算差异率</w:t>
            </w:r>
          </w:p>
        </w:tc>
        <w:tc>
          <w:tcPr>
            <w:tcW w:w="1559"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color w:val="000000"/>
                <w:sz w:val="32"/>
                <w:szCs w:val="32"/>
              </w:rPr>
            </w:pPr>
            <w:r>
              <w:rPr>
                <w:rFonts w:hint="eastAsia"/>
                <w:color w:val="000000"/>
                <w:sz w:val="32"/>
                <w:szCs w:val="32"/>
              </w:rPr>
              <w:t>4</w:t>
            </w:r>
          </w:p>
        </w:tc>
        <w:tc>
          <w:tcPr>
            <w:tcW w:w="1701" w:type="dxa"/>
            <w:vAlign w:val="center"/>
          </w:tcPr>
          <w:p>
            <w:pPr>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color w:val="000000"/>
                <w:sz w:val="32"/>
                <w:szCs w:val="32"/>
              </w:rPr>
            </w:pPr>
            <w:r>
              <w:rPr>
                <w:rFonts w:hint="eastAsia"/>
                <w:color w:val="000000"/>
                <w:sz w:val="32"/>
                <w:szCs w:val="3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815" w:type="dxa"/>
            <w:gridSpan w:val="2"/>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ind w:firstLine="643" w:firstLineChars="200"/>
              <w:jc w:val="center"/>
              <w:textAlignment w:val="auto"/>
              <w:rPr>
                <w:rFonts w:ascii="宋体" w:hAnsi="宋体" w:cs="宋体"/>
                <w:b/>
                <w:bCs/>
                <w:color w:val="000000"/>
                <w:kern w:val="0"/>
                <w:sz w:val="32"/>
                <w:szCs w:val="32"/>
              </w:rPr>
            </w:pPr>
            <w:r>
              <w:rPr>
                <w:rFonts w:hint="eastAsia" w:ascii="宋体" w:hAnsi="宋体" w:cs="宋体"/>
                <w:b/>
                <w:bCs/>
                <w:color w:val="000000"/>
                <w:kern w:val="0"/>
                <w:sz w:val="32"/>
                <w:szCs w:val="32"/>
              </w:rPr>
              <w:t>合计</w:t>
            </w:r>
          </w:p>
        </w:tc>
        <w:tc>
          <w:tcPr>
            <w:tcW w:w="1559" w:type="dxa"/>
            <w:shd w:val="clear" w:color="auto" w:fill="auto"/>
            <w:noWrap/>
            <w:vAlign w:val="center"/>
          </w:tcPr>
          <w:p>
            <w:pPr>
              <w:pageBreakBefore w:val="0"/>
              <w:widowControl/>
              <w:kinsoku/>
              <w:wordWrap/>
              <w:overflowPunct/>
              <w:topLinePunct w:val="0"/>
              <w:autoSpaceDE/>
              <w:autoSpaceDN/>
              <w:bidi w:val="0"/>
              <w:adjustRightInd w:val="0"/>
              <w:snapToGrid w:val="0"/>
              <w:spacing w:line="560" w:lineRule="exact"/>
              <w:ind w:firstLine="643" w:firstLineChars="200"/>
              <w:jc w:val="both"/>
              <w:textAlignment w:val="auto"/>
              <w:rPr>
                <w:b/>
                <w:bCs/>
                <w:color w:val="000000"/>
                <w:sz w:val="32"/>
                <w:szCs w:val="32"/>
              </w:rPr>
            </w:pPr>
            <w:r>
              <w:rPr>
                <w:rFonts w:hint="eastAsia"/>
                <w:b/>
                <w:bCs/>
                <w:color w:val="000000"/>
                <w:sz w:val="32"/>
                <w:szCs w:val="32"/>
              </w:rPr>
              <w:t>100</w:t>
            </w:r>
          </w:p>
        </w:tc>
        <w:tc>
          <w:tcPr>
            <w:tcW w:w="1701" w:type="dxa"/>
            <w:vAlign w:val="center"/>
          </w:tcPr>
          <w:p>
            <w:pPr>
              <w:pageBreakBefore w:val="0"/>
              <w:widowControl/>
              <w:kinsoku/>
              <w:wordWrap/>
              <w:overflowPunct/>
              <w:topLinePunct w:val="0"/>
              <w:autoSpaceDE/>
              <w:autoSpaceDN/>
              <w:bidi w:val="0"/>
              <w:adjustRightInd w:val="0"/>
              <w:snapToGrid w:val="0"/>
              <w:spacing w:line="560" w:lineRule="exact"/>
              <w:ind w:firstLine="643" w:firstLineChars="200"/>
              <w:jc w:val="both"/>
              <w:textAlignment w:val="auto"/>
              <w:rPr>
                <w:b/>
                <w:bCs/>
                <w:color w:val="000000"/>
                <w:sz w:val="32"/>
                <w:szCs w:val="32"/>
              </w:rPr>
            </w:pPr>
            <w:r>
              <w:rPr>
                <w:rFonts w:hint="eastAsia"/>
                <w:b/>
                <w:bCs/>
                <w:color w:val="000000"/>
                <w:sz w:val="32"/>
                <w:szCs w:val="32"/>
              </w:rPr>
              <w:t>92</w:t>
            </w:r>
          </w:p>
        </w:tc>
      </w:tr>
    </w:tbl>
    <w:p>
      <w:pPr>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楷体_GB2312" w:eastAsia="楷体_GB2312"/>
          <w:b w:val="0"/>
          <w:bCs w:val="0"/>
          <w:sz w:val="32"/>
          <w:szCs w:val="32"/>
          <w:lang w:eastAsia="zh-CN"/>
        </w:rPr>
      </w:pPr>
    </w:p>
    <w:p>
      <w:pPr>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楷体_GB2312" w:eastAsia="楷体_GB2312"/>
          <w:b w:val="0"/>
          <w:bCs w:val="0"/>
          <w:sz w:val="32"/>
          <w:szCs w:val="32"/>
        </w:rPr>
      </w:pPr>
      <w:r>
        <w:rPr>
          <w:rFonts w:hint="eastAsia" w:ascii="楷体_GB2312" w:eastAsia="楷体_GB2312"/>
          <w:b w:val="0"/>
          <w:bCs w:val="0"/>
          <w:sz w:val="32"/>
          <w:szCs w:val="32"/>
          <w:lang w:eastAsia="zh-CN"/>
        </w:rPr>
        <w:t>（</w:t>
      </w:r>
      <w:r>
        <w:rPr>
          <w:rFonts w:hint="eastAsia" w:ascii="楷体_GB2312" w:eastAsia="楷体_GB2312"/>
          <w:b w:val="0"/>
          <w:bCs w:val="0"/>
          <w:sz w:val="32"/>
          <w:szCs w:val="32"/>
          <w:lang w:val="en-US" w:eastAsia="zh-CN"/>
        </w:rPr>
        <w:t>二</w:t>
      </w:r>
      <w:r>
        <w:rPr>
          <w:rFonts w:hint="eastAsia" w:ascii="楷体_GB2312" w:eastAsia="楷体_GB2312"/>
          <w:b w:val="0"/>
          <w:bCs w:val="0"/>
          <w:sz w:val="32"/>
          <w:szCs w:val="32"/>
          <w:lang w:eastAsia="zh-CN"/>
        </w:rPr>
        <w:t>）</w:t>
      </w:r>
      <w:r>
        <w:rPr>
          <w:rFonts w:hint="eastAsia" w:ascii="楷体_GB2312" w:eastAsia="楷体_GB2312"/>
          <w:b w:val="0"/>
          <w:bCs w:val="0"/>
          <w:sz w:val="32"/>
          <w:szCs w:val="32"/>
        </w:rPr>
        <w:t>存在的问题及原因分析</w:t>
      </w:r>
    </w:p>
    <w:p>
      <w:pPr>
        <w:pStyle w:val="18"/>
        <w:pageBreakBefore w:val="0"/>
        <w:kinsoku/>
        <w:wordWrap/>
        <w:overflowPunct/>
        <w:topLinePunct w:val="0"/>
        <w:autoSpaceDE/>
        <w:autoSpaceDN/>
        <w:bidi w:val="0"/>
        <w:spacing w:line="560" w:lineRule="exact"/>
        <w:ind w:firstLine="640" w:firstLineChars="200"/>
        <w:textAlignment w:val="auto"/>
        <w:rPr>
          <w:sz w:val="32"/>
          <w:szCs w:val="32"/>
        </w:rPr>
      </w:pPr>
      <w:r>
        <w:rPr>
          <w:rFonts w:hint="eastAsia"/>
          <w:sz w:val="32"/>
          <w:szCs w:val="32"/>
        </w:rPr>
        <w:t>1.预算编制精准性有待提升，绩效指标合理性尚有不足</w:t>
      </w:r>
    </w:p>
    <w:p>
      <w:pPr>
        <w:pStyle w:val="19"/>
        <w:pageBreakBefore w:val="0"/>
        <w:kinsoku/>
        <w:wordWrap/>
        <w:overflowPunct/>
        <w:topLinePunct w:val="0"/>
        <w:autoSpaceDE/>
        <w:autoSpaceDN/>
        <w:bidi w:val="0"/>
        <w:spacing w:line="560" w:lineRule="exact"/>
        <w:ind w:firstLine="640" w:firstLineChars="200"/>
        <w:textAlignment w:val="auto"/>
        <w:rPr>
          <w:rFonts w:hint="eastAsia" w:eastAsia="仿宋_GB2312"/>
          <w:sz w:val="32"/>
          <w:szCs w:val="32"/>
          <w:highlight w:val="yellow"/>
          <w:lang w:eastAsia="zh-CN"/>
        </w:rPr>
      </w:pPr>
      <w:r>
        <w:rPr>
          <w:rFonts w:hint="eastAsia"/>
          <w:sz w:val="32"/>
          <w:szCs w:val="32"/>
        </w:rPr>
        <w:t>部分项目年度需求论证有待加强，一定程度影响预算编制的精准程度</w:t>
      </w:r>
      <w:r>
        <w:rPr>
          <w:rFonts w:hint="eastAsia"/>
          <w:sz w:val="32"/>
          <w:szCs w:val="32"/>
          <w:lang w:eastAsia="zh-CN"/>
        </w:rPr>
        <w:t>。</w:t>
      </w:r>
    </w:p>
    <w:p>
      <w:pPr>
        <w:pStyle w:val="18"/>
        <w:pageBreakBefore w:val="0"/>
        <w:kinsoku/>
        <w:wordWrap/>
        <w:overflowPunct/>
        <w:topLinePunct w:val="0"/>
        <w:autoSpaceDE/>
        <w:autoSpaceDN/>
        <w:bidi w:val="0"/>
        <w:spacing w:line="560" w:lineRule="exact"/>
        <w:ind w:firstLine="640" w:firstLineChars="200"/>
        <w:textAlignment w:val="auto"/>
        <w:rPr>
          <w:sz w:val="32"/>
          <w:szCs w:val="32"/>
        </w:rPr>
      </w:pPr>
      <w:r>
        <w:rPr>
          <w:rFonts w:hint="eastAsia"/>
          <w:sz w:val="32"/>
          <w:szCs w:val="32"/>
          <w:lang w:val="en-US" w:eastAsia="zh-CN"/>
        </w:rPr>
        <w:t>2</w:t>
      </w:r>
      <w:r>
        <w:rPr>
          <w:sz w:val="32"/>
          <w:szCs w:val="32"/>
        </w:rPr>
        <w:t>.</w:t>
      </w:r>
      <w:r>
        <w:rPr>
          <w:rFonts w:hint="eastAsia"/>
          <w:sz w:val="32"/>
          <w:szCs w:val="32"/>
        </w:rPr>
        <w:t>个别项目工作完成情况未达预期</w:t>
      </w:r>
    </w:p>
    <w:p>
      <w:pPr>
        <w:pStyle w:val="19"/>
        <w:pageBreakBefore w:val="0"/>
        <w:kinsoku/>
        <w:wordWrap/>
        <w:overflowPunct/>
        <w:topLinePunct w:val="0"/>
        <w:autoSpaceDE/>
        <w:autoSpaceDN/>
        <w:bidi w:val="0"/>
        <w:spacing w:line="560" w:lineRule="exact"/>
        <w:ind w:firstLine="640" w:firstLineChars="200"/>
        <w:textAlignment w:val="auto"/>
        <w:rPr>
          <w:rFonts w:hint="eastAsia"/>
          <w:sz w:val="32"/>
          <w:szCs w:val="32"/>
        </w:rPr>
      </w:pPr>
      <w:r>
        <w:rPr>
          <w:rFonts w:hint="eastAsia"/>
          <w:sz w:val="32"/>
          <w:szCs w:val="32"/>
        </w:rPr>
        <w:t>由于政策形势变化、年度工作调整、实际需求变化等因素影响，部分项目工作完成情况未达预期。</w:t>
      </w:r>
      <w:r>
        <w:rPr>
          <w:sz w:val="32"/>
          <w:szCs w:val="32"/>
        </w:rPr>
        <w:t xml:space="preserve"> </w:t>
      </w:r>
    </w:p>
    <w:p>
      <w:pPr>
        <w:pageBreakBefore w:val="0"/>
        <w:kinsoku/>
        <w:wordWrap/>
        <w:overflowPunct/>
        <w:topLinePunct w:val="0"/>
        <w:autoSpaceDE/>
        <w:autoSpaceDN/>
        <w:bidi w:val="0"/>
        <w:spacing w:line="560" w:lineRule="exact"/>
        <w:ind w:firstLine="640" w:firstLineChars="200"/>
        <w:textAlignment w:val="auto"/>
        <w:rPr>
          <w:sz w:val="32"/>
          <w:szCs w:val="32"/>
        </w:rPr>
      </w:pPr>
      <w:r>
        <w:rPr>
          <w:rFonts w:hint="eastAsia" w:ascii="黑体" w:hAnsi="黑体" w:eastAsia="黑体" w:cs="宋体"/>
          <w:b w:val="0"/>
          <w:bCs w:val="0"/>
          <w:color w:val="000000"/>
          <w:kern w:val="0"/>
          <w:sz w:val="32"/>
          <w:szCs w:val="32"/>
        </w:rPr>
        <w:t>六、措施建议</w:t>
      </w:r>
    </w:p>
    <w:p>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textAlignment w:val="auto"/>
        <w:rPr>
          <w:rFonts w:hint="eastAsia"/>
          <w:sz w:val="32"/>
          <w:szCs w:val="32"/>
        </w:rPr>
      </w:pPr>
      <w:r>
        <w:rPr>
          <w:rFonts w:hint="eastAsia" w:ascii="仿宋_GB2312" w:hAnsi="仿宋_GB2312" w:eastAsia="仿宋_GB2312" w:cs="仿宋_GB2312"/>
          <w:b w:val="0"/>
          <w:bCs w:val="0"/>
          <w:color w:val="auto"/>
          <w:sz w:val="32"/>
          <w:szCs w:val="32"/>
          <w:lang w:val="en-US" w:eastAsia="zh-CN"/>
        </w:rPr>
        <w:t>一是抓好绩效目标编制，细化并及时准确报送绩效目标。二是加强绩效跟踪监控，深入开展</w:t>
      </w:r>
      <w:bookmarkStart w:id="1" w:name="_GoBack"/>
      <w:bookmarkEnd w:id="1"/>
      <w:r>
        <w:rPr>
          <w:rFonts w:hint="eastAsia" w:ascii="仿宋_GB2312" w:hAnsi="仿宋_GB2312" w:eastAsia="仿宋_GB2312" w:cs="仿宋_GB2312"/>
          <w:b w:val="0"/>
          <w:bCs w:val="0"/>
          <w:color w:val="auto"/>
          <w:sz w:val="32"/>
          <w:szCs w:val="32"/>
          <w:lang w:val="en-US" w:eastAsia="zh-CN"/>
        </w:rPr>
        <w:t>支出绩效评价。三是强化结果应用，对绩效评价发现的问题及时改正，加强评价结果与项目资金安排的衔接。</w:t>
      </w:r>
    </w:p>
    <w:p>
      <w:pPr>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olor w:val="auto"/>
          <w:sz w:val="32"/>
          <w:szCs w:val="32"/>
        </w:rPr>
      </w:pPr>
    </w:p>
    <w:p>
      <w:pPr>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olor w:val="auto"/>
          <w:sz w:val="32"/>
          <w:szCs w:val="32"/>
        </w:rPr>
      </w:pPr>
    </w:p>
    <w:p>
      <w:pPr>
        <w:pStyle w:val="2"/>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olor w:val="auto"/>
          <w:sz w:val="32"/>
          <w:szCs w:val="32"/>
        </w:rPr>
      </w:pPr>
    </w:p>
    <w:p>
      <w:pPr>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olor w:val="auto"/>
          <w:sz w:val="32"/>
          <w:szCs w:val="32"/>
        </w:rPr>
      </w:pPr>
    </w:p>
    <w:p>
      <w:pPr>
        <w:pStyle w:val="2"/>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olor w:val="auto"/>
          <w:sz w:val="32"/>
          <w:szCs w:val="32"/>
        </w:rPr>
      </w:pPr>
    </w:p>
    <w:p>
      <w:pPr>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olor w:val="auto"/>
          <w:sz w:val="32"/>
          <w:szCs w:val="32"/>
        </w:rPr>
      </w:pPr>
    </w:p>
    <w:p>
      <w:pPr>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olor w:val="auto"/>
          <w:sz w:val="32"/>
          <w:szCs w:val="32"/>
        </w:rPr>
      </w:pPr>
    </w:p>
    <w:p>
      <w:pPr>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olor w:val="auto"/>
          <w:sz w:val="32"/>
          <w:szCs w:val="32"/>
        </w:rPr>
      </w:pPr>
    </w:p>
    <w:p>
      <w:pPr>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olor w:val="auto"/>
          <w:sz w:val="32"/>
          <w:szCs w:val="32"/>
        </w:rPr>
      </w:pPr>
    </w:p>
    <w:p>
      <w:pPr>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olor w:val="auto"/>
          <w:sz w:val="32"/>
          <w:szCs w:val="32"/>
        </w:rPr>
      </w:pPr>
    </w:p>
    <w:p>
      <w:pPr>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olor w:val="auto"/>
          <w:sz w:val="32"/>
          <w:szCs w:val="32"/>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kern w:val="0"/>
          <w:sz w:val="22"/>
          <w:szCs w:val="24"/>
          <w:lang w:val="en-US" w:eastAsia="zh-CN" w:bidi="ar-SA"/>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99678F"/>
    <w:multiLevelType w:val="singleLevel"/>
    <w:tmpl w:val="A199678F"/>
    <w:lvl w:ilvl="0" w:tentative="0">
      <w:start w:val="1"/>
      <w:numFmt w:val="chineseCounting"/>
      <w:suff w:val="nothing"/>
      <w:lvlText w:val="（%1）"/>
      <w:lvlJc w:val="left"/>
      <w:rPr>
        <w:rFonts w:hint="eastAsia"/>
      </w:rPr>
    </w:lvl>
  </w:abstractNum>
  <w:abstractNum w:abstractNumId="1">
    <w:nsid w:val="2691868C"/>
    <w:multiLevelType w:val="singleLevel"/>
    <w:tmpl w:val="2691868C"/>
    <w:lvl w:ilvl="0" w:tentative="0">
      <w:start w:val="2"/>
      <w:numFmt w:val="chineseCounting"/>
      <w:suff w:val="nothing"/>
      <w:lvlText w:val="（%1）"/>
      <w:lvlJc w:val="left"/>
      <w:rPr>
        <w:rFonts w:hint="eastAsia"/>
      </w:rPr>
    </w:lvl>
  </w:abstractNum>
  <w:abstractNum w:abstractNumId="2">
    <w:nsid w:val="77F7FBC2"/>
    <w:multiLevelType w:val="singleLevel"/>
    <w:tmpl w:val="77F7FBC2"/>
    <w:lvl w:ilvl="0" w:tentative="0">
      <w:start w:val="5"/>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C8165E0"/>
    <w:rsid w:val="1E7411AD"/>
    <w:rsid w:val="2592255F"/>
    <w:rsid w:val="2CBF8107"/>
    <w:rsid w:val="2CDC7A00"/>
    <w:rsid w:val="2EB70209"/>
    <w:rsid w:val="30FF2B40"/>
    <w:rsid w:val="35D339CB"/>
    <w:rsid w:val="3FF79B31"/>
    <w:rsid w:val="48B97E46"/>
    <w:rsid w:val="4BA31FDB"/>
    <w:rsid w:val="4BFF9656"/>
    <w:rsid w:val="4E214467"/>
    <w:rsid w:val="537A1457"/>
    <w:rsid w:val="537B9DA3"/>
    <w:rsid w:val="5400724A"/>
    <w:rsid w:val="577FC547"/>
    <w:rsid w:val="5A474F5C"/>
    <w:rsid w:val="5B4E19F1"/>
    <w:rsid w:val="5DDF52D1"/>
    <w:rsid w:val="5EDB0B63"/>
    <w:rsid w:val="5F9F33EB"/>
    <w:rsid w:val="62BA335A"/>
    <w:rsid w:val="6AC7B1A3"/>
    <w:rsid w:val="6B77FB6F"/>
    <w:rsid w:val="6CFA3AD5"/>
    <w:rsid w:val="6E546D7C"/>
    <w:rsid w:val="6EE9A86C"/>
    <w:rsid w:val="6FD43E60"/>
    <w:rsid w:val="71DB912D"/>
    <w:rsid w:val="763E871D"/>
    <w:rsid w:val="78A6738C"/>
    <w:rsid w:val="79EBFCAD"/>
    <w:rsid w:val="7BBD97BD"/>
    <w:rsid w:val="7BED256C"/>
    <w:rsid w:val="7BFE4A5B"/>
    <w:rsid w:val="7BFFEC6B"/>
    <w:rsid w:val="7DBF4FBB"/>
    <w:rsid w:val="7DCD9330"/>
    <w:rsid w:val="7DD758A1"/>
    <w:rsid w:val="7E562264"/>
    <w:rsid w:val="7E5EB5A1"/>
    <w:rsid w:val="7F2773F9"/>
    <w:rsid w:val="7F3909BD"/>
    <w:rsid w:val="7F7C49BA"/>
    <w:rsid w:val="7FBF70D0"/>
    <w:rsid w:val="7FF719AD"/>
    <w:rsid w:val="9BFD2FEF"/>
    <w:rsid w:val="AA5E3CAD"/>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D8E962E"/>
    <w:rsid w:val="FEF8056D"/>
    <w:rsid w:val="FEF82787"/>
    <w:rsid w:val="FEFD3F0E"/>
    <w:rsid w:val="FFBDEA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toc 3"/>
    <w:basedOn w:val="1"/>
    <w:next w:val="1"/>
    <w:qFormat/>
    <w:uiPriority w:val="0"/>
    <w:pPr>
      <w:ind w:left="420"/>
    </w:pPr>
    <w:rPr>
      <w:rFonts w:ascii="等线" w:hAnsi="等线" w:eastAsia="等线"/>
      <w:b/>
      <w:sz w:val="30"/>
      <w:szCs w:val="3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Hyperlink"/>
    <w:basedOn w:val="10"/>
    <w:qFormat/>
    <w:uiPriority w:val="0"/>
    <w:rPr>
      <w:color w:val="0000FF"/>
      <w:u w:val="single"/>
    </w:rPr>
  </w:style>
  <w:style w:type="character" w:customStyle="1" w:styleId="12">
    <w:name w:val="font81"/>
    <w:basedOn w:val="10"/>
    <w:qFormat/>
    <w:uiPriority w:val="0"/>
    <w:rPr>
      <w:rFonts w:hint="eastAsia" w:ascii="宋体" w:hAnsi="宋体" w:eastAsia="宋体" w:cs="宋体"/>
      <w:color w:val="000000"/>
      <w:sz w:val="20"/>
      <w:szCs w:val="20"/>
      <w:u w:val="none"/>
    </w:rPr>
  </w:style>
  <w:style w:type="character" w:customStyle="1" w:styleId="13">
    <w:name w:val="font11"/>
    <w:basedOn w:val="10"/>
    <w:qFormat/>
    <w:uiPriority w:val="0"/>
    <w:rPr>
      <w:rFonts w:hint="eastAsia" w:ascii="仿宋_GB2312" w:eastAsia="仿宋_GB2312" w:cs="仿宋_GB2312"/>
      <w:color w:val="000000"/>
      <w:sz w:val="24"/>
      <w:szCs w:val="24"/>
      <w:u w:val="none"/>
    </w:rPr>
  </w:style>
  <w:style w:type="character" w:customStyle="1" w:styleId="14">
    <w:name w:val="font61"/>
    <w:basedOn w:val="10"/>
    <w:qFormat/>
    <w:uiPriority w:val="0"/>
    <w:rPr>
      <w:rFonts w:hint="eastAsia" w:ascii="仿宋_GB2312" w:eastAsia="仿宋_GB2312" w:cs="仿宋_GB2312"/>
      <w:color w:val="000000"/>
      <w:sz w:val="24"/>
      <w:szCs w:val="24"/>
      <w:u w:val="none"/>
    </w:rPr>
  </w:style>
  <w:style w:type="character" w:customStyle="1" w:styleId="15">
    <w:name w:val="font71"/>
    <w:basedOn w:val="10"/>
    <w:qFormat/>
    <w:uiPriority w:val="0"/>
    <w:rPr>
      <w:rFonts w:hint="eastAsia" w:ascii="宋体" w:hAnsi="宋体" w:eastAsia="宋体" w:cs="宋体"/>
      <w:color w:val="FF0000"/>
      <w:sz w:val="20"/>
      <w:szCs w:val="20"/>
      <w:u w:val="none"/>
    </w:rPr>
  </w:style>
  <w:style w:type="paragraph" w:customStyle="1" w:styleId="16">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7">
    <w:name w:val="首行缩进"/>
    <w:basedOn w:val="1"/>
    <w:qFormat/>
    <w:uiPriority w:val="0"/>
    <w:pPr>
      <w:ind w:firstLine="480"/>
    </w:pPr>
    <w:rPr>
      <w:szCs w:val="20"/>
      <w:lang w:val="zh-CN"/>
    </w:rPr>
  </w:style>
  <w:style w:type="paragraph" w:customStyle="1" w:styleId="18">
    <w:name w:val="三级标题"/>
    <w:basedOn w:val="1"/>
    <w:qFormat/>
    <w:uiPriority w:val="0"/>
    <w:pPr>
      <w:adjustRightInd w:val="0"/>
      <w:snapToGrid w:val="0"/>
      <w:spacing w:line="560" w:lineRule="exact"/>
      <w:ind w:firstLine="640" w:firstLineChars="200"/>
      <w:outlineLvl w:val="2"/>
    </w:pPr>
    <w:rPr>
      <w:rFonts w:ascii="仿宋_GB2312" w:hAnsi="宋体" w:eastAsia="仿宋_GB2312" w:cs="宋体"/>
      <w:color w:val="000000"/>
      <w:kern w:val="0"/>
      <w:sz w:val="32"/>
      <w:szCs w:val="32"/>
    </w:rPr>
  </w:style>
  <w:style w:type="paragraph" w:customStyle="1" w:styleId="19">
    <w:name w:val="报告正文"/>
    <w:basedOn w:val="1"/>
    <w:qFormat/>
    <w:uiPriority w:val="0"/>
    <w:pPr>
      <w:adjustRightInd w:val="0"/>
      <w:snapToGrid w:val="0"/>
      <w:spacing w:line="560" w:lineRule="exact"/>
      <w:ind w:firstLine="640" w:firstLineChars="200"/>
    </w:pPr>
    <w:rPr>
      <w:rFonts w:ascii="仿宋_GB2312" w:hAnsi="宋体" w:eastAsia="仿宋_GB2312" w:cs="宋体"/>
      <w:color w:val="000000"/>
      <w:kern w:val="0"/>
      <w:sz w:val="32"/>
      <w:szCs w:val="32"/>
    </w:rPr>
  </w:style>
  <w:style w:type="paragraph" w:customStyle="1" w:styleId="20">
    <w:name w:val="二级标题"/>
    <w:basedOn w:val="1"/>
    <w:qFormat/>
    <w:uiPriority w:val="0"/>
    <w:pPr>
      <w:adjustRightInd w:val="0"/>
      <w:snapToGrid w:val="0"/>
      <w:spacing w:line="560" w:lineRule="exact"/>
      <w:ind w:firstLine="640" w:firstLineChars="200"/>
      <w:outlineLvl w:val="1"/>
    </w:pPr>
    <w:rPr>
      <w:rFonts w:ascii="楷体" w:hAnsi="楷体" w:eastAsia="楷体"/>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51</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2024-03-13T19:08:00Z</dcterms:created>
  <dc:creator>user</dc:creator>
  <cp:lastModifiedBy>Win7</cp:lastModifiedBy>
  <cp:lastPrinted>2025-03-05T03:26:00Z</cp:lastPrinted>
  <dcterms:modified xsi:type="dcterms:W3CDTF">2025-09-25T07:30:41Z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