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2"/>
        <w:tblW w:w="92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960"/>
        <w:gridCol w:w="323"/>
        <w:gridCol w:w="802"/>
        <w:gridCol w:w="1185"/>
        <w:gridCol w:w="585"/>
        <w:gridCol w:w="187"/>
        <w:gridCol w:w="398"/>
        <w:gridCol w:w="438"/>
        <w:gridCol w:w="10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exact"/>
          <w:jc w:val="center"/>
        </w:trPr>
        <w:tc>
          <w:tcPr>
            <w:tcW w:w="9231" w:type="dxa"/>
            <w:gridSpan w:val="13"/>
            <w:tcBorders>
              <w:top w:val="nil"/>
              <w:left w:val="nil"/>
              <w:bottom w:val="nil"/>
              <w:right w:val="nil"/>
              <w:tl2br w:val="nil"/>
              <w:tr2bl w:val="nil"/>
            </w:tcBorders>
            <w:noWrap w:val="0"/>
            <w:vAlign w:val="center"/>
          </w:tcPr>
          <w:p>
            <w:pPr>
              <w:spacing w:beforeLines="0" w:afterLines="0" w:line="500" w:lineRule="exact"/>
              <w:jc w:val="center"/>
              <w:rPr>
                <w:rFonts w:hint="eastAsia" w:ascii="宋体" w:hAnsi="宋体"/>
                <w:b/>
                <w:color w:val="auto"/>
                <w:kern w:val="0"/>
                <w:sz w:val="32"/>
                <w:szCs w:val="24"/>
              </w:rPr>
            </w:pPr>
            <w:r>
              <w:rPr>
                <w:rFonts w:hint="eastAsia" w:ascii="宋体" w:hAnsi="宋体"/>
                <w:b/>
                <w:color w:val="auto"/>
                <w:kern w:val="0"/>
                <w:sz w:val="32"/>
                <w:szCs w:val="24"/>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9231" w:type="dxa"/>
            <w:gridSpan w:val="13"/>
            <w:tcBorders>
              <w:top w:val="nil"/>
              <w:left w:val="nil"/>
              <w:bottom w:val="nil"/>
              <w:right w:val="nil"/>
              <w:tl2br w:val="nil"/>
              <w:tr2bl w:val="nil"/>
            </w:tcBorders>
            <w:noWrap w:val="0"/>
            <w:vAlign w:val="top"/>
          </w:tcPr>
          <w:p>
            <w:pPr>
              <w:spacing w:beforeLines="0" w:afterLines="0"/>
              <w:jc w:val="center"/>
              <w:rPr>
                <w:rFonts w:hint="eastAsia" w:ascii="宋体" w:hAnsi="宋体"/>
                <w:color w:val="auto"/>
                <w:kern w:val="0"/>
                <w:sz w:val="22"/>
                <w:szCs w:val="24"/>
              </w:rPr>
            </w:pPr>
            <w:r>
              <w:rPr>
                <w:rFonts w:hint="eastAsia" w:ascii="宋体" w:hAnsi="宋体"/>
                <w:color w:val="auto"/>
                <w:kern w:val="0"/>
                <w:sz w:val="22"/>
                <w:szCs w:val="24"/>
              </w:rPr>
              <w:t>（</w:t>
            </w:r>
            <w:r>
              <w:rPr>
                <w:rFonts w:hint="eastAsia" w:ascii="宋体" w:hAnsi="宋体"/>
                <w:color w:val="auto"/>
                <w:kern w:val="0"/>
                <w:sz w:val="22"/>
                <w:szCs w:val="24"/>
                <w:lang w:val="en-US" w:eastAsia="zh-CN"/>
              </w:rPr>
              <w:t>2024</w:t>
            </w:r>
            <w:r>
              <w:rPr>
                <w:rFonts w:hint="eastAsia" w:ascii="宋体" w:hAnsi="宋体"/>
                <w:color w:val="auto"/>
                <w:kern w:val="0"/>
                <w:sz w:val="22"/>
                <w:szCs w:val="24"/>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项目名称</w:t>
            </w:r>
          </w:p>
        </w:tc>
        <w:tc>
          <w:tcPr>
            <w:tcW w:w="7684" w:type="dxa"/>
            <w:gridSpan w:val="11"/>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rPr>
                <w:rFonts w:hint="eastAsia" w:ascii="宋体" w:hAnsi="宋体"/>
                <w:color w:val="auto"/>
                <w:kern w:val="0"/>
                <w:sz w:val="18"/>
                <w:szCs w:val="24"/>
                <w:lang w:eastAsia="zh-CN"/>
              </w:rPr>
            </w:pPr>
            <w:r>
              <w:rPr>
                <w:rFonts w:hint="eastAsia" w:ascii="宋体" w:hAnsi="宋体"/>
                <w:color w:val="auto"/>
                <w:kern w:val="0"/>
                <w:sz w:val="18"/>
                <w:szCs w:val="24"/>
                <w:lang w:eastAsia="zh-CN"/>
              </w:rPr>
              <w:t>社区居委会房租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主管部门</w:t>
            </w:r>
          </w:p>
        </w:tc>
        <w:tc>
          <w:tcPr>
            <w:tcW w:w="3889" w:type="dxa"/>
            <w:gridSpan w:val="5"/>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北京市通州区临河里街道办事处</w:t>
            </w: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实施单位</w:t>
            </w:r>
          </w:p>
        </w:tc>
        <w:tc>
          <w:tcPr>
            <w:tcW w:w="2610" w:type="dxa"/>
            <w:gridSpan w:val="5"/>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eastAsia="zh-CN"/>
              </w:rPr>
            </w:pPr>
            <w:r>
              <w:rPr>
                <w:rFonts w:hint="eastAsia" w:ascii="宋体" w:hAnsi="宋体"/>
                <w:color w:val="auto"/>
                <w:kern w:val="0"/>
                <w:sz w:val="18"/>
                <w:szCs w:val="24"/>
                <w:lang w:eastAsia="zh-CN"/>
              </w:rPr>
              <w:t>临河里街道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560" w:lineRule="exact"/>
              <w:jc w:val="left"/>
              <w:rPr>
                <w:rFonts w:hint="eastAsia" w:ascii="宋体" w:hAnsi="宋体"/>
                <w:color w:val="auto"/>
                <w:kern w:val="0"/>
                <w:sz w:val="18"/>
                <w:szCs w:val="24"/>
              </w:rPr>
            </w:pPr>
            <w:bookmarkStart w:id="0" w:name="_GoBack"/>
            <w:bookmarkEnd w:id="0"/>
            <w:r>
              <w:rPr>
                <w:rFonts w:hint="eastAsia" w:ascii="宋体" w:hAnsi="宋体"/>
                <w:color w:val="auto"/>
                <w:kern w:val="0"/>
                <w:sz w:val="18"/>
                <w:szCs w:val="24"/>
              </w:rPr>
              <w:t>项目资金（万元）</w:t>
            </w:r>
          </w:p>
        </w:tc>
        <w:tc>
          <w:tcPr>
            <w:tcW w:w="1804"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0"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年初</w:t>
            </w:r>
            <w:r>
              <w:rPr>
                <w:rFonts w:hint="eastAsia" w:ascii="宋体" w:hAnsi="宋体"/>
                <w:color w:val="auto"/>
                <w:kern w:val="0"/>
                <w:sz w:val="18"/>
                <w:szCs w:val="24"/>
                <w:lang w:val="en-US" w:eastAsia="zh-CN"/>
              </w:rPr>
              <w:t xml:space="preserve">     </w:t>
            </w:r>
            <w:r>
              <w:rPr>
                <w:rFonts w:hint="eastAsia" w:ascii="宋体" w:hAnsi="宋体"/>
                <w:color w:val="auto"/>
                <w:kern w:val="0"/>
                <w:sz w:val="18"/>
                <w:szCs w:val="24"/>
              </w:rPr>
              <w:t>预算数</w:t>
            </w:r>
          </w:p>
        </w:tc>
        <w:tc>
          <w:tcPr>
            <w:tcW w:w="112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全年</w:t>
            </w:r>
            <w:r>
              <w:rPr>
                <w:rFonts w:hint="eastAsia" w:ascii="宋体" w:hAnsi="宋体"/>
                <w:color w:val="auto"/>
                <w:kern w:val="0"/>
                <w:sz w:val="18"/>
                <w:szCs w:val="24"/>
                <w:lang w:val="en-US" w:eastAsia="zh-CN"/>
              </w:rPr>
              <w:t xml:space="preserve">     </w:t>
            </w:r>
            <w:r>
              <w:rPr>
                <w:rFonts w:hint="eastAsia" w:ascii="宋体" w:hAnsi="宋体"/>
                <w:color w:val="auto"/>
                <w:kern w:val="0"/>
                <w:sz w:val="18"/>
                <w:szCs w:val="24"/>
              </w:rPr>
              <w:t>预算数</w:t>
            </w: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全年</w:t>
            </w:r>
            <w:r>
              <w:rPr>
                <w:rFonts w:hint="eastAsia" w:ascii="宋体" w:hAnsi="宋体"/>
                <w:color w:val="auto"/>
                <w:kern w:val="0"/>
                <w:sz w:val="18"/>
                <w:szCs w:val="24"/>
                <w:lang w:val="en-US" w:eastAsia="zh-CN"/>
              </w:rPr>
              <w:t xml:space="preserve">     </w:t>
            </w:r>
            <w:r>
              <w:rPr>
                <w:rFonts w:hint="eastAsia" w:ascii="宋体" w:hAnsi="宋体"/>
                <w:color w:val="auto"/>
                <w:kern w:val="0"/>
                <w:sz w:val="18"/>
                <w:szCs w:val="24"/>
              </w:rPr>
              <w:t>执行数</w:t>
            </w:r>
          </w:p>
        </w:tc>
        <w:tc>
          <w:tcPr>
            <w:tcW w:w="772"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分值</w:t>
            </w:r>
          </w:p>
        </w:tc>
        <w:tc>
          <w:tcPr>
            <w:tcW w:w="836"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执行率</w:t>
            </w:r>
          </w:p>
        </w:tc>
        <w:tc>
          <w:tcPr>
            <w:tcW w:w="10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804"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rPr>
                <w:rFonts w:hint="eastAsia" w:ascii="宋体" w:hAnsi="宋体"/>
                <w:color w:val="auto"/>
                <w:kern w:val="0"/>
                <w:sz w:val="18"/>
                <w:szCs w:val="24"/>
              </w:rPr>
            </w:pPr>
            <w:r>
              <w:rPr>
                <w:rFonts w:hint="eastAsia" w:ascii="宋体" w:hAnsi="宋体"/>
                <w:color w:val="auto"/>
                <w:kern w:val="0"/>
                <w:sz w:val="18"/>
                <w:szCs w:val="24"/>
              </w:rPr>
              <w:t>年度资金总额</w:t>
            </w:r>
          </w:p>
        </w:tc>
        <w:tc>
          <w:tcPr>
            <w:tcW w:w="960"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0</w:t>
            </w:r>
          </w:p>
        </w:tc>
        <w:tc>
          <w:tcPr>
            <w:tcW w:w="112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101.7212万</w:t>
            </w: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101.7212万</w:t>
            </w:r>
          </w:p>
        </w:tc>
        <w:tc>
          <w:tcPr>
            <w:tcW w:w="772"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10</w:t>
            </w:r>
          </w:p>
        </w:tc>
        <w:tc>
          <w:tcPr>
            <w:tcW w:w="836"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100%</w:t>
            </w:r>
          </w:p>
        </w:tc>
        <w:tc>
          <w:tcPr>
            <w:tcW w:w="10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804"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其中：当年财政拨款</w:t>
            </w:r>
          </w:p>
        </w:tc>
        <w:tc>
          <w:tcPr>
            <w:tcW w:w="960"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2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lang w:val="en-US" w:eastAsia="zh-CN"/>
              </w:rPr>
              <w:t>101.7212万</w:t>
            </w: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lang w:val="en-US" w:eastAsia="zh-CN"/>
              </w:rPr>
              <w:t>101.7212万</w:t>
            </w:r>
          </w:p>
        </w:tc>
        <w:tc>
          <w:tcPr>
            <w:tcW w:w="772"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w:t>
            </w:r>
          </w:p>
        </w:tc>
        <w:tc>
          <w:tcPr>
            <w:tcW w:w="836"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804"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 xml:space="preserve">      上年结转资金</w:t>
            </w:r>
          </w:p>
        </w:tc>
        <w:tc>
          <w:tcPr>
            <w:tcW w:w="960"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2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772"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w:t>
            </w:r>
          </w:p>
        </w:tc>
        <w:tc>
          <w:tcPr>
            <w:tcW w:w="836"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804"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 xml:space="preserve">  其他资金</w:t>
            </w:r>
          </w:p>
        </w:tc>
        <w:tc>
          <w:tcPr>
            <w:tcW w:w="960"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2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772"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w:t>
            </w:r>
          </w:p>
        </w:tc>
        <w:tc>
          <w:tcPr>
            <w:tcW w:w="836"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年度总体目标</w:t>
            </w:r>
          </w:p>
        </w:tc>
        <w:tc>
          <w:tcPr>
            <w:tcW w:w="4858" w:type="dxa"/>
            <w:gridSpan w:val="6"/>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预期目标</w:t>
            </w:r>
          </w:p>
        </w:tc>
        <w:tc>
          <w:tcPr>
            <w:tcW w:w="3795" w:type="dxa"/>
            <w:gridSpan w:val="6"/>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915" w:hRule="exact"/>
          <w:jc w:val="center"/>
        </w:trPr>
        <w:tc>
          <w:tcPr>
            <w:tcW w:w="578"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4858" w:type="dxa"/>
            <w:gridSpan w:val="6"/>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为确保通州区临河里街道玫瑰园社区居委会及华锦园社区居委会工作的正常开展，通州区临河里街道租赁以下两套用房作为玫瑰园办公及其他用房使用，分别为1、北京市通州区临河里华业东方玫瑰30号楼1层至2层124号房；2、通州区临河里街道租赁北京市通州区临河里30号楼1至2层123号房。通州区临河里街道租赁以下三套用房作为华锦园办公及其他用房使用，分别为1、北京市通州区临河里59号楼1层3单元102号房；2、北京市通州区临河里59号楼1层2单元102号房；3、华业C区60号楼1单元101。</w:t>
            </w:r>
          </w:p>
        </w:tc>
        <w:tc>
          <w:tcPr>
            <w:tcW w:w="3795" w:type="dxa"/>
            <w:gridSpan w:val="6"/>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为确保通州区临河里街道玫瑰园社区居委会及华锦园社区居委会工作的正常开展，通州区临河里街道租赁以下两套用房作为玫瑰园办公及其他用房使用，分别为1、北京市通州区临河里华业东方玫瑰30号楼1层至2层124号房；2、通州区临河里街道租赁北京市通州区临河里30号楼1至2层123号房。通州区临河里街道租赁以下三套用房作为华锦园办公及其他用房使用，分别为1、北京市通州区临河里59号楼1层3单元102号房；2、北京市通州区临河里59号楼1层2单元102号房；3、华业C区60号楼1单元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7" w:hRule="exact"/>
          <w:jc w:val="center"/>
        </w:trPr>
        <w:tc>
          <w:tcPr>
            <w:tcW w:w="578" w:type="dxa"/>
            <w:vMerge w:val="restart"/>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绩</w:t>
            </w:r>
            <w:r>
              <w:rPr>
                <w:rFonts w:hint="eastAsia" w:ascii="宋体" w:hAnsi="宋体"/>
                <w:color w:val="auto"/>
                <w:kern w:val="0"/>
                <w:sz w:val="18"/>
                <w:szCs w:val="24"/>
              </w:rPr>
              <w:br w:type="textWrapping"/>
            </w:r>
            <w:r>
              <w:rPr>
                <w:rFonts w:hint="eastAsia" w:ascii="宋体" w:hAnsi="宋体"/>
                <w:color w:val="auto"/>
                <w:kern w:val="0"/>
                <w:sz w:val="18"/>
                <w:szCs w:val="24"/>
              </w:rPr>
              <w:t>效</w:t>
            </w:r>
            <w:r>
              <w:rPr>
                <w:rFonts w:hint="eastAsia" w:ascii="宋体" w:hAnsi="宋体"/>
                <w:color w:val="auto"/>
                <w:kern w:val="0"/>
                <w:sz w:val="18"/>
                <w:szCs w:val="24"/>
              </w:rPr>
              <w:br w:type="textWrapping"/>
            </w:r>
            <w:r>
              <w:rPr>
                <w:rFonts w:hint="eastAsia" w:ascii="宋体" w:hAnsi="宋体"/>
                <w:color w:val="auto"/>
                <w:kern w:val="0"/>
                <w:sz w:val="18"/>
                <w:szCs w:val="24"/>
              </w:rPr>
              <w:t>指</w:t>
            </w:r>
            <w:r>
              <w:rPr>
                <w:rFonts w:hint="eastAsia" w:ascii="宋体" w:hAnsi="宋体"/>
                <w:color w:val="auto"/>
                <w:kern w:val="0"/>
                <w:sz w:val="18"/>
                <w:szCs w:val="24"/>
              </w:rPr>
              <w:br w:type="textWrapping"/>
            </w:r>
            <w:r>
              <w:rPr>
                <w:rFonts w:hint="eastAsia" w:ascii="宋体" w:hAnsi="宋体"/>
                <w:color w:val="auto"/>
                <w:kern w:val="0"/>
                <w:sz w:val="18"/>
                <w:szCs w:val="24"/>
              </w:rPr>
              <w:t>标</w:t>
            </w:r>
          </w:p>
        </w:tc>
        <w:tc>
          <w:tcPr>
            <w:tcW w:w="969"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一级指标</w:t>
            </w:r>
          </w:p>
        </w:tc>
        <w:tc>
          <w:tcPr>
            <w:tcW w:w="1086"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二级指标</w:t>
            </w: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三级指标</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年度</w:t>
            </w:r>
          </w:p>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指标值</w:t>
            </w: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实际</w:t>
            </w:r>
          </w:p>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完成值</w:t>
            </w: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分值</w:t>
            </w: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得分</w:t>
            </w: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restart"/>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产出指标</w:t>
            </w:r>
          </w:p>
        </w:tc>
        <w:tc>
          <w:tcPr>
            <w:tcW w:w="1086" w:type="dxa"/>
            <w:vMerge w:val="restart"/>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数量指标</w:t>
            </w: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指标1：租赁办公用房面积</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eastAsia="zh-CN"/>
              </w:rPr>
            </w:pPr>
            <w:r>
              <w:rPr>
                <w:rFonts w:hint="eastAsia" w:ascii="宋体" w:hAnsi="宋体"/>
                <w:color w:val="auto"/>
                <w:kern w:val="0"/>
                <w:sz w:val="18"/>
                <w:szCs w:val="24"/>
              </w:rPr>
              <w:t>771.62</w:t>
            </w:r>
            <w:r>
              <w:rPr>
                <w:rFonts w:hint="eastAsia" w:ascii="宋体" w:hAnsi="宋体"/>
                <w:color w:val="auto"/>
                <w:kern w:val="0"/>
                <w:sz w:val="18"/>
                <w:szCs w:val="24"/>
                <w:lang w:eastAsia="zh-CN"/>
              </w:rPr>
              <w:t>平方米</w:t>
            </w:r>
          </w:p>
        </w:tc>
        <w:tc>
          <w:tcPr>
            <w:tcW w:w="1185" w:type="dxa"/>
            <w:tcBorders>
              <w:top w:val="nil"/>
              <w:left w:val="nil"/>
              <w:bottom w:val="single" w:color="auto" w:sz="4" w:space="0"/>
              <w:right w:val="single" w:color="auto" w:sz="4" w:space="0"/>
              <w:tl2br w:val="nil"/>
              <w:tr2bl w:val="nil"/>
            </w:tcBorders>
            <w:noWrap w:val="0"/>
            <w:vAlign w:val="center"/>
          </w:tcPr>
          <w:p>
            <w:pPr>
              <w:tabs>
                <w:tab w:val="left" w:pos="221"/>
              </w:tabs>
              <w:spacing w:beforeLines="0" w:afterLines="0" w:line="240" w:lineRule="exact"/>
              <w:jc w:val="left"/>
              <w:rPr>
                <w:rFonts w:hint="eastAsia" w:ascii="宋体" w:hAnsi="宋体"/>
                <w:color w:val="auto"/>
                <w:kern w:val="0"/>
                <w:sz w:val="18"/>
                <w:szCs w:val="24"/>
                <w:lang w:eastAsia="zh-CN"/>
              </w:rPr>
            </w:pPr>
            <w:r>
              <w:rPr>
                <w:rFonts w:hint="eastAsia" w:ascii="宋体" w:hAnsi="宋体"/>
                <w:color w:val="auto"/>
                <w:kern w:val="0"/>
                <w:sz w:val="18"/>
                <w:szCs w:val="24"/>
              </w:rPr>
              <w:t>771.62</w:t>
            </w:r>
            <w:r>
              <w:rPr>
                <w:rFonts w:hint="eastAsia" w:ascii="宋体" w:hAnsi="宋体"/>
                <w:color w:val="auto"/>
                <w:kern w:val="0"/>
                <w:sz w:val="18"/>
                <w:szCs w:val="24"/>
                <w:lang w:eastAsia="zh-CN"/>
              </w:rPr>
              <w:t>平方米</w:t>
            </w: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50</w:t>
            </w: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50</w:t>
            </w: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86"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指标2：</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9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86" w:type="dxa"/>
            <w:vMerge w:val="restart"/>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质量指标</w:t>
            </w: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指标1：</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9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86"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指标2：</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86" w:type="dxa"/>
            <w:vMerge w:val="restart"/>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时效指标</w:t>
            </w: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指标1：</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86"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指标2：</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7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86"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成本指标</w:t>
            </w: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指标1：社区居委会年房租</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lang w:val="en-US" w:eastAsia="zh-CN"/>
              </w:rPr>
              <w:t>101.7212万</w:t>
            </w:r>
            <w:r>
              <w:rPr>
                <w:rFonts w:hint="eastAsia" w:ascii="宋体" w:hAnsi="宋体"/>
                <w:color w:val="auto"/>
                <w:kern w:val="0"/>
                <w:sz w:val="18"/>
                <w:szCs w:val="24"/>
                <w:lang w:eastAsia="zh-CN"/>
              </w:rPr>
              <w:t>元</w:t>
            </w: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lang w:val="en-US" w:eastAsia="zh-CN"/>
              </w:rPr>
              <w:t>101.7212万</w:t>
            </w:r>
            <w:r>
              <w:rPr>
                <w:rFonts w:hint="eastAsia" w:ascii="宋体" w:hAnsi="宋体"/>
                <w:color w:val="auto"/>
                <w:kern w:val="0"/>
                <w:sz w:val="18"/>
                <w:szCs w:val="24"/>
                <w:lang w:eastAsia="zh-CN"/>
              </w:rPr>
              <w:t>元</w:t>
            </w: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30</w:t>
            </w: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30</w:t>
            </w: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restart"/>
            <w:tcBorders>
              <w:top w:val="single" w:color="auto" w:sz="4" w:space="0"/>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满意度</w:t>
            </w:r>
          </w:p>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指标</w:t>
            </w:r>
          </w:p>
        </w:tc>
        <w:tc>
          <w:tcPr>
            <w:tcW w:w="108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服务对象满意度指标</w:t>
            </w: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指标1：社区服务居民满意度</w:t>
            </w:r>
          </w:p>
        </w:tc>
        <w:tc>
          <w:tcPr>
            <w:tcW w:w="8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80%</w:t>
            </w:r>
          </w:p>
        </w:tc>
        <w:tc>
          <w:tcPr>
            <w:tcW w:w="118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80%</w:t>
            </w:r>
          </w:p>
        </w:tc>
        <w:tc>
          <w:tcPr>
            <w:tcW w:w="58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10</w:t>
            </w:r>
          </w:p>
        </w:tc>
        <w:tc>
          <w:tcPr>
            <w:tcW w:w="585"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10</w:t>
            </w: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exact"/>
          <w:jc w:val="center"/>
        </w:trPr>
        <w:tc>
          <w:tcPr>
            <w:tcW w:w="578"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969" w:type="dxa"/>
            <w:vMerge w:val="continue"/>
            <w:tcBorders>
              <w:top w:val="nil"/>
              <w:left w:val="single" w:color="auto" w:sz="4" w:space="0"/>
              <w:bottom w:val="nil"/>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086"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2001" w:type="dxa"/>
            <w:gridSpan w:val="3"/>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left"/>
              <w:rPr>
                <w:rFonts w:hint="eastAsia" w:ascii="宋体" w:hAnsi="宋体"/>
                <w:color w:val="auto"/>
                <w:kern w:val="0"/>
                <w:sz w:val="18"/>
                <w:szCs w:val="24"/>
              </w:rPr>
            </w:pPr>
            <w:r>
              <w:rPr>
                <w:rFonts w:hint="eastAsia" w:ascii="宋体" w:hAnsi="宋体"/>
                <w:color w:val="auto"/>
                <w:kern w:val="0"/>
                <w:sz w:val="18"/>
                <w:szCs w:val="24"/>
              </w:rPr>
              <w:t>指标2：</w:t>
            </w:r>
          </w:p>
        </w:tc>
        <w:tc>
          <w:tcPr>
            <w:tcW w:w="802"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1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6621"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总分</w:t>
            </w:r>
          </w:p>
        </w:tc>
        <w:tc>
          <w:tcPr>
            <w:tcW w:w="585" w:type="dxa"/>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r>
              <w:rPr>
                <w:rFonts w:hint="eastAsia" w:ascii="宋体" w:hAnsi="宋体"/>
                <w:color w:val="auto"/>
                <w:kern w:val="0"/>
                <w:sz w:val="18"/>
                <w:szCs w:val="24"/>
              </w:rPr>
              <w:t>100</w:t>
            </w:r>
          </w:p>
        </w:tc>
        <w:tc>
          <w:tcPr>
            <w:tcW w:w="585" w:type="dxa"/>
            <w:gridSpan w:val="2"/>
            <w:tcBorders>
              <w:top w:val="nil"/>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lang w:val="en-US" w:eastAsia="zh-CN"/>
              </w:rPr>
            </w:pPr>
            <w:r>
              <w:rPr>
                <w:rFonts w:hint="eastAsia" w:ascii="宋体" w:hAnsi="宋体"/>
                <w:color w:val="auto"/>
                <w:kern w:val="0"/>
                <w:sz w:val="18"/>
                <w:szCs w:val="24"/>
                <w:lang w:val="en-US" w:eastAsia="zh-CN"/>
              </w:rPr>
              <w:t>100</w:t>
            </w:r>
          </w:p>
        </w:tc>
        <w:tc>
          <w:tcPr>
            <w:tcW w:w="1440"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hAnsi="宋体"/>
                <w:color w:val="auto"/>
                <w:kern w:val="0"/>
                <w:sz w:val="18"/>
                <w:szCs w:val="24"/>
              </w:rPr>
            </w:pPr>
          </w:p>
        </w:tc>
      </w:tr>
    </w:tbl>
    <w:p>
      <w:pPr>
        <w:spacing w:beforeLines="0" w:afterLines="0" w:line="480" w:lineRule="exact"/>
        <w:ind w:firstLine="440" w:firstLineChars="200"/>
        <w:jc w:val="left"/>
        <w:outlineLvl w:val="0"/>
        <w:rPr>
          <w:rFonts w:hint="eastAsia" w:ascii="宋体" w:hAnsi="宋体"/>
          <w:color w:val="auto"/>
          <w:kern w:val="0"/>
          <w:sz w:val="22"/>
          <w:szCs w:val="24"/>
        </w:rPr>
      </w:pPr>
      <w:r>
        <w:rPr>
          <w:rFonts w:hint="eastAsia" w:ascii="宋体" w:hAnsi="宋体"/>
          <w:color w:val="auto"/>
          <w:kern w:val="0"/>
          <w:sz w:val="22"/>
          <w:szCs w:val="24"/>
        </w:rPr>
        <w:t>填报注意事项：</w:t>
      </w:r>
    </w:p>
    <w:p>
      <w:pPr>
        <w:spacing w:beforeLines="0" w:afterLines="0" w:line="480" w:lineRule="exact"/>
        <w:ind w:firstLine="440" w:firstLineChars="200"/>
        <w:jc w:val="left"/>
        <w:outlineLvl w:val="0"/>
        <w:rPr>
          <w:rFonts w:hint="eastAsia" w:ascii="宋体" w:hAnsi="宋体"/>
          <w:color w:val="auto"/>
          <w:kern w:val="0"/>
          <w:sz w:val="22"/>
          <w:szCs w:val="24"/>
        </w:rPr>
      </w:pPr>
      <w:r>
        <w:rPr>
          <w:rFonts w:hint="eastAsia" w:ascii="宋体" w:hAnsi="宋体"/>
          <w:color w:val="auto"/>
          <w:kern w:val="0"/>
          <w:sz w:val="22"/>
          <w:szCs w:val="24"/>
          <w:lang w:val="en-US" w:eastAsia="zh-CN"/>
        </w:rPr>
        <w:t>1.</w:t>
      </w:r>
      <w:r>
        <w:rPr>
          <w:rFonts w:hint="eastAsia" w:ascii="宋体" w:hAnsi="宋体"/>
          <w:color w:val="auto"/>
          <w:kern w:val="0"/>
          <w:sz w:val="22"/>
          <w:szCs w:val="24"/>
        </w:rPr>
        <w:t>评价方法说明</w:t>
      </w:r>
      <w:r>
        <w:rPr>
          <w:rFonts w:hint="eastAsia" w:ascii="宋体" w:hAnsi="宋体"/>
          <w:color w:val="auto"/>
          <w:kern w:val="0"/>
          <w:sz w:val="22"/>
          <w:szCs w:val="24"/>
          <w:lang w:eastAsia="zh-CN"/>
        </w:rPr>
        <w:t>：</w:t>
      </w:r>
      <w:r>
        <w:rPr>
          <w:rFonts w:hint="eastAsia" w:ascii="宋体" w:hAnsi="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numPr>
          <w:ilvl w:val="0"/>
          <w:numId w:val="0"/>
        </w:numPr>
        <w:spacing w:beforeLines="0" w:afterLines="0" w:line="480" w:lineRule="exact"/>
        <w:ind w:firstLine="440" w:firstLineChars="200"/>
        <w:jc w:val="left"/>
        <w:outlineLvl w:val="0"/>
        <w:rPr>
          <w:rFonts w:hint="eastAsia" w:ascii="宋体" w:hAnsi="宋体"/>
          <w:color w:val="auto"/>
          <w:kern w:val="0"/>
          <w:sz w:val="22"/>
          <w:szCs w:val="24"/>
        </w:rPr>
      </w:pPr>
      <w:r>
        <w:rPr>
          <w:rFonts w:hint="eastAsia" w:ascii="宋体" w:hAnsi="宋体"/>
          <w:color w:val="auto"/>
          <w:kern w:val="0"/>
          <w:sz w:val="22"/>
          <w:szCs w:val="24"/>
          <w:lang w:val="en-US" w:eastAsia="zh-CN"/>
        </w:rPr>
        <w:t>2.</w:t>
      </w:r>
      <w:r>
        <w:rPr>
          <w:rFonts w:hint="eastAsia" w:ascii="宋体" w:hAnsi="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color w:val="auto"/>
          <w:kern w:val="0"/>
          <w:sz w:val="22"/>
          <w:szCs w:val="24"/>
          <w:lang w:eastAsia="zh-CN"/>
        </w:rPr>
        <w:t>，</w:t>
      </w:r>
      <w:r>
        <w:rPr>
          <w:rFonts w:hint="eastAsia" w:ascii="宋体" w:hAnsi="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beforeLines="0" w:afterLines="0" w:line="480" w:lineRule="exact"/>
        <w:ind w:firstLine="440" w:firstLineChars="200"/>
        <w:rPr>
          <w:rFonts w:hint="eastAsia" w:ascii="宋体" w:hAnsi="宋体"/>
          <w:color w:val="auto"/>
          <w:kern w:val="0"/>
          <w:sz w:val="22"/>
          <w:szCs w:val="24"/>
        </w:rPr>
      </w:pPr>
      <w:r>
        <w:rPr>
          <w:rFonts w:hint="eastAsia" w:ascii="宋体" w:hAnsi="宋体"/>
          <w:color w:val="auto"/>
          <w:kern w:val="0"/>
          <w:sz w:val="22"/>
          <w:szCs w:val="24"/>
          <w:lang w:val="en-US" w:eastAsia="zh-CN"/>
        </w:rPr>
        <w:t>二是定性指标。</w:t>
      </w:r>
      <w:r>
        <w:rPr>
          <w:rFonts w:hint="eastAsia" w:ascii="宋体" w:hAnsi="宋体"/>
          <w:color w:val="auto"/>
          <w:kern w:val="0"/>
          <w:sz w:val="22"/>
          <w:szCs w:val="24"/>
        </w:rPr>
        <w:t>定性指标得分按照以下方法评定：根据指标完成情况分为达成年度指标、部分达成年度指标且有一定效果、未达成年度指标且效果较差3档，分别按照该指标对应分值区间100%-80%（含80%）、80-60%（含60%）、60%-0%合理确定分值。</w:t>
      </w:r>
    </w:p>
    <w:p>
      <w:pPr>
        <w:spacing w:beforeLines="0" w:afterLines="0" w:line="480" w:lineRule="exact"/>
        <w:ind w:firstLine="440" w:firstLineChars="200"/>
        <w:rPr>
          <w:rFonts w:hint="eastAsia" w:ascii="宋体" w:hAnsi="宋体"/>
          <w:color w:val="auto"/>
          <w:kern w:val="0"/>
          <w:sz w:val="22"/>
          <w:szCs w:val="24"/>
        </w:rPr>
      </w:pPr>
      <w:r>
        <w:rPr>
          <w:rFonts w:hint="eastAsia" w:ascii="宋体" w:hAnsi="宋体"/>
          <w:color w:val="auto"/>
          <w:kern w:val="0"/>
          <w:sz w:val="22"/>
          <w:szCs w:val="24"/>
        </w:rPr>
        <w:t>各项绩效指标得分汇总成该项目自评的总分。</w:t>
      </w:r>
    </w:p>
    <w:p>
      <w:pPr>
        <w:numPr>
          <w:ilvl w:val="0"/>
          <w:numId w:val="0"/>
        </w:numPr>
        <w:spacing w:beforeLines="0" w:afterLines="0" w:line="480" w:lineRule="exact"/>
        <w:ind w:firstLine="440" w:firstLineChars="200"/>
        <w:jc w:val="left"/>
        <w:outlineLvl w:val="0"/>
        <w:rPr>
          <w:rFonts w:hint="eastAsia" w:ascii="宋体" w:hAnsi="宋体"/>
          <w:color w:val="auto"/>
          <w:kern w:val="0"/>
          <w:sz w:val="22"/>
          <w:szCs w:val="24"/>
        </w:rPr>
      </w:pPr>
      <w:r>
        <w:rPr>
          <w:rFonts w:hint="eastAsia" w:ascii="宋体" w:hAnsi="宋体"/>
          <w:color w:val="auto"/>
          <w:kern w:val="0"/>
          <w:sz w:val="22"/>
          <w:szCs w:val="24"/>
          <w:lang w:val="en-US" w:eastAsia="zh-CN"/>
        </w:rPr>
        <w:t>3.</w:t>
      </w:r>
      <w:r>
        <w:rPr>
          <w:rFonts w:hint="eastAsia" w:ascii="宋体" w:hAnsi="宋体"/>
          <w:color w:val="auto"/>
          <w:kern w:val="0"/>
          <w:sz w:val="22"/>
          <w:szCs w:val="24"/>
        </w:rPr>
        <w:t>各部门在收集、分析上述绩效执行信息的基础上，</w:t>
      </w:r>
      <w:r>
        <w:rPr>
          <w:rFonts w:hint="eastAsia" w:ascii="宋体" w:hAnsi="宋体"/>
          <w:color w:val="auto"/>
          <w:kern w:val="0"/>
          <w:sz w:val="22"/>
          <w:szCs w:val="24"/>
          <w:lang w:val="en-US" w:eastAsia="zh-CN"/>
        </w:rPr>
        <w:t>针</w:t>
      </w:r>
      <w:r>
        <w:rPr>
          <w:rFonts w:hint="eastAsia" w:ascii="宋体" w:hAnsi="宋体"/>
          <w:color w:val="auto"/>
          <w:kern w:val="0"/>
          <w:sz w:val="22"/>
          <w:szCs w:val="24"/>
        </w:rPr>
        <w:t>对未完成绩效目标及指标</w:t>
      </w:r>
      <w:r>
        <w:rPr>
          <w:rFonts w:hint="eastAsia" w:ascii="宋体" w:hAnsi="宋体"/>
          <w:color w:val="auto"/>
          <w:kern w:val="0"/>
          <w:sz w:val="22"/>
          <w:szCs w:val="24"/>
          <w:lang w:eastAsia="zh-CN"/>
        </w:rPr>
        <w:t>，</w:t>
      </w:r>
      <w:r>
        <w:rPr>
          <w:rFonts w:hint="eastAsia" w:ascii="宋体" w:hAnsi="宋体"/>
          <w:color w:val="auto"/>
          <w:kern w:val="0"/>
          <w:sz w:val="22"/>
          <w:szCs w:val="24"/>
          <w:lang w:val="en-US" w:eastAsia="zh-CN"/>
        </w:rPr>
        <w:t>需</w:t>
      </w:r>
      <w:r>
        <w:rPr>
          <w:rFonts w:hint="eastAsia" w:ascii="宋体" w:hAnsi="宋体"/>
          <w:color w:val="auto"/>
          <w:kern w:val="0"/>
          <w:sz w:val="22"/>
          <w:szCs w:val="24"/>
        </w:rPr>
        <w:t>在“偏差原因分析及改进措施”中</w:t>
      </w:r>
      <w:r>
        <w:rPr>
          <w:rFonts w:hint="eastAsia" w:ascii="宋体" w:hAnsi="宋体"/>
          <w:color w:val="auto"/>
          <w:kern w:val="0"/>
          <w:sz w:val="22"/>
          <w:szCs w:val="24"/>
          <w:lang w:val="en-US" w:eastAsia="zh-CN"/>
        </w:rPr>
        <w:t>逐条分析</w:t>
      </w:r>
      <w:r>
        <w:rPr>
          <w:rFonts w:hint="eastAsia" w:ascii="宋体" w:hAnsi="宋体"/>
          <w:color w:val="auto"/>
          <w:kern w:val="0"/>
          <w:sz w:val="22"/>
          <w:szCs w:val="24"/>
        </w:rPr>
        <w:t>说明偏离目标、不能完成目标的原因及拟采取的措施。</w:t>
      </w:r>
    </w:p>
    <w:p>
      <w:pPr>
        <w:numPr>
          <w:ilvl w:val="0"/>
          <w:numId w:val="0"/>
        </w:numPr>
        <w:spacing w:beforeLines="0" w:afterLines="0" w:line="480" w:lineRule="exact"/>
        <w:ind w:firstLine="440" w:firstLineChars="200"/>
        <w:jc w:val="left"/>
        <w:outlineLvl w:val="0"/>
        <w:rPr>
          <w:rFonts w:hint="eastAsia" w:ascii="宋体" w:hAnsi="宋体"/>
          <w:color w:val="auto"/>
          <w:kern w:val="0"/>
          <w:sz w:val="22"/>
          <w:szCs w:val="24"/>
        </w:rPr>
      </w:pPr>
      <w:r>
        <w:rPr>
          <w:rFonts w:hint="eastAsia" w:ascii="宋体" w:hAnsi="宋体"/>
          <w:color w:val="auto"/>
          <w:kern w:val="0"/>
          <w:sz w:val="22"/>
          <w:szCs w:val="24"/>
        </w:rPr>
        <w:t>4.</w:t>
      </w:r>
      <w:r>
        <w:rPr>
          <w:rFonts w:hint="eastAsia" w:ascii="宋体" w:hAnsi="宋体"/>
          <w:color w:val="auto"/>
          <w:kern w:val="0"/>
          <w:sz w:val="22"/>
          <w:szCs w:val="24"/>
          <w:lang w:val="en-US" w:eastAsia="zh-CN"/>
        </w:rPr>
        <w:t>等级划分：</w:t>
      </w:r>
      <w:r>
        <w:rPr>
          <w:rFonts w:hint="eastAsia" w:ascii="宋体" w:hAnsi="宋体"/>
          <w:color w:val="auto"/>
          <w:kern w:val="0"/>
          <w:sz w:val="22"/>
          <w:szCs w:val="24"/>
        </w:rPr>
        <w:t>90（含）-100分为</w:t>
      </w:r>
      <w:r>
        <w:rPr>
          <w:rFonts w:hint="eastAsia" w:ascii="宋体" w:hAnsi="宋体"/>
          <w:color w:val="auto"/>
          <w:kern w:val="0"/>
          <w:sz w:val="22"/>
          <w:szCs w:val="24"/>
          <w:lang w:val="en-US" w:eastAsia="zh-CN"/>
        </w:rPr>
        <w:t>优</w:t>
      </w:r>
      <w:r>
        <w:rPr>
          <w:rFonts w:hint="eastAsia" w:ascii="宋体" w:hAnsi="宋体"/>
          <w:color w:val="auto"/>
          <w:kern w:val="0"/>
          <w:sz w:val="22"/>
          <w:szCs w:val="24"/>
        </w:rPr>
        <w:t>、80（含）-90分为</w:t>
      </w:r>
      <w:r>
        <w:rPr>
          <w:rFonts w:hint="eastAsia" w:ascii="宋体" w:hAnsi="宋体"/>
          <w:color w:val="auto"/>
          <w:kern w:val="0"/>
          <w:sz w:val="22"/>
          <w:szCs w:val="24"/>
          <w:lang w:val="en-US" w:eastAsia="zh-CN"/>
        </w:rPr>
        <w:t>良</w:t>
      </w:r>
      <w:r>
        <w:rPr>
          <w:rFonts w:hint="eastAsia" w:ascii="宋体" w:hAnsi="宋体"/>
          <w:color w:val="auto"/>
          <w:kern w:val="0"/>
          <w:sz w:val="22"/>
          <w:szCs w:val="24"/>
        </w:rPr>
        <w:t>、60（含）-80分为</w:t>
      </w:r>
      <w:r>
        <w:rPr>
          <w:rFonts w:hint="eastAsia" w:ascii="宋体" w:hAnsi="宋体"/>
          <w:color w:val="auto"/>
          <w:kern w:val="0"/>
          <w:sz w:val="22"/>
          <w:szCs w:val="24"/>
          <w:lang w:val="en-US" w:eastAsia="zh-CN"/>
        </w:rPr>
        <w:t>中</w:t>
      </w:r>
      <w:r>
        <w:rPr>
          <w:rFonts w:hint="eastAsia" w:ascii="宋体" w:hAnsi="宋体"/>
          <w:color w:val="auto"/>
          <w:kern w:val="0"/>
          <w:sz w:val="22"/>
          <w:szCs w:val="24"/>
        </w:rPr>
        <w:t>、60分以下为差。</w:t>
      </w:r>
    </w:p>
    <w:p>
      <w:pPr>
        <w:spacing w:beforeLines="0" w:afterLines="0"/>
        <w:jc w:val="center"/>
        <w:rPr>
          <w:rFonts w:hint="eastAsia" w:ascii="宋体" w:hAnsi="宋体"/>
          <w:b/>
          <w:color w:val="auto"/>
          <w:sz w:val="36"/>
          <w:szCs w:val="24"/>
        </w:rPr>
      </w:pPr>
    </w:p>
    <w:p>
      <w:pPr>
        <w:spacing w:beforeLines="0" w:afterLines="0"/>
        <w:jc w:val="center"/>
        <w:rPr>
          <w:rFonts w:hint="eastAsia" w:ascii="宋体" w:hAnsi="宋体"/>
          <w:b/>
          <w:color w:val="auto"/>
          <w:sz w:val="36"/>
          <w:szCs w:val="24"/>
        </w:rPr>
      </w:pPr>
    </w:p>
    <w:p>
      <w:pPr>
        <w:jc w:val="left"/>
        <w:rPr>
          <w:rFonts w:hint="default"/>
          <w:sz w:val="21"/>
          <w:szCs w:val="24"/>
        </w:rPr>
      </w:pPr>
    </w:p>
    <w:sectPr>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footnotePr>
    <w:footnote w:id="0"/>
    <w:footnote w:id="1"/>
  </w:footnotePr>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C161F18"/>
    <w:rsid w:val="79FE83A9"/>
    <w:rsid w:val="7FEF6C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0"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unhideWhenUsed/>
    <w:qFormat/>
    <w:uiPriority w:val="99"/>
    <w:rPr>
      <w:rFonts w:hint="default"/>
      <w:sz w:val="24"/>
      <w:szCs w:val="24"/>
    </w:rPr>
  </w:style>
  <w:style w:type="table" w:default="1" w:styleId="2">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TotalTime>0</TotalTime>
  <ScaleCrop>false</ScaleCrop>
  <LinksUpToDate>false</LinksUpToDate>
  <Application>WPS Office_11.8.2.12265_F1E327BC-269C-435d-A152-05C5408002CA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2025-03-20T19:55:00Z</dcterms:created>
  <dc:creator>uos</dc:creator>
  <cp:lastModifiedBy>Administrator</cp:lastModifiedBy>
  <dcterms:modified xsi:type="dcterms:W3CDTF">2025-09-10T07:21:02Z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F595C632FE03F95CF092DB67BFF304BD</vt:lpwstr>
  </property>
</Properties>
</file>