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E544B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94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86"/>
        <w:gridCol w:w="818"/>
        <w:gridCol w:w="1109"/>
        <w:gridCol w:w="1170"/>
        <w:gridCol w:w="790"/>
        <w:gridCol w:w="395"/>
        <w:gridCol w:w="687"/>
        <w:gridCol w:w="825"/>
        <w:gridCol w:w="1162"/>
      </w:tblGrid>
      <w:tr w14:paraId="6F9A7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8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B374F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343E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8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8A6C25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6C540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E60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560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中仓街道社区管理服务用房租金</w:t>
            </w:r>
          </w:p>
        </w:tc>
      </w:tr>
      <w:tr w14:paraId="769A2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A3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915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59B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FC8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中仓街道办事处</w:t>
            </w:r>
          </w:p>
        </w:tc>
      </w:tr>
      <w:tr w14:paraId="360F0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58D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354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A37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66E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9784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37E5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192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8F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72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795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208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84C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0AF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3E56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9A2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9D39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666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291.347000万元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C4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291.347000万元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62D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291.347000万元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C82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DA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E03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EAAB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22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2F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1E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291.347000万元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1F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291.347000万元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5F9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291.347000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F4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0F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DE9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F326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217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BD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2E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502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E88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3E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83B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9BA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F75F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3F5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C8E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349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784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051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E67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569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36F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C6AC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9F0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B5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80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C7F3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3E3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95FB7">
            <w:pPr>
              <w:pStyle w:val="2"/>
              <w:numPr>
                <w:ilvl w:val="0"/>
                <w:numId w:val="0"/>
              </w:numPr>
              <w:ind w:leftChars="0" w:firstLine="240" w:firstLineChars="100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解决中上园、四员厅、悟仙观、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佟麟阁四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个社区办公与服务用房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3829D3CC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</w:p>
        </w:tc>
        <w:tc>
          <w:tcPr>
            <w:tcW w:w="38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123B0">
            <w:pPr>
              <w:pStyle w:val="2"/>
              <w:numPr>
                <w:ilvl w:val="0"/>
                <w:numId w:val="0"/>
              </w:numPr>
              <w:ind w:leftChars="0" w:firstLine="240" w:firstLineChars="100"/>
              <w:jc w:val="both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解决中上园、四员厅、悟仙观、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佟麟阁四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个社区办公与服务用房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58CB2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71F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A3F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AE6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C16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AEC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B4F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02D219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FE8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15330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26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08B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C5F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6C9B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E2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4E8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4E9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8B3B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事前绩效评估数量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FD7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700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E82C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4EBF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996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DFE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CAB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1E1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658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AE46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绩效再评价和事中绩效跟踪数量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BA4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AE8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EECB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70E6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E95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502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BB0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91B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5A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CC0D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绩效评价数量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C01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18A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A389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3EAF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D6F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D59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69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3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90A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381BF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评估、评价尾款项目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F1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947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A65A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CEA8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74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79F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7EF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074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E37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6A1D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A86B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79AD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74C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2223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8CF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451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701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964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843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2B2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评价、评估、跟踪、分析报告审核情况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DE3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2C2D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EFB8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05BF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E4C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3F8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553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D08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D0C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9527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5EAE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8E79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1EB7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5F9D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D3D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4A1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E90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80C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AC7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E451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绩效再评价和事中跟踪完成时间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5EB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605D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6E03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F1C5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B26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58B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FE7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B8B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D68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2DC8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事前绩效评价完成时间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9232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4F91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437F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B4DA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235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D71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2C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40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34D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F3AE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绩效管理服务经费预算控制数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A84E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5A799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F13F70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9319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50E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E6C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792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30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B91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3E51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hd w:val="clear" w:color="auto" w:fill="auto"/>
              </w:rPr>
              <w:t>评估、评价尾款项目控制数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AEB6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5CAA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630E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CEF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394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210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B41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B9F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404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FD404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绩效管理服务工时标准(注册会计师级别)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29E3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33D7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9AD3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83B0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BC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D84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CD0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A2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4C9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F3CA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绩效管理服务工时标准(助理级别)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13C1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57145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9CD6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E678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A05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C33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BE2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DD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66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效果指标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3259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部门绩效管理观念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AFAE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D523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D220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A7B7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F8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FBC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68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199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D2E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A382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绩效评价结果应用程度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415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D755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50D0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367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61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52A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6F7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CD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13F38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D8D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D0FB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预算部门和单位对绩效评价工作人员的廉政反馈情况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099FE9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无违纪行为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E6B998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A811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50A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7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199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A1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59E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07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B1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AC4D8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236850D2"/>
    <w:rsid w:val="357A66FE"/>
    <w:rsid w:val="543F15D8"/>
    <w:rsid w:val="601F01B7"/>
    <w:rsid w:val="65FA310B"/>
    <w:rsid w:val="763A2F02"/>
    <w:rsid w:val="770E7037"/>
    <w:rsid w:val="77145059"/>
    <w:rsid w:val="795E3F98"/>
    <w:rsid w:val="7CBB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852</Characters>
  <Lines>0</Lines>
  <Paragraphs>0</Paragraphs>
  <TotalTime>1</TotalTime>
  <ScaleCrop>false</ScaleCrop>
  <LinksUpToDate>false</LinksUpToDate>
  <CharactersWithSpaces>887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2025-09-09T08:04:05Z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FCF63BA33248464C9C3A0537C8391184_13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