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方正小标宋简体" w:hAnsi="黑体" w:eastAsia="方正小标宋简体" w:cs="Arial"/>
          <w:b w:val="0"/>
          <w:bCs w:val="0"/>
          <w:sz w:val="44"/>
          <w:szCs w:val="44"/>
          <w:lang w:eastAsia="zh-CN"/>
        </w:rPr>
      </w:pPr>
      <w:r>
        <w:rPr>
          <w:rFonts w:hint="eastAsia" w:ascii="方正小标宋简体" w:hAnsi="黑体" w:eastAsia="方正小标宋简体" w:cs="Arial"/>
          <w:b w:val="0"/>
          <w:bCs w:val="0"/>
          <w:sz w:val="44"/>
          <w:szCs w:val="44"/>
          <w:lang w:eastAsia="zh-CN"/>
        </w:rPr>
        <w:t>北京市通州区体育局</w:t>
      </w:r>
    </w:p>
    <w:p>
      <w:pPr>
        <w:jc w:val="center"/>
        <w:rPr>
          <w:rFonts w:hint="eastAsia" w:ascii="方正小标宋简体" w:hAnsi="黑体" w:eastAsia="方正小标宋简体" w:cs="Arial"/>
          <w:b w:val="0"/>
          <w:bCs w:val="0"/>
          <w:sz w:val="44"/>
          <w:szCs w:val="44"/>
        </w:rPr>
      </w:pPr>
      <w:r>
        <w:rPr>
          <w:rFonts w:hint="eastAsia" w:ascii="方正小标宋简体" w:hAnsi="黑体" w:eastAsia="方正小标宋简体" w:cs="Arial"/>
          <w:b w:val="0"/>
          <w:bCs w:val="0"/>
          <w:sz w:val="44"/>
          <w:szCs w:val="44"/>
        </w:rPr>
        <w:t>202</w:t>
      </w:r>
      <w:r>
        <w:rPr>
          <w:rFonts w:hint="eastAsia" w:ascii="方正小标宋简体" w:hAnsi="黑体" w:eastAsia="方正小标宋简体" w:cs="Arial"/>
          <w:b w:val="0"/>
          <w:bCs w:val="0"/>
          <w:sz w:val="44"/>
          <w:szCs w:val="44"/>
          <w:lang w:val="en-US" w:eastAsia="zh-CN"/>
        </w:rPr>
        <w:t>4</w:t>
      </w:r>
      <w:r>
        <w:rPr>
          <w:rFonts w:hint="eastAsia" w:ascii="方正小标宋简体" w:hAnsi="黑体" w:eastAsia="方正小标宋简体" w:cs="Arial"/>
          <w:b w:val="0"/>
          <w:bCs w:val="0"/>
          <w:sz w:val="44"/>
          <w:szCs w:val="44"/>
        </w:rPr>
        <w:t>年部门整体绩效</w:t>
      </w:r>
      <w:r>
        <w:rPr>
          <w:rFonts w:hint="eastAsia" w:ascii="方正小标宋简体" w:hAnsi="黑体" w:eastAsia="方正小标宋简体" w:cs="Arial"/>
          <w:b w:val="0"/>
          <w:bCs w:val="0"/>
          <w:sz w:val="44"/>
          <w:szCs w:val="44"/>
          <w:lang w:eastAsia="zh-CN"/>
        </w:rPr>
        <w:t>评价</w:t>
      </w:r>
      <w:r>
        <w:rPr>
          <w:rFonts w:hint="eastAsia" w:ascii="方正小标宋简体" w:hAnsi="黑体" w:eastAsia="方正小标宋简体" w:cs="Arial"/>
          <w:b w:val="0"/>
          <w:bCs w:val="0"/>
          <w:sz w:val="44"/>
          <w:szCs w:val="44"/>
        </w:rPr>
        <w:t>报告</w:t>
      </w:r>
    </w:p>
    <w:p>
      <w:pPr>
        <w:jc w:val="center"/>
        <w:rPr>
          <w:rFonts w:hint="eastAsia" w:ascii="楷体_GB2312" w:eastAsia="楷体_GB2312"/>
          <w:b w:val="0"/>
          <w:bCs w:val="0"/>
          <w:sz w:val="32"/>
          <w:szCs w:val="32"/>
        </w:rPr>
      </w:pPr>
    </w:p>
    <w:p>
      <w:pPr>
        <w:jc w:val="center"/>
        <w:rPr>
          <w:rFonts w:ascii="仿宋_GB2312"/>
          <w:b w:val="0"/>
          <w:bCs w:val="0"/>
          <w:szCs w:val="30"/>
        </w:rPr>
      </w:pPr>
    </w:p>
    <w:p>
      <w:pPr>
        <w:spacing w:line="600" w:lineRule="exact"/>
        <w:ind w:firstLine="640" w:firstLineChars="200"/>
        <w:rPr>
          <w:rFonts w:hint="eastAsia"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一、部门概况</w:t>
      </w:r>
    </w:p>
    <w:p>
      <w:pPr>
        <w:spacing w:line="600" w:lineRule="exact"/>
        <w:ind w:firstLine="640" w:firstLineChars="200"/>
        <w:rPr>
          <w:rFonts w:hint="eastAsia" w:ascii="楷体_GB2312" w:eastAsia="楷体_GB2312"/>
          <w:b w:val="0"/>
          <w:bCs w:val="0"/>
          <w:sz w:val="32"/>
          <w:szCs w:val="32"/>
        </w:rPr>
      </w:pPr>
      <w:r>
        <w:rPr>
          <w:rFonts w:hint="eastAsia" w:ascii="楷体_GB2312" w:eastAsia="楷体_GB2312"/>
          <w:b w:val="0"/>
          <w:bCs w:val="0"/>
          <w:sz w:val="32"/>
          <w:szCs w:val="32"/>
        </w:rPr>
        <w:t>（一）机构设置及职责工作任务情况</w:t>
      </w:r>
    </w:p>
    <w:p>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1．主要职能。</w:t>
      </w:r>
    </w:p>
    <w:p>
      <w:pPr>
        <w:spacing w:line="520" w:lineRule="exact"/>
        <w:ind w:firstLine="555"/>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根据中共北京市通州区委、北京市通州区政府（通发﹝2001﹞51号）文件，“关于机构设置的通知”，设立：北京市通州区体育局。北京市通州区体育局主要职能具体涵盖以下内容：</w:t>
      </w:r>
    </w:p>
    <w:p>
      <w:pPr>
        <w:spacing w:line="52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(1)贯彻执行国家、本市关于体育工作方面方针、政策和法律、法规、规章；研究拟订本区体育事业发展规划，并组织实施。</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sz w:val="32"/>
          <w:szCs w:val="32"/>
        </w:rPr>
        <w:t>协调本区区域性体育发展，负责推动多元化体育服务体系建设，参与体育公共服务和体育体制改革。</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sz w:val="32"/>
          <w:szCs w:val="32"/>
        </w:rPr>
        <w:t>统筹规划本区群众体育发展，负责推行全民健身计划监督实施国家、本市体育锻炼标准，参与国民体质监测和社会体育指导员工作队伍建设。</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(4)</w:t>
      </w:r>
      <w:r>
        <w:rPr>
          <w:rFonts w:hint="eastAsia" w:ascii="仿宋_GB2312" w:hAnsi="仿宋_GB2312" w:eastAsia="仿宋_GB2312" w:cs="仿宋_GB2312"/>
          <w:sz w:val="32"/>
          <w:szCs w:val="32"/>
        </w:rPr>
        <w:t>统筹规划本区竞技体育发展，指导协调体育训练和体育竞赛，指导运动队伍建设。协调运动员社会保障工作。</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(5)</w:t>
      </w:r>
      <w:r>
        <w:rPr>
          <w:rFonts w:hint="eastAsia" w:ascii="仿宋_GB2312" w:hAnsi="仿宋_GB2312" w:eastAsia="仿宋_GB2312" w:cs="仿宋_GB2312"/>
          <w:sz w:val="32"/>
          <w:szCs w:val="32"/>
        </w:rPr>
        <w:t>统筹规划本区青少年体育发展，指导和推进青少年体育工作。</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(6)</w:t>
      </w:r>
      <w:r>
        <w:rPr>
          <w:rFonts w:hint="eastAsia" w:ascii="仿宋_GB2312" w:hAnsi="仿宋_GB2312" w:eastAsia="仿宋_GB2312" w:cs="仿宋_GB2312"/>
          <w:sz w:val="32"/>
          <w:szCs w:val="32"/>
        </w:rPr>
        <w:t>统筹本区体育设施布局规划，负责本行政区域内体育设施的监督管理以及辖区内新改扩建居住区体育设施配套建设的规划、审批、验收及监管。</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(7)</w:t>
      </w:r>
      <w:r>
        <w:rPr>
          <w:rFonts w:hint="eastAsia" w:ascii="仿宋_GB2312" w:hAnsi="仿宋_GB2312" w:eastAsia="仿宋_GB2312" w:cs="仿宋_GB2312"/>
          <w:sz w:val="32"/>
          <w:szCs w:val="32"/>
        </w:rPr>
        <w:t>会同有关部门拟订本区体育产业发展规划，培育、引导和扶持体育产业，推动产业结构优化升级，规范体育服务管理，推动体育标准化建设。</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(8)</w:t>
      </w:r>
      <w:r>
        <w:rPr>
          <w:rFonts w:hint="eastAsia" w:ascii="仿宋_GB2312" w:hAnsi="仿宋_GB2312" w:eastAsia="仿宋_GB2312" w:cs="仿宋_GB2312"/>
          <w:sz w:val="32"/>
          <w:szCs w:val="32"/>
        </w:rPr>
        <w:t>主办、承办本区重大体育赛事活动。</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(9)</w:t>
      </w:r>
      <w:r>
        <w:rPr>
          <w:rFonts w:hint="eastAsia" w:ascii="仿宋_GB2312" w:hAnsi="仿宋_GB2312" w:eastAsia="仿宋_GB2312" w:cs="仿宋_GB2312"/>
          <w:sz w:val="32"/>
          <w:szCs w:val="32"/>
        </w:rPr>
        <w:t>负责本区体育社会团体的资格审查和业务管理工作。</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(10)</w:t>
      </w:r>
      <w:r>
        <w:rPr>
          <w:rFonts w:hint="eastAsia" w:ascii="仿宋_GB2312" w:hAnsi="仿宋_GB2312" w:eastAsia="仿宋_GB2312" w:cs="仿宋_GB2312"/>
          <w:sz w:val="32"/>
          <w:szCs w:val="32"/>
        </w:rPr>
        <w:t>负责权限内的全区体育行政执法和体育行政审批工作。</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(11)</w:t>
      </w:r>
      <w:r>
        <w:rPr>
          <w:rFonts w:hint="eastAsia" w:ascii="仿宋_GB2312" w:hAnsi="仿宋_GB2312" w:eastAsia="仿宋_GB2312" w:cs="仿宋_GB2312"/>
          <w:sz w:val="32"/>
          <w:szCs w:val="32"/>
        </w:rPr>
        <w:t>组织拟订本区体育工作有关安全方面的规章制度，承担体育行业有关的安全宣传教育工作。依法对本区体育行业的安全工作承担管理责任，对以区体育局名义组织的各类活动的安全工作承担主体责任。</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(12)</w:t>
      </w:r>
      <w:r>
        <w:rPr>
          <w:rFonts w:hint="eastAsia" w:ascii="仿宋_GB2312" w:hAnsi="仿宋_GB2312" w:eastAsia="仿宋_GB2312" w:cs="仿宋_GB2312"/>
          <w:sz w:val="32"/>
          <w:szCs w:val="32"/>
        </w:rPr>
        <w:t>在区人才工作领导小组的领导下，负责全区群众体育和竞技人才开发培养工作。</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_GB2312" w:eastAsia="仿宋_GB2312" w:cs="仿宋_GB2312"/>
          <w:kern w:val="0"/>
          <w:sz w:val="32"/>
          <w:szCs w:val="32"/>
        </w:rPr>
        <w:t>(13)</w:t>
      </w:r>
      <w:r>
        <w:rPr>
          <w:rFonts w:hint="eastAsia" w:ascii="仿宋_GB2312" w:hAnsi="仿宋_GB2312" w:eastAsia="仿宋_GB2312" w:cs="仿宋_GB2312"/>
          <w:sz w:val="32"/>
          <w:szCs w:val="32"/>
        </w:rPr>
        <w:t>承办区政府交办的其他事项。</w:t>
      </w:r>
    </w:p>
    <w:p>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2．机构情况，包括当年变动情况及原因。</w:t>
      </w:r>
    </w:p>
    <w:p>
      <w:pPr>
        <w:snapToGrid w:val="0"/>
        <w:spacing w:line="520" w:lineRule="exact"/>
        <w:ind w:firstLine="640" w:firstLineChars="200"/>
        <w:rPr>
          <w:rFonts w:hint="eastAsia"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rPr>
        <w:t>根据中共北京市通州区委、北京市通州区政府（通发﹝2001﹞51号）文件，“关于机构设置的通知”，设立：北京市通州区体育局。体育局</w:t>
      </w:r>
      <w:r>
        <w:rPr>
          <w:rFonts w:hint="eastAsia" w:ascii="仿宋_GB2312" w:hAnsi="仿宋_GB2312" w:eastAsia="仿宋_GB2312" w:cs="仿宋_GB2312"/>
          <w:kern w:val="0"/>
          <w:sz w:val="32"/>
          <w:szCs w:val="32"/>
        </w:rPr>
        <w:t>下设3个事业单位：北京市通州区体育运动学校；北京市通州区体育场馆管理中心；北京市通州区社会体育管理中心。</w:t>
      </w:r>
    </w:p>
    <w:p>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3．人员情况，包括当年变动情况及原因。</w:t>
      </w:r>
    </w:p>
    <w:p>
      <w:pPr>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北京市通州区体育局部门行政编制11人，实际</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人；</w:t>
      </w:r>
      <w:r>
        <w:rPr>
          <w:rFonts w:hint="eastAsia" w:ascii="仿宋_GB2312" w:hAnsi="仿宋_GB2312" w:eastAsia="仿宋_GB2312" w:cs="仿宋_GB2312"/>
          <w:color w:val="404040"/>
          <w:sz w:val="32"/>
          <w:szCs w:val="32"/>
          <w:shd w:val="clear" w:color="auto" w:fill="FFFFFF"/>
        </w:rPr>
        <w:t>行政工勤</w:t>
      </w:r>
      <w:r>
        <w:rPr>
          <w:rFonts w:hint="eastAsia" w:ascii="仿宋_GB2312" w:hAnsi="仿宋_GB2312" w:eastAsia="仿宋_GB2312" w:cs="仿宋_GB2312"/>
          <w:color w:val="404040"/>
          <w:sz w:val="32"/>
          <w:szCs w:val="32"/>
          <w:shd w:val="clear" w:color="auto" w:fill="FFFFFF"/>
          <w:lang w:val="en-US" w:eastAsia="zh-CN"/>
        </w:rPr>
        <w:t>2</w:t>
      </w:r>
      <w:r>
        <w:rPr>
          <w:rFonts w:hint="eastAsia" w:ascii="仿宋_GB2312" w:hAnsi="仿宋_GB2312" w:eastAsia="仿宋_GB2312" w:cs="仿宋_GB2312"/>
          <w:color w:val="404040"/>
          <w:sz w:val="32"/>
          <w:szCs w:val="32"/>
          <w:shd w:val="clear" w:color="auto" w:fill="FFFFFF"/>
        </w:rPr>
        <w:t>人（不占编制，随自然减员，逐步核销）;</w:t>
      </w:r>
      <w:r>
        <w:rPr>
          <w:rFonts w:hint="eastAsia" w:ascii="仿宋_GB2312" w:hAnsi="仿宋_GB2312" w:eastAsia="仿宋_GB2312" w:cs="仿宋_GB2312"/>
          <w:sz w:val="32"/>
          <w:szCs w:val="32"/>
        </w:rPr>
        <w:t>事业编制74人，实际</w:t>
      </w:r>
      <w:r>
        <w:rPr>
          <w:rFonts w:hint="eastAsia" w:ascii="仿宋_GB2312" w:hAnsi="仿宋_GB2312" w:eastAsia="仿宋_GB2312" w:cs="仿宋_GB2312"/>
          <w:sz w:val="32"/>
          <w:szCs w:val="32"/>
          <w:lang w:val="en-US" w:eastAsia="zh-CN"/>
        </w:rPr>
        <w:t>62</w:t>
      </w:r>
      <w:r>
        <w:rPr>
          <w:rFonts w:hint="eastAsia" w:ascii="仿宋_GB2312" w:hAnsi="仿宋_GB2312" w:eastAsia="仿宋_GB2312" w:cs="仿宋_GB2312"/>
          <w:sz w:val="32"/>
          <w:szCs w:val="32"/>
        </w:rPr>
        <w:t>人；聘用人员（包括公安系统文职人员、公安系统辅警人员、公安系统交通协管员、法院聘任书记员、聘用制司法警察、其他聘用人员--临时工等）</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 人。</w:t>
      </w:r>
    </w:p>
    <w:p>
      <w:pPr>
        <w:spacing w:line="560" w:lineRule="exact"/>
        <w:ind w:firstLine="55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离退休</w:t>
      </w:r>
      <w:r>
        <w:rPr>
          <w:rFonts w:hint="eastAsia" w:ascii="仿宋_GB2312" w:hAnsi="仿宋_GB2312" w:eastAsia="仿宋_GB2312" w:cs="仿宋_GB2312"/>
          <w:color w:val="auto"/>
          <w:sz w:val="32"/>
          <w:szCs w:val="32"/>
        </w:rPr>
        <w:t>人员76人</w:t>
      </w:r>
      <w:r>
        <w:rPr>
          <w:rFonts w:hint="eastAsia" w:ascii="仿宋_GB2312" w:hAnsi="仿宋_GB2312" w:eastAsia="仿宋_GB2312" w:cs="仿宋_GB2312"/>
          <w:sz w:val="32"/>
          <w:szCs w:val="32"/>
        </w:rPr>
        <w:t>，其中：离休</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人，退休7</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人。</w:t>
      </w:r>
    </w:p>
    <w:p>
      <w:pPr>
        <w:spacing w:line="560" w:lineRule="exact"/>
        <w:ind w:firstLine="555"/>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变动情况说明：行政公务员退休</w:t>
      </w:r>
      <w:r>
        <w:rPr>
          <w:rFonts w:hint="eastAsia" w:ascii="仿宋_GB2312" w:hAnsi="仿宋_GB2312" w:eastAsia="仿宋_GB2312" w:cs="仿宋_GB2312"/>
          <w:sz w:val="32"/>
          <w:szCs w:val="32"/>
          <w:lang w:val="en-US" w:eastAsia="zh-CN"/>
        </w:rPr>
        <w:t>1人，离休去世1人，事业编制招聘2人。</w:t>
      </w:r>
    </w:p>
    <w:p>
      <w:pPr>
        <w:numPr>
          <w:ilvl w:val="0"/>
          <w:numId w:val="1"/>
        </w:num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部门整体绩效目标设立情况</w:t>
      </w:r>
    </w:p>
    <w:p>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我区深入贯彻落实党的</w:t>
      </w:r>
      <w:r>
        <w:rPr>
          <w:rFonts w:hint="eastAsia" w:ascii="仿宋_GB2312" w:hAnsi="仿宋_GB2312" w:eastAsia="仿宋_GB2312" w:cs="仿宋_GB2312"/>
          <w:sz w:val="32"/>
          <w:szCs w:val="32"/>
          <w:lang w:eastAsia="zh-CN"/>
        </w:rPr>
        <w:t>二十</w:t>
      </w:r>
      <w:r>
        <w:rPr>
          <w:rFonts w:hint="eastAsia" w:ascii="仿宋_GB2312" w:hAnsi="仿宋_GB2312" w:eastAsia="仿宋_GB2312" w:cs="仿宋_GB2312"/>
          <w:sz w:val="32"/>
          <w:szCs w:val="32"/>
        </w:rPr>
        <w:t>大和习近平总书记“高起点、高标准、高水平建设北京城市副中心”重要指示精神，在区委区政府的正确领导下，认真贯彻《全民健身计划（2021—2025年）》，严格落实“副中心控规”，以 七有五性”民生为导向，建立通州区体系完善、惠及大众的全民健身公共服务体系，更好地通过全民健身促进全民健康，我局从健身场地设施建设、全民健身活动开展、基层体育组织建设和科学健身等方面，积极推动全民健身服务能力整体提升。</w:t>
      </w:r>
    </w:p>
    <w:p>
      <w:pPr>
        <w:numPr>
          <w:numId w:val="0"/>
        </w:numPr>
        <w:spacing w:line="600" w:lineRule="exact"/>
        <w:ind w:left="0" w:leftChars="0" w:firstLine="419" w:firstLineChars="131"/>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整体部门绩效：贯彻落实《全民健身条例》《全民健身计划》，更好地满足广大群众的体育健身需求。推动全民健身生活化，扶持北京市全民健身示范街道、体育特色乡镇建设工作。完成市、区政府重要民生实事工作。推动各区业余训练和学校体育工作发展，加强区级冬季项目运动队建设，促进各区青少年体育工作发展。支持体育设施进公园、采购安装全民健身工程器材、老旧室外健身器材更新、全民健身场地更新维护、支持重大体育赛事、全民健身活动、支持青少年体育、冰雪运动等体育事业发展。  </w:t>
      </w:r>
    </w:p>
    <w:p>
      <w:pPr>
        <w:spacing w:line="600" w:lineRule="exact"/>
        <w:ind w:left="105" w:leftChars="50" w:firstLine="480" w:firstLineChars="150"/>
        <w:rPr>
          <w:rFonts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二</w:t>
      </w:r>
      <w:r>
        <w:rPr>
          <w:rFonts w:ascii="黑体" w:hAnsi="黑体" w:eastAsia="黑体" w:cs="宋体"/>
          <w:b w:val="0"/>
          <w:bCs w:val="0"/>
          <w:color w:val="000000"/>
          <w:kern w:val="0"/>
          <w:sz w:val="32"/>
          <w:szCs w:val="32"/>
        </w:rPr>
        <w:t>、</w:t>
      </w:r>
      <w:r>
        <w:rPr>
          <w:rFonts w:hint="eastAsia" w:ascii="黑体" w:hAnsi="黑体" w:eastAsia="黑体" w:cs="宋体"/>
          <w:b w:val="0"/>
          <w:bCs w:val="0"/>
          <w:color w:val="000000"/>
          <w:kern w:val="0"/>
          <w:sz w:val="32"/>
          <w:szCs w:val="32"/>
        </w:rPr>
        <w:t>当年</w:t>
      </w:r>
      <w:r>
        <w:rPr>
          <w:rFonts w:ascii="黑体" w:hAnsi="黑体" w:eastAsia="黑体" w:cs="宋体"/>
          <w:b w:val="0"/>
          <w:bCs w:val="0"/>
          <w:color w:val="000000"/>
          <w:kern w:val="0"/>
          <w:sz w:val="32"/>
          <w:szCs w:val="32"/>
        </w:rPr>
        <w:t>预算执行情况</w:t>
      </w:r>
    </w:p>
    <w:p>
      <w:pPr>
        <w:spacing w:line="600" w:lineRule="exact"/>
        <w:ind w:left="105" w:leftChars="50" w:firstLine="480" w:firstLineChars="150"/>
        <w:rPr>
          <w:rFonts w:ascii="仿宋_GB2312" w:hAnsi="宋体" w:eastAsia="仿宋_GB2312" w:cs="宋体"/>
          <w:b w:val="0"/>
          <w:bCs w:val="0"/>
          <w:color w:val="auto"/>
          <w:kern w:val="0"/>
          <w:sz w:val="32"/>
          <w:szCs w:val="32"/>
        </w:rPr>
      </w:pPr>
      <w:r>
        <w:rPr>
          <w:rFonts w:hint="eastAsia" w:ascii="仿宋_GB2312" w:hAnsi="宋体" w:eastAsia="仿宋_GB2312" w:cs="宋体"/>
          <w:b w:val="0"/>
          <w:bCs w:val="0"/>
          <w:color w:val="auto"/>
          <w:kern w:val="0"/>
          <w:sz w:val="32"/>
          <w:szCs w:val="32"/>
        </w:rPr>
        <w:t>202</w:t>
      </w:r>
      <w:r>
        <w:rPr>
          <w:rFonts w:hint="eastAsia" w:ascii="仿宋_GB2312" w:hAnsi="宋体" w:eastAsia="仿宋_GB2312" w:cs="宋体"/>
          <w:b w:val="0"/>
          <w:bCs w:val="0"/>
          <w:color w:val="auto"/>
          <w:kern w:val="0"/>
          <w:sz w:val="32"/>
          <w:szCs w:val="32"/>
          <w:lang w:val="en-US" w:eastAsia="zh-CN"/>
        </w:rPr>
        <w:t>4</w:t>
      </w:r>
      <w:r>
        <w:rPr>
          <w:rFonts w:hint="eastAsia" w:ascii="仿宋_GB2312" w:hAnsi="宋体" w:eastAsia="仿宋_GB2312" w:cs="宋体"/>
          <w:b w:val="0"/>
          <w:bCs w:val="0"/>
          <w:color w:val="auto"/>
          <w:kern w:val="0"/>
          <w:sz w:val="32"/>
          <w:szCs w:val="32"/>
        </w:rPr>
        <w:t>年</w:t>
      </w:r>
      <w:r>
        <w:rPr>
          <w:rFonts w:ascii="仿宋_GB2312" w:hAnsi="宋体" w:eastAsia="仿宋_GB2312" w:cs="宋体"/>
          <w:b w:val="0"/>
          <w:bCs w:val="0"/>
          <w:color w:val="auto"/>
          <w:kern w:val="0"/>
          <w:sz w:val="32"/>
          <w:szCs w:val="32"/>
        </w:rPr>
        <w:t>全年</w:t>
      </w:r>
      <w:r>
        <w:rPr>
          <w:rFonts w:hint="eastAsia" w:ascii="仿宋_GB2312" w:hAnsi="宋体" w:eastAsia="仿宋_GB2312" w:cs="宋体"/>
          <w:b w:val="0"/>
          <w:bCs w:val="0"/>
          <w:color w:val="auto"/>
          <w:kern w:val="0"/>
          <w:sz w:val="32"/>
          <w:szCs w:val="32"/>
        </w:rPr>
        <w:t>预算数</w:t>
      </w:r>
      <w:r>
        <w:rPr>
          <w:rFonts w:hint="eastAsia" w:ascii="仿宋_GB2312" w:hAnsi="仿宋_GB2312" w:eastAsia="仿宋_GB2312" w:cs="仿宋_GB2312"/>
          <w:color w:val="auto"/>
          <w:sz w:val="32"/>
          <w:szCs w:val="32"/>
        </w:rPr>
        <w:t>10551.58</w:t>
      </w:r>
      <w:r>
        <w:rPr>
          <w:rFonts w:hint="eastAsia" w:ascii="仿宋_GB2312" w:hAnsi="宋体" w:eastAsia="仿宋_GB2312" w:cs="宋体"/>
          <w:b w:val="0"/>
          <w:bCs w:val="0"/>
          <w:color w:val="auto"/>
          <w:kern w:val="0"/>
          <w:sz w:val="32"/>
          <w:szCs w:val="32"/>
        </w:rPr>
        <w:t>万元</w:t>
      </w:r>
      <w:r>
        <w:rPr>
          <w:rFonts w:ascii="仿宋_GB2312" w:hAnsi="宋体" w:eastAsia="仿宋_GB2312" w:cs="宋体"/>
          <w:b w:val="0"/>
          <w:bCs w:val="0"/>
          <w:color w:val="auto"/>
          <w:kern w:val="0"/>
          <w:sz w:val="32"/>
          <w:szCs w:val="32"/>
        </w:rPr>
        <w:t>，</w:t>
      </w:r>
      <w:r>
        <w:rPr>
          <w:rFonts w:hint="eastAsia" w:ascii="仿宋_GB2312" w:hAnsi="宋体" w:eastAsia="仿宋_GB2312" w:cs="宋体"/>
          <w:b w:val="0"/>
          <w:bCs w:val="0"/>
          <w:color w:val="auto"/>
          <w:kern w:val="0"/>
          <w:sz w:val="32"/>
          <w:szCs w:val="32"/>
        </w:rPr>
        <w:t>其中</w:t>
      </w:r>
      <w:r>
        <w:rPr>
          <w:rFonts w:ascii="仿宋_GB2312" w:hAnsi="宋体" w:eastAsia="仿宋_GB2312" w:cs="宋体"/>
          <w:b w:val="0"/>
          <w:bCs w:val="0"/>
          <w:color w:val="auto"/>
          <w:kern w:val="0"/>
          <w:sz w:val="32"/>
          <w:szCs w:val="32"/>
        </w:rPr>
        <w:t>，基本</w:t>
      </w:r>
      <w:r>
        <w:rPr>
          <w:rFonts w:hint="eastAsia" w:ascii="仿宋_GB2312" w:hAnsi="宋体" w:eastAsia="仿宋_GB2312" w:cs="宋体"/>
          <w:b w:val="0"/>
          <w:bCs w:val="0"/>
          <w:color w:val="auto"/>
          <w:kern w:val="0"/>
          <w:sz w:val="32"/>
          <w:szCs w:val="32"/>
        </w:rPr>
        <w:t>支出</w:t>
      </w:r>
      <w:r>
        <w:rPr>
          <w:rFonts w:ascii="仿宋_GB2312" w:hAnsi="宋体" w:eastAsia="仿宋_GB2312" w:cs="宋体"/>
          <w:b w:val="0"/>
          <w:bCs w:val="0"/>
          <w:color w:val="auto"/>
          <w:kern w:val="0"/>
          <w:sz w:val="32"/>
          <w:szCs w:val="32"/>
        </w:rPr>
        <w:t>预算数</w:t>
      </w:r>
      <w:r>
        <w:rPr>
          <w:rFonts w:hint="eastAsia" w:ascii="仿宋_GB2312" w:eastAsia="仿宋_GB2312"/>
          <w:color w:val="auto"/>
          <w:sz w:val="32"/>
          <w:szCs w:val="32"/>
          <w:lang w:val="en-US" w:eastAsia="zh-CN"/>
        </w:rPr>
        <w:t>660.99</w:t>
      </w:r>
      <w:r>
        <w:rPr>
          <w:rFonts w:ascii="仿宋_GB2312" w:hAnsi="宋体" w:eastAsia="仿宋_GB2312" w:cs="宋体"/>
          <w:b w:val="0"/>
          <w:bCs w:val="0"/>
          <w:color w:val="auto"/>
          <w:kern w:val="0"/>
          <w:sz w:val="32"/>
          <w:szCs w:val="32"/>
        </w:rPr>
        <w:t>万元，</w:t>
      </w:r>
      <w:r>
        <w:rPr>
          <w:rFonts w:hint="eastAsia" w:ascii="仿宋_GB2312" w:hAnsi="宋体" w:eastAsia="仿宋_GB2312" w:cs="宋体"/>
          <w:b w:val="0"/>
          <w:bCs w:val="0"/>
          <w:color w:val="auto"/>
          <w:kern w:val="0"/>
          <w:sz w:val="32"/>
          <w:szCs w:val="32"/>
        </w:rPr>
        <w:t>项目支出预算数</w:t>
      </w:r>
      <w:r>
        <w:rPr>
          <w:rFonts w:hint="eastAsia" w:ascii="仿宋_GB2312" w:eastAsia="仿宋_GB2312"/>
          <w:color w:val="auto"/>
          <w:sz w:val="32"/>
          <w:szCs w:val="32"/>
          <w:lang w:val="en-US" w:eastAsia="zh-CN"/>
        </w:rPr>
        <w:t>9544.04</w:t>
      </w:r>
      <w:r>
        <w:rPr>
          <w:rFonts w:ascii="仿宋_GB2312" w:hAnsi="宋体" w:eastAsia="仿宋_GB2312" w:cs="宋体"/>
          <w:b w:val="0"/>
          <w:bCs w:val="0"/>
          <w:color w:val="auto"/>
          <w:kern w:val="0"/>
          <w:sz w:val="32"/>
          <w:szCs w:val="32"/>
        </w:rPr>
        <w:t>万元，其他支出</w:t>
      </w:r>
      <w:r>
        <w:rPr>
          <w:rFonts w:hint="eastAsia" w:ascii="仿宋_GB2312" w:hAnsi="宋体" w:eastAsia="仿宋_GB2312" w:cs="宋体"/>
          <w:b w:val="0"/>
          <w:bCs w:val="0"/>
          <w:color w:val="auto"/>
          <w:kern w:val="0"/>
          <w:sz w:val="32"/>
          <w:szCs w:val="32"/>
        </w:rPr>
        <w:t>预算数</w:t>
      </w:r>
      <w:r>
        <w:rPr>
          <w:rFonts w:hint="eastAsia" w:ascii="仿宋_GB2312" w:hAnsi="宋体" w:eastAsia="仿宋_GB2312" w:cs="宋体"/>
          <w:b w:val="0"/>
          <w:bCs w:val="0"/>
          <w:color w:val="auto"/>
          <w:kern w:val="0"/>
          <w:sz w:val="32"/>
          <w:szCs w:val="32"/>
          <w:lang w:val="en-US" w:eastAsia="zh-CN"/>
        </w:rPr>
        <w:t>0.00</w:t>
      </w:r>
      <w:r>
        <w:rPr>
          <w:rFonts w:ascii="仿宋_GB2312" w:hAnsi="宋体" w:eastAsia="仿宋_GB2312" w:cs="宋体"/>
          <w:b w:val="0"/>
          <w:bCs w:val="0"/>
          <w:color w:val="auto"/>
          <w:kern w:val="0"/>
          <w:sz w:val="32"/>
          <w:szCs w:val="32"/>
        </w:rPr>
        <w:t>万元</w:t>
      </w:r>
      <w:r>
        <w:rPr>
          <w:rFonts w:hint="eastAsia" w:ascii="仿宋_GB2312" w:hAnsi="宋体" w:eastAsia="仿宋_GB2312" w:cs="宋体"/>
          <w:b w:val="0"/>
          <w:bCs w:val="0"/>
          <w:color w:val="auto"/>
          <w:kern w:val="0"/>
          <w:sz w:val="32"/>
          <w:szCs w:val="32"/>
          <w:lang w:eastAsia="zh-CN"/>
        </w:rPr>
        <w:t>，年初结转结余资金</w:t>
      </w:r>
      <w:r>
        <w:rPr>
          <w:rFonts w:hint="eastAsia" w:ascii="仿宋_GB2312" w:hAnsi="宋体" w:eastAsia="仿宋_GB2312" w:cs="宋体"/>
          <w:b w:val="0"/>
          <w:bCs w:val="0"/>
          <w:color w:val="auto"/>
          <w:kern w:val="0"/>
          <w:sz w:val="32"/>
          <w:szCs w:val="32"/>
          <w:lang w:val="en-US" w:eastAsia="zh-CN"/>
        </w:rPr>
        <w:t>346.55万元</w:t>
      </w:r>
      <w:r>
        <w:rPr>
          <w:rFonts w:hint="eastAsia" w:ascii="仿宋_GB2312" w:hAnsi="宋体" w:eastAsia="仿宋_GB2312" w:cs="宋体"/>
          <w:b w:val="0"/>
          <w:bCs w:val="0"/>
          <w:color w:val="auto"/>
          <w:kern w:val="0"/>
          <w:sz w:val="32"/>
          <w:szCs w:val="32"/>
        </w:rPr>
        <w:t>。</w:t>
      </w:r>
      <w:r>
        <w:rPr>
          <w:rFonts w:ascii="仿宋_GB2312" w:hAnsi="宋体" w:eastAsia="仿宋_GB2312" w:cs="宋体"/>
          <w:b w:val="0"/>
          <w:bCs w:val="0"/>
          <w:color w:val="auto"/>
          <w:kern w:val="0"/>
          <w:sz w:val="32"/>
          <w:szCs w:val="32"/>
        </w:rPr>
        <w:t>资金总体</w:t>
      </w:r>
      <w:r>
        <w:rPr>
          <w:rFonts w:hint="eastAsia" w:ascii="仿宋_GB2312" w:hAnsi="宋体" w:eastAsia="仿宋_GB2312" w:cs="宋体"/>
          <w:b w:val="0"/>
          <w:bCs w:val="0"/>
          <w:color w:val="auto"/>
          <w:kern w:val="0"/>
          <w:sz w:val="32"/>
          <w:szCs w:val="32"/>
        </w:rPr>
        <w:t>支出</w:t>
      </w:r>
      <w:r>
        <w:rPr>
          <w:rFonts w:hint="eastAsia" w:ascii="仿宋_GB2312" w:hAnsi="仿宋_GB2312" w:eastAsia="仿宋_GB2312" w:cs="仿宋_GB2312"/>
          <w:color w:val="auto"/>
          <w:sz w:val="32"/>
          <w:szCs w:val="32"/>
        </w:rPr>
        <w:t>10551.58</w:t>
      </w:r>
      <w:r>
        <w:rPr>
          <w:rFonts w:ascii="仿宋_GB2312" w:hAnsi="宋体" w:eastAsia="仿宋_GB2312" w:cs="宋体"/>
          <w:b w:val="0"/>
          <w:bCs w:val="0"/>
          <w:color w:val="auto"/>
          <w:kern w:val="0"/>
          <w:sz w:val="32"/>
          <w:szCs w:val="32"/>
        </w:rPr>
        <w:t>万元，其中，基本支出</w:t>
      </w:r>
      <w:r>
        <w:rPr>
          <w:rFonts w:hint="eastAsia" w:ascii="仿宋_GB2312" w:hAnsi="仿宋" w:eastAsia="仿宋_GB2312"/>
          <w:color w:val="auto"/>
          <w:sz w:val="32"/>
          <w:szCs w:val="32"/>
          <w:highlight w:val="none"/>
          <w:u w:val="none"/>
          <w:lang w:val="en-US" w:eastAsia="zh-CN"/>
        </w:rPr>
        <w:t>660.99</w:t>
      </w:r>
      <w:r>
        <w:rPr>
          <w:rFonts w:ascii="仿宋_GB2312" w:hAnsi="宋体" w:eastAsia="仿宋_GB2312" w:cs="宋体"/>
          <w:b w:val="0"/>
          <w:bCs w:val="0"/>
          <w:color w:val="auto"/>
          <w:kern w:val="0"/>
          <w:sz w:val="32"/>
          <w:szCs w:val="32"/>
        </w:rPr>
        <w:t>万元，项目</w:t>
      </w:r>
      <w:r>
        <w:rPr>
          <w:rFonts w:hint="eastAsia" w:ascii="仿宋_GB2312" w:hAnsi="宋体" w:eastAsia="仿宋_GB2312" w:cs="宋体"/>
          <w:b w:val="0"/>
          <w:bCs w:val="0"/>
          <w:color w:val="auto"/>
          <w:kern w:val="0"/>
          <w:sz w:val="32"/>
          <w:szCs w:val="32"/>
        </w:rPr>
        <w:t>支出</w:t>
      </w:r>
      <w:r>
        <w:rPr>
          <w:rFonts w:ascii="仿宋_GB2312" w:eastAsia="仿宋_GB2312"/>
          <w:color w:val="auto"/>
          <w:sz w:val="32"/>
          <w:szCs w:val="32"/>
        </w:rPr>
        <w:t>9890.59</w:t>
      </w:r>
      <w:r>
        <w:rPr>
          <w:rFonts w:ascii="仿宋_GB2312" w:hAnsi="宋体" w:eastAsia="仿宋_GB2312" w:cs="宋体"/>
          <w:b w:val="0"/>
          <w:bCs w:val="0"/>
          <w:color w:val="auto"/>
          <w:kern w:val="0"/>
          <w:sz w:val="32"/>
          <w:szCs w:val="32"/>
        </w:rPr>
        <w:t>万元，其他支出</w:t>
      </w:r>
      <w:r>
        <w:rPr>
          <w:rFonts w:hint="eastAsia" w:ascii="仿宋_GB2312" w:hAnsi="宋体" w:eastAsia="仿宋_GB2312" w:cs="宋体"/>
          <w:b w:val="0"/>
          <w:bCs w:val="0"/>
          <w:color w:val="auto"/>
          <w:kern w:val="0"/>
          <w:sz w:val="32"/>
          <w:szCs w:val="32"/>
          <w:lang w:val="en-US" w:eastAsia="zh-CN"/>
        </w:rPr>
        <w:t>0.00</w:t>
      </w:r>
      <w:r>
        <w:rPr>
          <w:rFonts w:ascii="仿宋_GB2312" w:hAnsi="宋体" w:eastAsia="仿宋_GB2312" w:cs="宋体"/>
          <w:b w:val="0"/>
          <w:bCs w:val="0"/>
          <w:color w:val="auto"/>
          <w:kern w:val="0"/>
          <w:sz w:val="32"/>
          <w:szCs w:val="32"/>
        </w:rPr>
        <w:t>万元。</w:t>
      </w:r>
      <w:r>
        <w:rPr>
          <w:rFonts w:hint="eastAsia" w:ascii="仿宋_GB2312" w:hAnsi="宋体" w:eastAsia="仿宋_GB2312" w:cs="宋体"/>
          <w:b w:val="0"/>
          <w:bCs w:val="0"/>
          <w:color w:val="auto"/>
          <w:kern w:val="0"/>
          <w:sz w:val="32"/>
          <w:szCs w:val="32"/>
        </w:rPr>
        <w:t>预算</w:t>
      </w:r>
      <w:r>
        <w:rPr>
          <w:rFonts w:ascii="仿宋_GB2312" w:hAnsi="宋体" w:eastAsia="仿宋_GB2312" w:cs="宋体"/>
          <w:b w:val="0"/>
          <w:bCs w:val="0"/>
          <w:color w:val="auto"/>
          <w:kern w:val="0"/>
          <w:sz w:val="32"/>
          <w:szCs w:val="32"/>
        </w:rPr>
        <w:t>执行率为</w:t>
      </w:r>
      <w:r>
        <w:rPr>
          <w:rFonts w:hint="eastAsia" w:ascii="仿宋_GB2312" w:hAnsi="宋体" w:eastAsia="仿宋_GB2312" w:cs="宋体"/>
          <w:b w:val="0"/>
          <w:bCs w:val="0"/>
          <w:color w:val="auto"/>
          <w:kern w:val="0"/>
          <w:sz w:val="32"/>
          <w:szCs w:val="32"/>
          <w:lang w:val="en-US" w:eastAsia="zh-CN"/>
        </w:rPr>
        <w:t>100%</w:t>
      </w:r>
      <w:r>
        <w:rPr>
          <w:rFonts w:hint="eastAsia" w:ascii="仿宋_GB2312" w:hAnsi="宋体" w:eastAsia="仿宋_GB2312" w:cs="宋体"/>
          <w:b w:val="0"/>
          <w:bCs w:val="0"/>
          <w:color w:val="auto"/>
          <w:kern w:val="0"/>
          <w:sz w:val="32"/>
          <w:szCs w:val="32"/>
        </w:rPr>
        <w:t>。</w:t>
      </w:r>
    </w:p>
    <w:p>
      <w:pPr>
        <w:spacing w:line="600" w:lineRule="exact"/>
        <w:ind w:left="105" w:leftChars="50" w:firstLine="480" w:firstLineChars="150"/>
        <w:rPr>
          <w:rFonts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三</w:t>
      </w:r>
      <w:r>
        <w:rPr>
          <w:rFonts w:ascii="黑体" w:hAnsi="黑体" w:eastAsia="黑体" w:cs="宋体"/>
          <w:b w:val="0"/>
          <w:bCs w:val="0"/>
          <w:color w:val="000000"/>
          <w:kern w:val="0"/>
          <w:sz w:val="32"/>
          <w:szCs w:val="32"/>
        </w:rPr>
        <w:t>、整体绩效目标实现情况</w:t>
      </w:r>
    </w:p>
    <w:p>
      <w:p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（一）产出完成情况分析</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1.产出数量</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举办本区全民健身活动项目  不少于8项</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支持本区全民健身场地器材更新维护项目  不少于1项</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青少年体育项目  不少于1项</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本区青少年体育参与人次  不少于300人</w:t>
      </w:r>
    </w:p>
    <w:p>
      <w:pPr>
        <w:numPr>
          <w:ilvl w:val="0"/>
          <w:numId w:val="2"/>
        </w:num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产出</w:t>
      </w:r>
      <w:r>
        <w:rPr>
          <w:rFonts w:ascii="仿宋_GB2312" w:hAnsi="宋体" w:eastAsia="仿宋_GB2312" w:cs="宋体"/>
          <w:b w:val="0"/>
          <w:bCs w:val="0"/>
          <w:color w:val="000000"/>
          <w:kern w:val="0"/>
          <w:sz w:val="32"/>
          <w:szCs w:val="32"/>
        </w:rPr>
        <w:t>质量</w:t>
      </w:r>
    </w:p>
    <w:p>
      <w:pPr>
        <w:numPr>
          <w:numId w:val="0"/>
        </w:numPr>
        <w:spacing w:line="600" w:lineRule="exact"/>
        <w:ind w:leftChars="20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 xml:space="preserve"> </w:t>
      </w:r>
      <w:r>
        <w:rPr>
          <w:rFonts w:hint="eastAsia" w:ascii="仿宋_GB2312" w:hAnsi="宋体" w:eastAsia="仿宋_GB2312" w:cs="宋体"/>
          <w:b w:val="0"/>
          <w:bCs w:val="0"/>
          <w:color w:val="000000"/>
          <w:kern w:val="0"/>
          <w:sz w:val="32"/>
          <w:szCs w:val="32"/>
        </w:rPr>
        <w:t>支持本区全民健身场地器材更新维护项目质量  质量合格</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3.产出</w:t>
      </w:r>
      <w:r>
        <w:rPr>
          <w:rFonts w:ascii="仿宋_GB2312" w:hAnsi="宋体" w:eastAsia="仿宋_GB2312" w:cs="宋体"/>
          <w:b w:val="0"/>
          <w:bCs w:val="0"/>
          <w:color w:val="000000"/>
          <w:kern w:val="0"/>
          <w:sz w:val="32"/>
          <w:szCs w:val="32"/>
        </w:rPr>
        <w:t>进度</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举办本区全民健身活动时间  2024年完成</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支持本区全民健身场地器材更新维护时间   2024年完成</w:t>
      </w:r>
    </w:p>
    <w:p>
      <w:pPr>
        <w:numPr>
          <w:ilvl w:val="0"/>
          <w:numId w:val="3"/>
        </w:num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产出</w:t>
      </w:r>
      <w:r>
        <w:rPr>
          <w:rFonts w:ascii="仿宋_GB2312" w:hAnsi="宋体" w:eastAsia="仿宋_GB2312" w:cs="宋体"/>
          <w:b w:val="0"/>
          <w:bCs w:val="0"/>
          <w:color w:val="000000"/>
          <w:kern w:val="0"/>
          <w:sz w:val="32"/>
          <w:szCs w:val="32"/>
        </w:rPr>
        <w:t>成本</w:t>
      </w:r>
    </w:p>
    <w:p>
      <w:pPr>
        <w:numPr>
          <w:numId w:val="0"/>
        </w:numPr>
        <w:spacing w:line="600" w:lineRule="exact"/>
        <w:ind w:leftChars="20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 xml:space="preserve"> 市、区级资金  不少于5628万</w:t>
      </w:r>
      <w:r>
        <w:rPr>
          <w:rFonts w:hint="eastAsia" w:ascii="仿宋_GB2312" w:hAnsi="宋体" w:eastAsia="仿宋_GB2312" w:cs="宋体"/>
          <w:b w:val="0"/>
          <w:bCs w:val="0"/>
          <w:color w:val="000000"/>
          <w:kern w:val="0"/>
          <w:sz w:val="32"/>
          <w:szCs w:val="32"/>
        </w:rPr>
        <w:t xml:space="preserve">                                     </w:t>
      </w:r>
    </w:p>
    <w:p>
      <w:p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（二）效果</w:t>
      </w:r>
      <w:r>
        <w:rPr>
          <w:rFonts w:ascii="楷体_GB2312" w:eastAsia="楷体_GB2312"/>
          <w:b w:val="0"/>
          <w:bCs w:val="0"/>
          <w:sz w:val="32"/>
          <w:szCs w:val="32"/>
        </w:rPr>
        <w:t>实现情况分析</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1.经济</w:t>
      </w:r>
      <w:r>
        <w:rPr>
          <w:rFonts w:ascii="仿宋_GB2312" w:hAnsi="宋体" w:eastAsia="仿宋_GB2312" w:cs="宋体"/>
          <w:b w:val="0"/>
          <w:bCs w:val="0"/>
          <w:color w:val="000000"/>
          <w:kern w:val="0"/>
          <w:sz w:val="32"/>
          <w:szCs w:val="32"/>
        </w:rPr>
        <w:t>效益</w:t>
      </w:r>
    </w:p>
    <w:p>
      <w:pPr>
        <w:spacing w:line="600" w:lineRule="exact"/>
        <w:ind w:left="105" w:leftChars="50" w:firstLine="480" w:firstLineChars="150"/>
        <w:rPr>
          <w:rFonts w:hint="eastAsia" w:ascii="仿宋_GB2312" w:hAnsi="宋体" w:eastAsia="仿宋_GB2312" w:cs="宋体"/>
          <w:b w:val="0"/>
          <w:bCs w:val="0"/>
          <w:color w:val="000000"/>
          <w:kern w:val="0"/>
          <w:sz w:val="32"/>
          <w:szCs w:val="32"/>
          <w:lang w:eastAsia="zh-CN"/>
        </w:rPr>
      </w:pPr>
      <w:r>
        <w:rPr>
          <w:rFonts w:hint="eastAsia" w:ascii="仿宋_GB2312" w:hAnsi="宋体" w:eastAsia="仿宋_GB2312" w:cs="宋体"/>
          <w:b w:val="0"/>
          <w:bCs w:val="0"/>
          <w:color w:val="000000"/>
          <w:kern w:val="0"/>
          <w:sz w:val="32"/>
          <w:szCs w:val="32"/>
          <w:lang w:eastAsia="zh-CN"/>
        </w:rPr>
        <w:t>未设置本指标</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2.社会效益</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 xml:space="preserve">促进群众体育健身活动开展、群众参与全民健身赛事和活动积极性 </w:t>
      </w:r>
      <w:r>
        <w:rPr>
          <w:rFonts w:hint="eastAsia" w:ascii="仿宋_GB2312" w:hAnsi="宋体" w:eastAsia="仿宋_GB2312" w:cs="宋体"/>
          <w:b w:val="0"/>
          <w:bCs w:val="0"/>
          <w:color w:val="000000"/>
          <w:kern w:val="0"/>
          <w:sz w:val="32"/>
          <w:szCs w:val="32"/>
          <w:lang w:val="en-US" w:eastAsia="zh-CN"/>
        </w:rPr>
        <w:t xml:space="preserve"> </w:t>
      </w:r>
      <w:r>
        <w:rPr>
          <w:rFonts w:hint="eastAsia" w:ascii="仿宋_GB2312" w:hAnsi="宋体" w:eastAsia="仿宋_GB2312" w:cs="宋体"/>
          <w:b w:val="0"/>
          <w:bCs w:val="0"/>
          <w:color w:val="000000"/>
          <w:kern w:val="0"/>
          <w:sz w:val="32"/>
          <w:szCs w:val="32"/>
        </w:rPr>
        <w:t>有效提升</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对业余体校训练效果提升  有效提升</w:t>
      </w:r>
    </w:p>
    <w:p>
      <w:pPr>
        <w:numPr>
          <w:ilvl w:val="0"/>
          <w:numId w:val="4"/>
        </w:num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环境效益</w:t>
      </w:r>
    </w:p>
    <w:p>
      <w:pPr>
        <w:numPr>
          <w:numId w:val="0"/>
        </w:numPr>
        <w:spacing w:line="600" w:lineRule="exact"/>
        <w:ind w:leftChars="20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lang w:val="en-US" w:eastAsia="zh-CN"/>
        </w:rPr>
        <w:t xml:space="preserve"> </w:t>
      </w:r>
      <w:r>
        <w:rPr>
          <w:rFonts w:hint="eastAsia" w:ascii="仿宋_GB2312" w:hAnsi="宋体" w:eastAsia="仿宋_GB2312" w:cs="宋体"/>
          <w:b w:val="0"/>
          <w:bCs w:val="0"/>
          <w:color w:val="000000"/>
          <w:kern w:val="0"/>
          <w:sz w:val="32"/>
          <w:szCs w:val="32"/>
          <w:lang w:eastAsia="zh-CN"/>
        </w:rPr>
        <w:t>未设置本指标</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4.可持续</w:t>
      </w:r>
      <w:r>
        <w:rPr>
          <w:rFonts w:ascii="仿宋_GB2312" w:hAnsi="宋体" w:eastAsia="仿宋_GB2312" w:cs="宋体"/>
          <w:b w:val="0"/>
          <w:bCs w:val="0"/>
          <w:color w:val="000000"/>
          <w:kern w:val="0"/>
          <w:sz w:val="32"/>
          <w:szCs w:val="32"/>
        </w:rPr>
        <w:t>性影响</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对体育事业可持续发展的影响程度  有长期影响</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5.服务对象</w:t>
      </w:r>
      <w:r>
        <w:rPr>
          <w:rFonts w:ascii="仿宋_GB2312" w:hAnsi="宋体" w:eastAsia="仿宋_GB2312" w:cs="宋体"/>
          <w:b w:val="0"/>
          <w:bCs w:val="0"/>
          <w:color w:val="000000"/>
          <w:kern w:val="0"/>
          <w:sz w:val="32"/>
          <w:szCs w:val="32"/>
        </w:rPr>
        <w:t>满意度</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相关单位及参加人群满意度  不低于80%</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体育场地设施使用人群满意度    不低于80%</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参与青少年满意度    不低于80%</w:t>
      </w:r>
    </w:p>
    <w:p>
      <w:pPr>
        <w:spacing w:line="600" w:lineRule="exact"/>
        <w:ind w:left="105" w:leftChars="50" w:firstLine="480" w:firstLineChars="150"/>
        <w:rPr>
          <w:rFonts w:hint="eastAsia" w:ascii="黑体" w:hAnsi="黑体" w:eastAsia="黑体" w:cs="宋体"/>
          <w:b w:val="0"/>
          <w:bCs w:val="0"/>
          <w:color w:val="000000"/>
          <w:kern w:val="0"/>
          <w:sz w:val="32"/>
          <w:szCs w:val="32"/>
        </w:rPr>
      </w:pPr>
      <w:r>
        <w:rPr>
          <w:rFonts w:hint="eastAsia" w:ascii="黑体" w:hAnsi="黑体" w:eastAsia="黑体" w:cs="宋体"/>
          <w:b w:val="0"/>
          <w:bCs w:val="0"/>
          <w:color w:val="000000"/>
          <w:kern w:val="0"/>
          <w:sz w:val="32"/>
          <w:szCs w:val="32"/>
        </w:rPr>
        <w:t>四</w:t>
      </w:r>
      <w:r>
        <w:rPr>
          <w:rFonts w:ascii="黑体" w:hAnsi="黑体" w:eastAsia="黑体" w:cs="宋体"/>
          <w:b w:val="0"/>
          <w:bCs w:val="0"/>
          <w:color w:val="000000"/>
          <w:kern w:val="0"/>
          <w:sz w:val="32"/>
          <w:szCs w:val="32"/>
        </w:rPr>
        <w:t>、预算管理</w:t>
      </w:r>
      <w:r>
        <w:rPr>
          <w:rFonts w:hint="eastAsia" w:ascii="黑体" w:hAnsi="黑体" w:eastAsia="黑体" w:cs="宋体"/>
          <w:b w:val="0"/>
          <w:bCs w:val="0"/>
          <w:color w:val="000000"/>
          <w:kern w:val="0"/>
          <w:sz w:val="32"/>
          <w:szCs w:val="32"/>
        </w:rPr>
        <w:t>情况分</w:t>
      </w:r>
      <w:r>
        <w:rPr>
          <w:rFonts w:ascii="黑体" w:hAnsi="黑体" w:eastAsia="黑体" w:cs="宋体"/>
          <w:b w:val="0"/>
          <w:bCs w:val="0"/>
          <w:color w:val="000000"/>
          <w:kern w:val="0"/>
          <w:sz w:val="32"/>
          <w:szCs w:val="32"/>
        </w:rPr>
        <w:t>析</w:t>
      </w:r>
    </w:p>
    <w:p>
      <w:p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（一）财务管理</w:t>
      </w:r>
    </w:p>
    <w:p>
      <w:pPr>
        <w:spacing w:line="600" w:lineRule="exact"/>
        <w:ind w:firstLine="640" w:firstLineChars="200"/>
        <w:outlineLvl w:val="0"/>
        <w:rPr>
          <w:rFonts w:ascii="仿宋_GB2312" w:hAnsi="仿宋_GB2312" w:eastAsia="仿宋_GB2312"/>
          <w:sz w:val="32"/>
          <w:szCs w:val="32"/>
        </w:rPr>
      </w:pPr>
      <w:r>
        <w:rPr>
          <w:rFonts w:hint="eastAsia" w:ascii="仿宋_GB2312" w:hAnsi="仿宋_GB2312" w:eastAsia="仿宋_GB2312"/>
          <w:sz w:val="32"/>
          <w:szCs w:val="32"/>
          <w:lang w:eastAsia="zh-CN"/>
        </w:rPr>
        <w:t>我单位财政拨款收入预算执行情况良好，预算项目执行情况与年初预算基本相符。各</w:t>
      </w:r>
      <w:r>
        <w:rPr>
          <w:rFonts w:hint="eastAsia" w:ascii="仿宋_GB2312" w:hAnsi="仿宋_GB2312" w:eastAsia="仿宋_GB2312"/>
          <w:sz w:val="32"/>
          <w:szCs w:val="32"/>
        </w:rPr>
        <w:t>项目</w:t>
      </w:r>
      <w:r>
        <w:rPr>
          <w:rFonts w:hint="eastAsia" w:ascii="仿宋_GB2312" w:hAnsi="仿宋_GB2312" w:eastAsia="仿宋_GB2312"/>
          <w:sz w:val="32"/>
          <w:szCs w:val="32"/>
          <w:lang w:eastAsia="zh-CN"/>
        </w:rPr>
        <w:t>按照财政要求在各时间节点提供相应资料，财政资金按时足额下达，保障项目顺利开展，</w:t>
      </w:r>
      <w:r>
        <w:rPr>
          <w:rFonts w:hint="eastAsia" w:ascii="仿宋_GB2312" w:hAnsi="仿宋_GB2312" w:eastAsia="仿宋_GB2312"/>
          <w:sz w:val="32"/>
          <w:szCs w:val="32"/>
        </w:rPr>
        <w:t>稳步推进</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项目由专人负责，分项目制定工作方案，</w:t>
      </w:r>
      <w:r>
        <w:rPr>
          <w:rFonts w:hint="eastAsia" w:ascii="仿宋_GB2312" w:hAnsi="仿宋_GB2312" w:eastAsia="仿宋_GB2312"/>
          <w:sz w:val="32"/>
          <w:szCs w:val="32"/>
          <w:lang w:eastAsia="zh-CN"/>
        </w:rPr>
        <w:t>我单位</w:t>
      </w:r>
      <w:r>
        <w:rPr>
          <w:rFonts w:hint="eastAsia" w:ascii="仿宋_GB2312" w:hAnsi="仿宋_GB2312" w:eastAsia="仿宋_GB2312"/>
          <w:sz w:val="32"/>
          <w:szCs w:val="32"/>
          <w:lang w:val="en-US" w:eastAsia="zh-CN"/>
        </w:rPr>
        <w:t>2024年预算</w:t>
      </w:r>
      <w:r>
        <w:rPr>
          <w:rFonts w:hint="eastAsia" w:ascii="仿宋_GB2312" w:hAnsi="仿宋_GB2312" w:eastAsia="仿宋_GB2312"/>
          <w:sz w:val="32"/>
          <w:szCs w:val="32"/>
        </w:rPr>
        <w:t>项目均以完成，有效提升我区全民健身工作开展，深受广大群众好评。</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w:t>
      </w:r>
      <w:r>
        <w:rPr>
          <w:rFonts w:hint="eastAsia" w:ascii="仿宋_GB2312" w:hAnsi="宋体" w:eastAsia="仿宋_GB2312" w:cs="宋体"/>
          <w:b w:val="0"/>
          <w:bCs w:val="0"/>
          <w:color w:val="000000"/>
          <w:kern w:val="0"/>
          <w:sz w:val="32"/>
          <w:szCs w:val="32"/>
          <w:lang w:eastAsia="zh-CN"/>
        </w:rPr>
        <w:t>我</w:t>
      </w:r>
      <w:r>
        <w:rPr>
          <w:rFonts w:hint="eastAsia" w:ascii="仿宋_GB2312" w:hAnsi="仿宋_GB2312" w:eastAsia="仿宋_GB2312"/>
          <w:sz w:val="32"/>
          <w:szCs w:val="32"/>
          <w:lang w:eastAsia="zh-CN"/>
        </w:rPr>
        <w:t>部门</w:t>
      </w:r>
      <w:r>
        <w:rPr>
          <w:rFonts w:hint="eastAsia" w:ascii="仿宋_GB2312" w:hAnsi="宋体" w:eastAsia="仿宋_GB2312" w:cs="宋体"/>
          <w:b w:val="0"/>
          <w:bCs w:val="0"/>
          <w:color w:val="000000"/>
          <w:kern w:val="0"/>
          <w:sz w:val="32"/>
          <w:szCs w:val="32"/>
          <w:lang w:eastAsia="zh-CN"/>
        </w:rPr>
        <w:t>已实行全面预算管理，建立健全预算管理制度，包括预算编制管理制度、</w:t>
      </w:r>
      <w:r>
        <w:rPr>
          <w:rFonts w:hint="eastAsia" w:ascii="仿宋_GB2312" w:hAnsi="宋体" w:eastAsia="仿宋_GB2312" w:cs="宋体"/>
          <w:b w:val="0"/>
          <w:bCs w:val="0"/>
          <w:color w:val="000000"/>
          <w:kern w:val="0"/>
          <w:sz w:val="32"/>
          <w:szCs w:val="32"/>
        </w:rPr>
        <w:t>财务</w:t>
      </w:r>
      <w:r>
        <w:rPr>
          <w:rFonts w:ascii="仿宋_GB2312" w:hAnsi="宋体" w:eastAsia="仿宋_GB2312" w:cs="宋体"/>
          <w:b w:val="0"/>
          <w:bCs w:val="0"/>
          <w:color w:val="000000"/>
          <w:kern w:val="0"/>
          <w:sz w:val="32"/>
          <w:szCs w:val="32"/>
        </w:rPr>
        <w:t>管理制度</w:t>
      </w:r>
      <w:r>
        <w:rPr>
          <w:rFonts w:hint="eastAsia" w:ascii="仿宋_GB2312" w:hAnsi="宋体" w:eastAsia="仿宋_GB2312" w:cs="宋体"/>
          <w:b w:val="0"/>
          <w:bCs w:val="0"/>
          <w:color w:val="000000"/>
          <w:kern w:val="0"/>
          <w:sz w:val="32"/>
          <w:szCs w:val="32"/>
          <w:lang w:eastAsia="zh-CN"/>
        </w:rPr>
        <w:t>、资产管理制度、政府采购管理制度等。</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2.</w:t>
      </w:r>
      <w:r>
        <w:rPr>
          <w:rFonts w:hint="eastAsia" w:ascii="仿宋_GB2312" w:hAnsi="宋体" w:eastAsia="仿宋_GB2312" w:cs="宋体"/>
          <w:b w:val="0"/>
          <w:bCs w:val="0"/>
          <w:color w:val="000000"/>
          <w:kern w:val="0"/>
          <w:sz w:val="32"/>
          <w:szCs w:val="32"/>
          <w:lang w:eastAsia="zh-CN"/>
        </w:rPr>
        <w:t>我</w:t>
      </w:r>
      <w:r>
        <w:rPr>
          <w:rFonts w:hint="eastAsia" w:ascii="仿宋_GB2312" w:hAnsi="仿宋_GB2312" w:eastAsia="仿宋_GB2312"/>
          <w:sz w:val="32"/>
          <w:szCs w:val="32"/>
          <w:lang w:eastAsia="zh-CN"/>
        </w:rPr>
        <w:t>部门</w:t>
      </w:r>
      <w:r>
        <w:rPr>
          <w:rFonts w:hint="eastAsia" w:ascii="仿宋_GB2312" w:hAnsi="宋体" w:eastAsia="仿宋_GB2312" w:cs="宋体"/>
          <w:b w:val="0"/>
          <w:bCs w:val="0"/>
          <w:color w:val="000000"/>
          <w:kern w:val="0"/>
          <w:sz w:val="32"/>
          <w:szCs w:val="32"/>
          <w:lang w:eastAsia="zh-CN"/>
        </w:rPr>
        <w:t>严格执行各项财务管理制度，对财政</w:t>
      </w:r>
      <w:r>
        <w:rPr>
          <w:rFonts w:hint="eastAsia" w:ascii="仿宋_GB2312" w:hAnsi="宋体" w:eastAsia="仿宋_GB2312" w:cs="宋体"/>
          <w:b w:val="0"/>
          <w:bCs w:val="0"/>
          <w:color w:val="000000"/>
          <w:kern w:val="0"/>
          <w:sz w:val="32"/>
          <w:szCs w:val="32"/>
        </w:rPr>
        <w:t>资金</w:t>
      </w:r>
      <w:r>
        <w:rPr>
          <w:rFonts w:hint="eastAsia" w:ascii="仿宋_GB2312" w:hAnsi="宋体" w:eastAsia="仿宋_GB2312" w:cs="宋体"/>
          <w:b w:val="0"/>
          <w:bCs w:val="0"/>
          <w:color w:val="000000"/>
          <w:kern w:val="0"/>
          <w:sz w:val="32"/>
          <w:szCs w:val="32"/>
          <w:lang w:eastAsia="zh-CN"/>
        </w:rPr>
        <w:t>的</w:t>
      </w:r>
      <w:r>
        <w:rPr>
          <w:rFonts w:hint="eastAsia" w:ascii="仿宋_GB2312" w:hAnsi="宋体" w:eastAsia="仿宋_GB2312" w:cs="宋体"/>
          <w:b w:val="0"/>
          <w:bCs w:val="0"/>
          <w:color w:val="000000"/>
          <w:kern w:val="0"/>
          <w:sz w:val="32"/>
          <w:szCs w:val="32"/>
        </w:rPr>
        <w:t>使用</w:t>
      </w:r>
      <w:r>
        <w:rPr>
          <w:rFonts w:hint="eastAsia" w:ascii="仿宋_GB2312" w:hAnsi="宋体" w:eastAsia="仿宋_GB2312" w:cs="宋体"/>
          <w:b w:val="0"/>
          <w:bCs w:val="0"/>
          <w:color w:val="000000"/>
          <w:kern w:val="0"/>
          <w:sz w:val="32"/>
          <w:szCs w:val="32"/>
          <w:lang w:eastAsia="zh-CN"/>
        </w:rPr>
        <w:t>流程严格审查监督，确保资金使用</w:t>
      </w:r>
      <w:r>
        <w:rPr>
          <w:rFonts w:hint="eastAsia" w:ascii="仿宋_GB2312" w:hAnsi="宋体" w:eastAsia="仿宋_GB2312" w:cs="宋体"/>
          <w:b w:val="0"/>
          <w:bCs w:val="0"/>
          <w:color w:val="000000"/>
          <w:kern w:val="0"/>
          <w:sz w:val="32"/>
          <w:szCs w:val="32"/>
        </w:rPr>
        <w:t>合规</w:t>
      </w:r>
      <w:r>
        <w:rPr>
          <w:rFonts w:ascii="仿宋_GB2312" w:hAnsi="宋体" w:eastAsia="仿宋_GB2312" w:cs="宋体"/>
          <w:b w:val="0"/>
          <w:bCs w:val="0"/>
          <w:color w:val="000000"/>
          <w:kern w:val="0"/>
          <w:sz w:val="32"/>
          <w:szCs w:val="32"/>
        </w:rPr>
        <w:t>安全</w:t>
      </w:r>
      <w:r>
        <w:rPr>
          <w:rFonts w:hint="eastAsia" w:ascii="仿宋_GB2312" w:hAnsi="宋体" w:eastAsia="仿宋_GB2312" w:cs="宋体"/>
          <w:b w:val="0"/>
          <w:bCs w:val="0"/>
          <w:color w:val="000000"/>
          <w:kern w:val="0"/>
          <w:sz w:val="32"/>
          <w:szCs w:val="32"/>
          <w:lang w:eastAsia="zh-CN"/>
        </w:rPr>
        <w:t>。</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ascii="仿宋_GB2312" w:hAnsi="宋体" w:eastAsia="仿宋_GB2312" w:cs="宋体"/>
          <w:b w:val="0"/>
          <w:bCs w:val="0"/>
          <w:color w:val="000000"/>
          <w:kern w:val="0"/>
          <w:sz w:val="32"/>
          <w:szCs w:val="32"/>
        </w:rPr>
        <w:t>3.</w:t>
      </w:r>
      <w:r>
        <w:rPr>
          <w:rFonts w:hint="eastAsia" w:ascii="仿宋_GB2312" w:hAnsi="宋体" w:eastAsia="仿宋_GB2312" w:cs="宋体"/>
          <w:b w:val="0"/>
          <w:bCs w:val="0"/>
          <w:color w:val="000000"/>
          <w:kern w:val="0"/>
          <w:sz w:val="32"/>
          <w:szCs w:val="32"/>
          <w:lang w:eastAsia="zh-CN"/>
        </w:rPr>
        <w:t>我</w:t>
      </w:r>
      <w:r>
        <w:rPr>
          <w:rFonts w:hint="eastAsia" w:ascii="仿宋_GB2312" w:hAnsi="仿宋_GB2312" w:eastAsia="仿宋_GB2312"/>
          <w:sz w:val="32"/>
          <w:szCs w:val="32"/>
          <w:lang w:eastAsia="zh-CN"/>
        </w:rPr>
        <w:t>部门</w:t>
      </w:r>
      <w:r>
        <w:rPr>
          <w:rFonts w:hint="eastAsia" w:ascii="仿宋_GB2312" w:hAnsi="宋体" w:eastAsia="仿宋_GB2312" w:cs="宋体"/>
          <w:b w:val="0"/>
          <w:bCs w:val="0"/>
          <w:color w:val="000000"/>
          <w:kern w:val="0"/>
          <w:sz w:val="32"/>
          <w:szCs w:val="32"/>
          <w:lang w:eastAsia="zh-CN"/>
        </w:rPr>
        <w:t>建立健全</w:t>
      </w:r>
      <w:r>
        <w:rPr>
          <w:rFonts w:hint="eastAsia" w:ascii="仿宋_GB2312" w:hAnsi="宋体" w:eastAsia="仿宋_GB2312" w:cs="宋体"/>
          <w:b w:val="0"/>
          <w:bCs w:val="0"/>
          <w:color w:val="000000"/>
          <w:kern w:val="0"/>
          <w:sz w:val="32"/>
          <w:szCs w:val="32"/>
        </w:rPr>
        <w:t>会计</w:t>
      </w:r>
      <w:r>
        <w:rPr>
          <w:rFonts w:ascii="仿宋_GB2312" w:hAnsi="宋体" w:eastAsia="仿宋_GB2312" w:cs="宋体"/>
          <w:b w:val="0"/>
          <w:bCs w:val="0"/>
          <w:color w:val="000000"/>
          <w:kern w:val="0"/>
          <w:sz w:val="32"/>
          <w:szCs w:val="32"/>
        </w:rPr>
        <w:t>基础信息</w:t>
      </w:r>
      <w:r>
        <w:rPr>
          <w:rFonts w:hint="eastAsia" w:ascii="仿宋_GB2312" w:hAnsi="宋体" w:eastAsia="仿宋_GB2312" w:cs="宋体"/>
          <w:b w:val="0"/>
          <w:bCs w:val="0"/>
          <w:color w:val="000000"/>
          <w:kern w:val="0"/>
          <w:sz w:val="32"/>
          <w:szCs w:val="32"/>
          <w:lang w:eastAsia="zh-CN"/>
        </w:rPr>
        <w:t>，确保各项会计信息</w:t>
      </w:r>
      <w:r>
        <w:rPr>
          <w:rFonts w:ascii="仿宋_GB2312" w:hAnsi="宋体" w:eastAsia="仿宋_GB2312" w:cs="宋体"/>
          <w:b w:val="0"/>
          <w:bCs w:val="0"/>
          <w:color w:val="000000"/>
          <w:kern w:val="0"/>
          <w:sz w:val="32"/>
          <w:szCs w:val="32"/>
        </w:rPr>
        <w:t>完善</w:t>
      </w:r>
      <w:r>
        <w:rPr>
          <w:rFonts w:hint="eastAsia" w:ascii="仿宋_GB2312" w:hAnsi="宋体" w:eastAsia="仿宋_GB2312" w:cs="宋体"/>
          <w:b w:val="0"/>
          <w:bCs w:val="0"/>
          <w:color w:val="000000"/>
          <w:kern w:val="0"/>
          <w:sz w:val="32"/>
          <w:szCs w:val="32"/>
          <w:lang w:eastAsia="zh-CN"/>
        </w:rPr>
        <w:t>完整。</w:t>
      </w:r>
    </w:p>
    <w:p>
      <w:p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（二）资产管理</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规范</w:t>
      </w:r>
      <w:r>
        <w:rPr>
          <w:rFonts w:hint="eastAsia" w:ascii="仿宋_GB2312" w:hAnsi="仿宋_GB2312" w:eastAsia="仿宋_GB2312" w:cs="仿宋_GB2312"/>
          <w:sz w:val="32"/>
          <w:szCs w:val="32"/>
          <w:lang w:eastAsia="zh-CN"/>
        </w:rPr>
        <w:t>我部门</w:t>
      </w:r>
      <w:r>
        <w:rPr>
          <w:rFonts w:hint="eastAsia" w:ascii="仿宋_GB2312" w:hAnsi="仿宋_GB2312" w:eastAsia="仿宋_GB2312" w:cs="仿宋_GB2312"/>
          <w:sz w:val="32"/>
          <w:szCs w:val="32"/>
        </w:rPr>
        <w:t>资产管理，形成有效的资产监管机制，防止资产流失，保持资产的合理配置和良好状态，保证国有资产管理合理合规，保障各项工作顺利开展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资产管理原则为统筹安排、合理配置、统一管理、分级负责、健全制度、提高效能。</w:t>
      </w:r>
    </w:p>
    <w:p>
      <w:pPr>
        <w:spacing w:line="600" w:lineRule="exact"/>
        <w:ind w:left="105" w:leftChars="50" w:firstLine="480" w:firstLineChars="150"/>
        <w:rPr>
          <w:rFonts w:hint="eastAsia"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1.</w:t>
      </w:r>
      <w:r>
        <w:rPr>
          <w:rFonts w:hint="eastAsia" w:ascii="仿宋_GB2312" w:hAnsi="宋体" w:eastAsia="仿宋_GB2312" w:cs="宋体"/>
          <w:b w:val="0"/>
          <w:bCs w:val="0"/>
          <w:color w:val="000000"/>
          <w:kern w:val="0"/>
          <w:sz w:val="32"/>
          <w:szCs w:val="32"/>
          <w:lang w:eastAsia="zh-CN"/>
        </w:rPr>
        <w:t>我部门建立资产</w:t>
      </w:r>
      <w:r>
        <w:rPr>
          <w:rFonts w:ascii="仿宋_GB2312" w:hAnsi="宋体" w:eastAsia="仿宋_GB2312" w:cs="宋体"/>
          <w:b w:val="0"/>
          <w:bCs w:val="0"/>
          <w:color w:val="000000"/>
          <w:kern w:val="0"/>
          <w:sz w:val="32"/>
          <w:szCs w:val="32"/>
        </w:rPr>
        <w:t>管理制度</w:t>
      </w:r>
      <w:r>
        <w:rPr>
          <w:rFonts w:hint="eastAsia" w:ascii="仿宋_GB2312" w:hAnsi="宋体" w:eastAsia="仿宋_GB2312" w:cs="宋体"/>
          <w:b w:val="0"/>
          <w:bCs w:val="0"/>
          <w:color w:val="000000"/>
          <w:kern w:val="0"/>
          <w:sz w:val="32"/>
          <w:szCs w:val="32"/>
          <w:lang w:eastAsia="zh-CN"/>
        </w:rPr>
        <w:t>，</w:t>
      </w:r>
      <w:r>
        <w:rPr>
          <w:rFonts w:hint="eastAsia" w:ascii="仿宋_GB2312" w:hAnsi="仿宋_GB2312" w:eastAsia="仿宋_GB2312" w:cs="仿宋_GB2312"/>
          <w:sz w:val="32"/>
          <w:szCs w:val="32"/>
        </w:rPr>
        <w:t>设资产管理岗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办理资产的购置、验收入库、调拨及处置等日常管理工作。</w:t>
      </w:r>
    </w:p>
    <w:p>
      <w:pPr>
        <w:spacing w:line="600" w:lineRule="exact"/>
        <w:ind w:left="105" w:leftChars="50" w:firstLine="480" w:firstLineChars="150"/>
        <w:rPr>
          <w:rFonts w:ascii="仿宋_GB2312" w:hAnsi="宋体" w:eastAsia="仿宋_GB2312" w:cs="宋体"/>
          <w:b w:val="0"/>
          <w:bCs w:val="0"/>
          <w:color w:val="000000"/>
          <w:kern w:val="0"/>
          <w:sz w:val="32"/>
          <w:szCs w:val="32"/>
        </w:rPr>
      </w:pPr>
      <w:r>
        <w:rPr>
          <w:rFonts w:hint="eastAsia" w:ascii="仿宋_GB2312" w:hAnsi="宋体" w:eastAsia="仿宋_GB2312" w:cs="宋体"/>
          <w:b w:val="0"/>
          <w:bCs w:val="0"/>
          <w:color w:val="000000"/>
          <w:kern w:val="0"/>
          <w:sz w:val="32"/>
          <w:szCs w:val="32"/>
        </w:rPr>
        <w:t>2.</w:t>
      </w:r>
      <w:r>
        <w:rPr>
          <w:rFonts w:hint="eastAsia" w:ascii="仿宋_GB2312" w:hAnsi="宋体" w:eastAsia="仿宋_GB2312" w:cs="宋体"/>
          <w:b w:val="0"/>
          <w:bCs w:val="0"/>
          <w:color w:val="000000"/>
          <w:kern w:val="0"/>
          <w:sz w:val="32"/>
          <w:szCs w:val="32"/>
          <w:lang w:eastAsia="zh-CN"/>
        </w:rPr>
        <w:t>我</w:t>
      </w:r>
      <w:r>
        <w:rPr>
          <w:rFonts w:hint="eastAsia" w:ascii="仿宋_GB2312" w:hAnsi="仿宋_GB2312" w:eastAsia="仿宋_GB2312"/>
          <w:sz w:val="32"/>
          <w:szCs w:val="32"/>
          <w:lang w:eastAsia="zh-CN"/>
        </w:rPr>
        <w:t>部门</w:t>
      </w:r>
      <w:r>
        <w:rPr>
          <w:rFonts w:hint="eastAsia" w:ascii="仿宋_GB2312" w:hAnsi="宋体" w:eastAsia="仿宋_GB2312" w:cs="宋体"/>
          <w:b w:val="0"/>
          <w:bCs w:val="0"/>
          <w:color w:val="000000"/>
          <w:kern w:val="0"/>
          <w:sz w:val="32"/>
          <w:szCs w:val="32"/>
          <w:lang w:eastAsia="zh-CN"/>
        </w:rPr>
        <w:t>严格执行各项资产采购管理制度，对资产采购</w:t>
      </w:r>
      <w:r>
        <w:rPr>
          <w:rFonts w:hint="eastAsia" w:ascii="仿宋_GB2312" w:hAnsi="宋体" w:eastAsia="仿宋_GB2312" w:cs="宋体"/>
          <w:b w:val="0"/>
          <w:bCs w:val="0"/>
          <w:color w:val="000000"/>
          <w:kern w:val="0"/>
          <w:sz w:val="32"/>
          <w:szCs w:val="32"/>
        </w:rPr>
        <w:t>资金</w:t>
      </w:r>
      <w:r>
        <w:rPr>
          <w:rFonts w:hint="eastAsia" w:ascii="仿宋_GB2312" w:hAnsi="宋体" w:eastAsia="仿宋_GB2312" w:cs="宋体"/>
          <w:b w:val="0"/>
          <w:bCs w:val="0"/>
          <w:color w:val="000000"/>
          <w:kern w:val="0"/>
          <w:sz w:val="32"/>
          <w:szCs w:val="32"/>
          <w:lang w:eastAsia="zh-CN"/>
        </w:rPr>
        <w:t>的</w:t>
      </w:r>
      <w:r>
        <w:rPr>
          <w:rFonts w:hint="eastAsia" w:ascii="仿宋_GB2312" w:hAnsi="宋体" w:eastAsia="仿宋_GB2312" w:cs="宋体"/>
          <w:b w:val="0"/>
          <w:bCs w:val="0"/>
          <w:color w:val="000000"/>
          <w:kern w:val="0"/>
          <w:sz w:val="32"/>
          <w:szCs w:val="32"/>
        </w:rPr>
        <w:t>使用</w:t>
      </w:r>
      <w:r>
        <w:rPr>
          <w:rFonts w:hint="eastAsia" w:ascii="仿宋_GB2312" w:hAnsi="宋体" w:eastAsia="仿宋_GB2312" w:cs="宋体"/>
          <w:b w:val="0"/>
          <w:bCs w:val="0"/>
          <w:color w:val="000000"/>
          <w:kern w:val="0"/>
          <w:sz w:val="32"/>
          <w:szCs w:val="32"/>
          <w:lang w:eastAsia="zh-CN"/>
        </w:rPr>
        <w:t>流程严格审查监督，确保资金使用</w:t>
      </w:r>
      <w:r>
        <w:rPr>
          <w:rFonts w:hint="eastAsia" w:ascii="仿宋_GB2312" w:hAnsi="宋体" w:eastAsia="仿宋_GB2312" w:cs="宋体"/>
          <w:b w:val="0"/>
          <w:bCs w:val="0"/>
          <w:color w:val="000000"/>
          <w:kern w:val="0"/>
          <w:sz w:val="32"/>
          <w:szCs w:val="32"/>
        </w:rPr>
        <w:t>合规</w:t>
      </w:r>
      <w:r>
        <w:rPr>
          <w:rFonts w:ascii="仿宋_GB2312" w:hAnsi="宋体" w:eastAsia="仿宋_GB2312" w:cs="宋体"/>
          <w:b w:val="0"/>
          <w:bCs w:val="0"/>
          <w:color w:val="000000"/>
          <w:kern w:val="0"/>
          <w:sz w:val="32"/>
          <w:szCs w:val="32"/>
        </w:rPr>
        <w:t>安全</w:t>
      </w:r>
      <w:r>
        <w:rPr>
          <w:rFonts w:hint="eastAsia" w:ascii="仿宋_GB2312" w:hAnsi="宋体" w:eastAsia="仿宋_GB2312" w:cs="宋体"/>
          <w:b w:val="0"/>
          <w:bCs w:val="0"/>
          <w:color w:val="000000"/>
          <w:kern w:val="0"/>
          <w:sz w:val="32"/>
          <w:szCs w:val="32"/>
          <w:lang w:eastAsia="zh-CN"/>
        </w:rPr>
        <w:t>。</w:t>
      </w:r>
    </w:p>
    <w:p>
      <w:pPr>
        <w:spacing w:line="600" w:lineRule="exact"/>
        <w:ind w:left="105" w:leftChars="50" w:firstLine="480" w:firstLineChars="150"/>
        <w:rPr>
          <w:rFonts w:hint="eastAsia" w:ascii="楷体_GB2312" w:eastAsia="楷体_GB2312"/>
          <w:b w:val="0"/>
          <w:bCs w:val="0"/>
          <w:sz w:val="32"/>
          <w:szCs w:val="32"/>
        </w:rPr>
      </w:pPr>
      <w:r>
        <w:rPr>
          <w:rFonts w:ascii="仿宋_GB2312" w:hAnsi="宋体" w:eastAsia="仿宋_GB2312" w:cs="宋体"/>
          <w:b w:val="0"/>
          <w:bCs w:val="0"/>
          <w:color w:val="000000"/>
          <w:kern w:val="0"/>
          <w:sz w:val="32"/>
          <w:szCs w:val="32"/>
        </w:rPr>
        <w:t>3.</w:t>
      </w:r>
      <w:r>
        <w:rPr>
          <w:rFonts w:hint="eastAsia" w:ascii="仿宋_GB2312" w:hAnsi="宋体" w:eastAsia="仿宋_GB2312" w:cs="宋体"/>
          <w:b w:val="0"/>
          <w:bCs w:val="0"/>
          <w:color w:val="000000"/>
          <w:kern w:val="0"/>
          <w:sz w:val="32"/>
          <w:szCs w:val="32"/>
          <w:lang w:eastAsia="zh-CN"/>
        </w:rPr>
        <w:t>我</w:t>
      </w:r>
      <w:r>
        <w:rPr>
          <w:rFonts w:hint="eastAsia" w:ascii="仿宋_GB2312" w:hAnsi="仿宋_GB2312" w:eastAsia="仿宋_GB2312"/>
          <w:sz w:val="32"/>
          <w:szCs w:val="32"/>
          <w:lang w:eastAsia="zh-CN"/>
        </w:rPr>
        <w:t>部门</w:t>
      </w:r>
      <w:r>
        <w:rPr>
          <w:rFonts w:hint="eastAsia" w:ascii="仿宋_GB2312" w:hAnsi="宋体" w:eastAsia="仿宋_GB2312" w:cs="宋体"/>
          <w:b w:val="0"/>
          <w:bCs w:val="0"/>
          <w:color w:val="000000"/>
          <w:kern w:val="0"/>
          <w:sz w:val="32"/>
          <w:szCs w:val="32"/>
          <w:lang w:eastAsia="zh-CN"/>
        </w:rPr>
        <w:t>建立健全资产</w:t>
      </w:r>
      <w:r>
        <w:rPr>
          <w:rFonts w:ascii="仿宋_GB2312" w:hAnsi="宋体" w:eastAsia="仿宋_GB2312" w:cs="宋体"/>
          <w:b w:val="0"/>
          <w:bCs w:val="0"/>
          <w:color w:val="000000"/>
          <w:kern w:val="0"/>
          <w:sz w:val="32"/>
          <w:szCs w:val="32"/>
        </w:rPr>
        <w:t>基础信息</w:t>
      </w:r>
      <w:r>
        <w:rPr>
          <w:rFonts w:hint="eastAsia" w:ascii="仿宋_GB2312" w:hAnsi="宋体" w:eastAsia="仿宋_GB2312" w:cs="宋体"/>
          <w:b w:val="0"/>
          <w:bCs w:val="0"/>
          <w:color w:val="000000"/>
          <w:kern w:val="0"/>
          <w:sz w:val="32"/>
          <w:szCs w:val="32"/>
          <w:lang w:eastAsia="zh-CN"/>
        </w:rPr>
        <w:t>，确保各项资产</w:t>
      </w:r>
      <w:r>
        <w:rPr>
          <w:rFonts w:ascii="仿宋_GB2312" w:hAnsi="宋体" w:eastAsia="仿宋_GB2312" w:cs="宋体"/>
          <w:b w:val="0"/>
          <w:bCs w:val="0"/>
          <w:color w:val="000000"/>
          <w:kern w:val="0"/>
          <w:sz w:val="32"/>
          <w:szCs w:val="32"/>
        </w:rPr>
        <w:t>信息完善</w:t>
      </w:r>
      <w:r>
        <w:rPr>
          <w:rFonts w:hint="eastAsia" w:ascii="仿宋_GB2312" w:hAnsi="宋体" w:eastAsia="仿宋_GB2312" w:cs="宋体"/>
          <w:b w:val="0"/>
          <w:bCs w:val="0"/>
          <w:color w:val="000000"/>
          <w:kern w:val="0"/>
          <w:sz w:val="32"/>
          <w:szCs w:val="32"/>
          <w:lang w:eastAsia="zh-CN"/>
        </w:rPr>
        <w:t>完整。</w:t>
      </w:r>
    </w:p>
    <w:p>
      <w:p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（三）绩效</w:t>
      </w:r>
      <w:r>
        <w:rPr>
          <w:rFonts w:ascii="楷体_GB2312" w:eastAsia="楷体_GB2312"/>
          <w:b w:val="0"/>
          <w:bCs w:val="0"/>
          <w:sz w:val="32"/>
          <w:szCs w:val="32"/>
        </w:rPr>
        <w:t>管理</w:t>
      </w:r>
    </w:p>
    <w:p>
      <w:pPr>
        <w:spacing w:line="60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我部门通过全过程预算绩效管理，对单位各项目执行成果、效率、质量等进行系统评价和管理，目标是提升行政效能、优化资源配置、强化责任意识，最终实现公共服务优质高效。</w:t>
      </w:r>
    </w:p>
    <w:p>
      <w:pPr>
        <w:numPr>
          <w:ilvl w:val="0"/>
          <w:numId w:val="5"/>
        </w:numPr>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各预算项目设置符合国家政策、部门职能和年度计划的绩效指标。</w:t>
      </w:r>
    </w:p>
    <w:p>
      <w:pPr>
        <w:numPr>
          <w:ilvl w:val="0"/>
          <w:numId w:val="5"/>
        </w:numPr>
        <w:spacing w:line="60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通过财政标准、行业标准等指标设置项目指标并根据项目执行实际情况进行调整。</w:t>
      </w:r>
    </w:p>
    <w:p>
      <w:pPr>
        <w:numPr>
          <w:ilvl w:val="0"/>
          <w:numId w:val="6"/>
        </w:num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结转结余率</w:t>
      </w:r>
    </w:p>
    <w:p>
      <w:pPr>
        <w:numPr>
          <w:numId w:val="0"/>
        </w:numPr>
        <w:spacing w:line="600" w:lineRule="exact"/>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我部门</w:t>
      </w:r>
      <w:r>
        <w:rPr>
          <w:rFonts w:hint="eastAsia" w:ascii="仿宋_GB2312" w:hAnsi="仿宋_GB2312" w:eastAsia="仿宋_GB2312" w:cs="仿宋_GB2312"/>
          <w:b w:val="0"/>
          <w:bCs w:val="0"/>
          <w:sz w:val="32"/>
          <w:szCs w:val="32"/>
          <w:lang w:val="en-US" w:eastAsia="zh-CN"/>
        </w:rPr>
        <w:t>2024年结转结余率为0.96%，因我部门2024年度结转结余项目有2个，均为跨年度支付项</w:t>
      </w:r>
      <w:bookmarkStart w:id="0" w:name="_GoBack"/>
      <w:bookmarkEnd w:id="0"/>
      <w:r>
        <w:rPr>
          <w:rFonts w:hint="eastAsia" w:ascii="仿宋_GB2312" w:hAnsi="仿宋_GB2312" w:eastAsia="仿宋_GB2312" w:cs="仿宋_GB2312"/>
          <w:b w:val="0"/>
          <w:bCs w:val="0"/>
          <w:sz w:val="32"/>
          <w:szCs w:val="32"/>
          <w:lang w:val="en-US" w:eastAsia="zh-CN"/>
        </w:rPr>
        <w:t>目。</w:t>
      </w:r>
    </w:p>
    <w:p>
      <w:pPr>
        <w:numPr>
          <w:ilvl w:val="0"/>
          <w:numId w:val="6"/>
        </w:numPr>
        <w:spacing w:line="600" w:lineRule="exact"/>
        <w:ind w:left="105" w:leftChars="50" w:firstLine="480" w:firstLineChars="150"/>
        <w:rPr>
          <w:rFonts w:ascii="楷体_GB2312" w:eastAsia="楷体_GB2312"/>
          <w:b w:val="0"/>
          <w:bCs w:val="0"/>
          <w:sz w:val="32"/>
          <w:szCs w:val="32"/>
        </w:rPr>
      </w:pPr>
      <w:r>
        <w:rPr>
          <w:rFonts w:hint="eastAsia" w:ascii="楷体_GB2312" w:eastAsia="楷体_GB2312"/>
          <w:b w:val="0"/>
          <w:bCs w:val="0"/>
          <w:sz w:val="32"/>
          <w:szCs w:val="32"/>
        </w:rPr>
        <w:t>部门</w:t>
      </w:r>
      <w:r>
        <w:rPr>
          <w:rFonts w:ascii="楷体_GB2312" w:eastAsia="楷体_GB2312"/>
          <w:b w:val="0"/>
          <w:bCs w:val="0"/>
          <w:sz w:val="32"/>
          <w:szCs w:val="32"/>
        </w:rPr>
        <w:t>预决算差异率</w:t>
      </w:r>
    </w:p>
    <w:p>
      <w:pPr>
        <w:numPr>
          <w:numId w:val="0"/>
        </w:numPr>
        <w:spacing w:line="600" w:lineRule="exac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我部门</w:t>
      </w:r>
      <w:r>
        <w:rPr>
          <w:rFonts w:hint="eastAsia" w:ascii="仿宋_GB2312" w:hAnsi="仿宋_GB2312" w:eastAsia="仿宋_GB2312" w:cs="仿宋_GB2312"/>
          <w:b w:val="0"/>
          <w:bCs w:val="0"/>
          <w:sz w:val="32"/>
          <w:szCs w:val="32"/>
          <w:lang w:val="en-US" w:eastAsia="zh-CN"/>
        </w:rPr>
        <w:t>2024年度预决算差异率为  %，</w:t>
      </w:r>
      <w:r>
        <w:rPr>
          <w:rFonts w:hint="eastAsia" w:ascii="仿宋_GB2312" w:hAnsi="仿宋_GB2312" w:eastAsia="仿宋_GB2312"/>
          <w:sz w:val="32"/>
          <w:szCs w:val="32"/>
          <w:lang w:eastAsia="zh-CN"/>
        </w:rPr>
        <w:t>因我部门</w:t>
      </w:r>
      <w:r>
        <w:rPr>
          <w:rFonts w:hint="eastAsia" w:ascii="仿宋_GB2312" w:hAnsi="仿宋_GB2312" w:eastAsia="仿宋_GB2312"/>
          <w:sz w:val="32"/>
          <w:szCs w:val="32"/>
          <w:lang w:val="en-US" w:eastAsia="zh-CN"/>
        </w:rPr>
        <w:t>2024年度</w:t>
      </w:r>
      <w:r>
        <w:rPr>
          <w:rFonts w:hint="eastAsia" w:ascii="仿宋_GB2312" w:hAnsi="仿宋_GB2312" w:eastAsia="仿宋_GB2312"/>
          <w:sz w:val="32"/>
          <w:szCs w:val="32"/>
          <w:lang w:eastAsia="zh-CN"/>
        </w:rPr>
        <w:t>政府性基金预算未列入年初预算，故预算执行率超</w:t>
      </w:r>
      <w:r>
        <w:rPr>
          <w:rFonts w:hint="eastAsia" w:ascii="仿宋_GB2312" w:hAnsi="仿宋_GB2312" w:eastAsia="仿宋_GB2312"/>
          <w:sz w:val="32"/>
          <w:szCs w:val="32"/>
          <w:lang w:val="en-US" w:eastAsia="zh-CN"/>
        </w:rPr>
        <w:t>100%。</w:t>
      </w:r>
    </w:p>
    <w:p>
      <w:pPr>
        <w:spacing w:line="600" w:lineRule="exact"/>
        <w:ind w:left="105" w:leftChars="50" w:firstLine="480" w:firstLineChars="150"/>
        <w:rPr>
          <w:rFonts w:ascii="黑体" w:hAnsi="黑体" w:eastAsia="黑体"/>
          <w:b w:val="0"/>
          <w:bCs w:val="0"/>
          <w:sz w:val="32"/>
          <w:szCs w:val="32"/>
        </w:rPr>
      </w:pPr>
      <w:r>
        <w:rPr>
          <w:rFonts w:hint="eastAsia" w:ascii="黑体" w:hAnsi="黑体" w:eastAsia="黑体"/>
          <w:b w:val="0"/>
          <w:bCs w:val="0"/>
          <w:sz w:val="32"/>
          <w:szCs w:val="32"/>
        </w:rPr>
        <w:t>五、总体</w:t>
      </w:r>
      <w:r>
        <w:rPr>
          <w:rFonts w:ascii="黑体" w:hAnsi="黑体" w:eastAsia="黑体"/>
          <w:b w:val="0"/>
          <w:bCs w:val="0"/>
          <w:sz w:val="32"/>
          <w:szCs w:val="32"/>
        </w:rPr>
        <w:t>评价结论</w:t>
      </w:r>
    </w:p>
    <w:p>
      <w:p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（一）评价</w:t>
      </w:r>
      <w:r>
        <w:rPr>
          <w:rFonts w:ascii="楷体_GB2312" w:eastAsia="楷体_GB2312"/>
          <w:b w:val="0"/>
          <w:bCs w:val="0"/>
          <w:sz w:val="32"/>
          <w:szCs w:val="32"/>
        </w:rPr>
        <w:t>得分</w:t>
      </w:r>
      <w:r>
        <w:rPr>
          <w:rFonts w:hint="eastAsia" w:ascii="楷体_GB2312" w:eastAsia="楷体_GB2312"/>
          <w:b w:val="0"/>
          <w:bCs w:val="0"/>
          <w:sz w:val="32"/>
          <w:szCs w:val="32"/>
        </w:rPr>
        <w:t>情况</w:t>
      </w:r>
    </w:p>
    <w:p>
      <w:pPr>
        <w:spacing w:line="600" w:lineRule="exact"/>
        <w:ind w:left="105" w:leftChars="50" w:firstLine="480" w:firstLineChars="150"/>
        <w:rPr>
          <w:rFonts w:hint="eastAsia" w:ascii="楷体_GB2312" w:eastAsia="楷体_GB2312"/>
          <w:b w:val="0"/>
          <w:bCs w:val="0"/>
          <w:sz w:val="32"/>
          <w:szCs w:val="32"/>
          <w:lang w:eastAsia="zh-CN"/>
        </w:rPr>
      </w:pPr>
      <w:r>
        <w:rPr>
          <w:rFonts w:hint="eastAsia" w:ascii="楷体_GB2312" w:eastAsia="楷体_GB2312"/>
          <w:b w:val="0"/>
          <w:bCs w:val="0"/>
          <w:sz w:val="32"/>
          <w:szCs w:val="32"/>
          <w:lang w:val="en-US" w:eastAsia="zh-CN"/>
        </w:rPr>
        <w:t xml:space="preserve"> </w:t>
      </w:r>
      <w:r>
        <w:rPr>
          <w:rFonts w:hint="eastAsia" w:ascii="仿宋_GB2312" w:hAnsi="仿宋_GB2312" w:eastAsia="仿宋_GB2312" w:cs="仿宋_GB2312"/>
          <w:b w:val="0"/>
          <w:bCs w:val="0"/>
          <w:sz w:val="32"/>
          <w:szCs w:val="32"/>
          <w:lang w:eastAsia="zh-CN"/>
        </w:rPr>
        <w:t>总体评价得分</w:t>
      </w:r>
      <w:r>
        <w:rPr>
          <w:rFonts w:hint="eastAsia" w:ascii="仿宋_GB2312" w:hAnsi="仿宋_GB2312" w:eastAsia="仿宋_GB2312" w:cs="仿宋_GB2312"/>
          <w:b w:val="0"/>
          <w:bCs w:val="0"/>
          <w:sz w:val="32"/>
          <w:szCs w:val="32"/>
          <w:lang w:val="en-US" w:eastAsia="zh-CN"/>
        </w:rPr>
        <w:t>95分</w:t>
      </w:r>
    </w:p>
    <w:p>
      <w:pPr>
        <w:numPr>
          <w:ilvl w:val="0"/>
          <w:numId w:val="7"/>
        </w:numPr>
        <w:spacing w:line="600" w:lineRule="exact"/>
        <w:ind w:left="105" w:leftChars="50" w:firstLine="480" w:firstLineChars="150"/>
        <w:rPr>
          <w:rFonts w:hint="eastAsia" w:ascii="楷体_GB2312" w:eastAsia="楷体_GB2312"/>
          <w:b w:val="0"/>
          <w:bCs w:val="0"/>
          <w:sz w:val="32"/>
          <w:szCs w:val="32"/>
        </w:rPr>
      </w:pPr>
      <w:r>
        <w:rPr>
          <w:rFonts w:hint="eastAsia" w:ascii="楷体_GB2312" w:eastAsia="楷体_GB2312"/>
          <w:b w:val="0"/>
          <w:bCs w:val="0"/>
          <w:sz w:val="32"/>
          <w:szCs w:val="32"/>
        </w:rPr>
        <w:t>存在的问题及原因分析</w:t>
      </w:r>
    </w:p>
    <w:p>
      <w:pPr>
        <w:numPr>
          <w:numId w:val="0"/>
        </w:numPr>
        <w:spacing w:line="60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1、预算编制准确性有待提高。在</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b w:val="0"/>
          <w:bCs w:val="0"/>
          <w:sz w:val="32"/>
          <w:szCs w:val="32"/>
          <w:lang w:val="en-US" w:eastAsia="zh-CN"/>
        </w:rPr>
        <w:t>预算编制过程中，由于对业务活动预测不够准确，导致部分预算指标与实际执行存在差异。</w:t>
      </w:r>
    </w:p>
    <w:p>
      <w:pPr>
        <w:numPr>
          <w:numId w:val="0"/>
        </w:numPr>
        <w:spacing w:line="60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2、预算执行进度慢。部分项目在预算执行过程中存在前期执行进度慢，中后期集中支付的情况。主要是项目实施过程中对时间节点和工作安排不合理，缺乏有效进度跟踪和监督机制。</w:t>
      </w:r>
    </w:p>
    <w:p>
      <w:pPr>
        <w:spacing w:line="600" w:lineRule="exact"/>
        <w:ind w:firstLine="640" w:firstLineChars="200"/>
      </w:pPr>
      <w:r>
        <w:rPr>
          <w:rFonts w:hint="eastAsia" w:ascii="黑体" w:hAnsi="黑体" w:eastAsia="黑体" w:cs="宋体"/>
          <w:b w:val="0"/>
          <w:bCs w:val="0"/>
          <w:color w:val="000000"/>
          <w:kern w:val="0"/>
          <w:sz w:val="32"/>
          <w:szCs w:val="32"/>
        </w:rPr>
        <w:t>六、措施建议</w:t>
      </w:r>
    </w:p>
    <w:p>
      <w:pPr>
        <w:spacing w:line="560" w:lineRule="exact"/>
        <w:rPr>
          <w:rFonts w:hint="eastAsia" w:ascii="仿宋_GB2312" w:hAnsi="仿宋_GB2312" w:eastAsia="仿宋_GB2312" w:cs="仿宋_GB2312"/>
          <w:color w:val="auto"/>
          <w:sz w:val="32"/>
          <w:szCs w:val="32"/>
          <w:lang w:val="en-US" w:eastAsia="zh-CN"/>
        </w:rPr>
      </w:pPr>
      <w:r>
        <w:rPr>
          <w:rFonts w:hint="eastAsia" w:ascii="黑体" w:hAnsi="黑体" w:eastAsia="黑体"/>
          <w:color w:val="auto"/>
          <w:sz w:val="32"/>
          <w:szCs w:val="32"/>
          <w:lang w:val="en-US" w:eastAsia="zh-CN"/>
        </w:rPr>
        <w:t xml:space="preserve">    </w:t>
      </w:r>
      <w:r>
        <w:rPr>
          <w:rFonts w:hint="eastAsia" w:ascii="仿宋_GB2312" w:hAnsi="仿宋_GB2312" w:eastAsia="仿宋_GB2312" w:cs="仿宋_GB2312"/>
          <w:color w:val="auto"/>
          <w:sz w:val="32"/>
          <w:szCs w:val="32"/>
          <w:lang w:val="en-US" w:eastAsia="zh-CN"/>
        </w:rPr>
        <w:t>1、加强预算编制管理。完善预算编制，加强对预算项目的调研和分析，充分收集相关历史数据和市场信息，提高预算编制准确性。定期聘请专家对重点预算项目进行评价审核，确保预算指标合理、可行。</w:t>
      </w:r>
    </w:p>
    <w:p>
      <w:pPr>
        <w:spacing w:line="560" w:lineRule="exac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2、建立健全监督机制。加强对预算执行的跟踪分析，确保及时发现和解决预算执行过程中存在的问题。对执行进度慢的项目进行重点关注，查找原因并采取相应措施加以改进。</w:t>
      </w:r>
    </w:p>
    <w:p>
      <w:pPr>
        <w:spacing w:line="560" w:lineRule="exact"/>
        <w:rPr>
          <w:rFonts w:hint="eastAsia" w:ascii="黑体" w:hAnsi="黑体" w:eastAsia="黑体"/>
          <w:color w:val="auto"/>
          <w:sz w:val="32"/>
          <w:szCs w:val="32"/>
        </w:rPr>
      </w:pPr>
    </w:p>
    <w:p>
      <w:pPr>
        <w:pStyle w:val="3"/>
        <w:widowControl w:val="0"/>
        <w:wordWrap/>
        <w:adjustRightInd/>
        <w:snapToGrid/>
        <w:spacing w:line="240" w:lineRule="auto"/>
        <w:textAlignment w:val="auto"/>
        <w:rPr>
          <w:rFonts w:hint="eastAsia" w:ascii="宋体" w:hAnsi="宋体" w:eastAsia="宋体" w:cs="宋体"/>
          <w:color w:val="auto"/>
          <w:kern w:val="0"/>
          <w:sz w:val="22"/>
          <w:szCs w:val="24"/>
          <w:lang w:val="en-US" w:eastAsia="zh-CN" w:bidi="ar-SA"/>
        </w:rPr>
      </w:pPr>
    </w:p>
    <w:sectPr>
      <w:footerReference r:id="rId4" w:type="default"/>
      <w:pgSz w:w="11906" w:h="16838"/>
      <w:pgMar w:top="1911" w:right="1474" w:bottom="1418"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r>
      <w:rPr>
        <w:rFonts w:ascii="Calibri" w:hAnsi="Calibri" w:eastAsia="宋体" w:cs="Times New Roman"/>
        <w:kern w:val="2"/>
        <w:sz w:val="18"/>
        <w:szCs w:val="24"/>
        <w:lang w:val="en-US" w:eastAsia="zh-CN" w:bidi="ar-SA"/>
      </w:rPr>
      <w:pict>
        <v:rect id="文本框 2"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5"/>
                </w:pPr>
                <w:r>
                  <w:fldChar w:fldCharType="begin"/>
                </w:r>
                <w:r>
                  <w:instrText xml:space="preserve"> PAGE  \* MERGEFORMAT </w:instrText>
                </w:r>
                <w:r>
                  <w:fldChar w:fldCharType="separate"/>
                </w:r>
                <w:r>
                  <w:t>- 9 -</w:t>
                </w:r>
                <w: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57207320">
    <w:nsid w:val="68BCDB18"/>
    <w:multiLevelType w:val="singleLevel"/>
    <w:tmpl w:val="68BCDB18"/>
    <w:lvl w:ilvl="0" w:tentative="1">
      <w:start w:val="1"/>
      <w:numFmt w:val="decimal"/>
      <w:suff w:val="nothing"/>
      <w:lvlText w:val="%1、"/>
      <w:lvlJc w:val="left"/>
    </w:lvl>
  </w:abstractNum>
  <w:abstractNum w:abstractNumId="1757204130">
    <w:nsid w:val="68BCCEA2"/>
    <w:multiLevelType w:val="singleLevel"/>
    <w:tmpl w:val="68BCCEA2"/>
    <w:lvl w:ilvl="0" w:tentative="1">
      <w:start w:val="3"/>
      <w:numFmt w:val="decimal"/>
      <w:suff w:val="nothing"/>
      <w:lvlText w:val="%1."/>
      <w:lvlJc w:val="left"/>
    </w:lvl>
  </w:abstractNum>
  <w:abstractNum w:abstractNumId="1738312253">
    <w:nsid w:val="679C8A3D"/>
    <w:multiLevelType w:val="singleLevel"/>
    <w:tmpl w:val="679C8A3D"/>
    <w:lvl w:ilvl="0" w:tentative="1">
      <w:start w:val="2"/>
      <w:numFmt w:val="chineseCounting"/>
      <w:suff w:val="nothing"/>
      <w:lvlText w:val="（%1）"/>
      <w:lvlJc w:val="left"/>
    </w:lvl>
  </w:abstractNum>
  <w:abstractNum w:abstractNumId="1757206912">
    <w:nsid w:val="68BCD980"/>
    <w:multiLevelType w:val="singleLevel"/>
    <w:tmpl w:val="68BCD980"/>
    <w:lvl w:ilvl="0" w:tentative="1">
      <w:start w:val="4"/>
      <w:numFmt w:val="chineseCounting"/>
      <w:suff w:val="nothing"/>
      <w:lvlText w:val="（%1）"/>
      <w:lvlJc w:val="left"/>
    </w:lvl>
  </w:abstractNum>
  <w:abstractNum w:abstractNumId="1738312781">
    <w:nsid w:val="679C8C4D"/>
    <w:multiLevelType w:val="singleLevel"/>
    <w:tmpl w:val="679C8C4D"/>
    <w:lvl w:ilvl="0" w:tentative="1">
      <w:start w:val="4"/>
      <w:numFmt w:val="decimal"/>
      <w:suff w:val="nothing"/>
      <w:lvlText w:val="%1."/>
      <w:lvlJc w:val="left"/>
    </w:lvl>
  </w:abstractNum>
  <w:abstractNum w:abstractNumId="1738312634">
    <w:nsid w:val="679C8BBA"/>
    <w:multiLevelType w:val="singleLevel"/>
    <w:tmpl w:val="679C8BBA"/>
    <w:lvl w:ilvl="0" w:tentative="1">
      <w:start w:val="2"/>
      <w:numFmt w:val="decimal"/>
      <w:suff w:val="nothing"/>
      <w:lvlText w:val="%1."/>
      <w:lvlJc w:val="left"/>
    </w:lvl>
  </w:abstractNum>
  <w:abstractNum w:abstractNumId="1757204672">
    <w:nsid w:val="68BCD0C0"/>
    <w:multiLevelType w:val="singleLevel"/>
    <w:tmpl w:val="68BCD0C0"/>
    <w:lvl w:ilvl="0" w:tentative="1">
      <w:start w:val="2"/>
      <w:numFmt w:val="chineseCounting"/>
      <w:suff w:val="nothing"/>
      <w:lvlText w:val="（%1）"/>
      <w:lvlJc w:val="left"/>
    </w:lvl>
  </w:abstractNum>
  <w:num w:numId="1">
    <w:abstractNumId w:val="1738312253"/>
  </w:num>
  <w:num w:numId="2">
    <w:abstractNumId w:val="1738312634"/>
  </w:num>
  <w:num w:numId="3">
    <w:abstractNumId w:val="1738312781"/>
  </w:num>
  <w:num w:numId="4">
    <w:abstractNumId w:val="1757204130"/>
  </w:num>
  <w:num w:numId="5">
    <w:abstractNumId w:val="1757207320"/>
  </w:num>
  <w:num w:numId="6">
    <w:abstractNumId w:val="1757206912"/>
  </w:num>
  <w:num w:numId="7">
    <w:abstractNumId w:val="17572046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5EDB0B63"/>
    <w:rsid w:val="01534994"/>
    <w:rsid w:val="05626CD4"/>
    <w:rsid w:val="0C8165E0"/>
    <w:rsid w:val="2CBF8107"/>
    <w:rsid w:val="2EB70209"/>
    <w:rsid w:val="30FF2B40"/>
    <w:rsid w:val="35D339CB"/>
    <w:rsid w:val="3A476F2A"/>
    <w:rsid w:val="3FF79B31"/>
    <w:rsid w:val="4BA31FDB"/>
    <w:rsid w:val="4BFF9656"/>
    <w:rsid w:val="4CF73E96"/>
    <w:rsid w:val="4F1D75D8"/>
    <w:rsid w:val="537A1457"/>
    <w:rsid w:val="537B9DA3"/>
    <w:rsid w:val="577FC547"/>
    <w:rsid w:val="5A474F5C"/>
    <w:rsid w:val="5D4D3243"/>
    <w:rsid w:val="5DDF52D1"/>
    <w:rsid w:val="5EDB0B63"/>
    <w:rsid w:val="5F9F33EB"/>
    <w:rsid w:val="6AC7B1A3"/>
    <w:rsid w:val="6B77FB6F"/>
    <w:rsid w:val="6EE9A86C"/>
    <w:rsid w:val="6FD43E60"/>
    <w:rsid w:val="71DB912D"/>
    <w:rsid w:val="74C16C37"/>
    <w:rsid w:val="763E871D"/>
    <w:rsid w:val="79EBFCAD"/>
    <w:rsid w:val="7AC8587C"/>
    <w:rsid w:val="7BBD97BD"/>
    <w:rsid w:val="7BED256C"/>
    <w:rsid w:val="7BFE4A5B"/>
    <w:rsid w:val="7BFFEC6B"/>
    <w:rsid w:val="7C5031D6"/>
    <w:rsid w:val="7DBF4FBB"/>
    <w:rsid w:val="7DCD9330"/>
    <w:rsid w:val="7DD758A1"/>
    <w:rsid w:val="7E562264"/>
    <w:rsid w:val="7E5EB5A1"/>
    <w:rsid w:val="7F2773F9"/>
    <w:rsid w:val="7F3909BD"/>
    <w:rsid w:val="7F7C49BA"/>
    <w:rsid w:val="7FBF70D0"/>
    <w:rsid w:val="7FF719AD"/>
    <w:rsid w:val="9BFD2FEF"/>
    <w:rsid w:val="AA5E3CAD"/>
    <w:rsid w:val="AFDDEFDC"/>
    <w:rsid w:val="B2DFF942"/>
    <w:rsid w:val="B5FC34C6"/>
    <w:rsid w:val="BAEFCA12"/>
    <w:rsid w:val="BD5D8A02"/>
    <w:rsid w:val="D4CEDA1A"/>
    <w:rsid w:val="D5A31DC0"/>
    <w:rsid w:val="D7FF1616"/>
    <w:rsid w:val="DFEAA56F"/>
    <w:rsid w:val="E6922BE3"/>
    <w:rsid w:val="EB5BB730"/>
    <w:rsid w:val="EDFF835A"/>
    <w:rsid w:val="EEBB59E1"/>
    <w:rsid w:val="EFCF022D"/>
    <w:rsid w:val="F37B3AB2"/>
    <w:rsid w:val="F6FF4047"/>
    <w:rsid w:val="F7E365DE"/>
    <w:rsid w:val="FA5A168B"/>
    <w:rsid w:val="FD3F40DC"/>
    <w:rsid w:val="FD8E962E"/>
    <w:rsid w:val="FEF8056D"/>
    <w:rsid w:val="FEF82787"/>
    <w:rsid w:val="FEFD3F0E"/>
    <w:rsid w:val="FFBDEA55"/>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11">
    <w:name w:val="Normal Table"/>
    <w:semiHidden/>
    <w:qFormat/>
    <w:uiPriority w:val="0"/>
    <w:tblPr>
      <w:tblStyle w:val="11"/>
      <w:tblLayout w:type="fixed"/>
      <w:tblCellMar>
        <w:top w:w="0" w:type="dxa"/>
        <w:left w:w="108" w:type="dxa"/>
        <w:bottom w:w="0" w:type="dxa"/>
        <w:right w:w="108" w:type="dxa"/>
      </w:tblCellMar>
    </w:tblPr>
    <w:tcPr>
      <w:textDirection w:val="lrTb"/>
    </w:tcPr>
  </w:style>
  <w:style w:type="paragraph" w:styleId="3">
    <w:name w:val="Normal Indent"/>
    <w:basedOn w:val="1"/>
    <w:next w:val="1"/>
    <w:qFormat/>
    <w:uiPriority w:val="0"/>
    <w:pPr>
      <w:ind w:firstLine="200" w:firstLineChars="200"/>
    </w:pPr>
  </w:style>
  <w:style w:type="paragraph" w:styleId="4">
    <w:name w:val="Body Text"/>
    <w:basedOn w:val="1"/>
    <w:next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rPr>
  </w:style>
  <w:style w:type="character" w:styleId="9">
    <w:name w:val="page number"/>
    <w:uiPriority w:val="0"/>
  </w:style>
  <w:style w:type="character" w:styleId="10">
    <w:name w:val="Hyperlink"/>
    <w:basedOn w:val="8"/>
    <w:qFormat/>
    <w:uiPriority w:val="0"/>
    <w:rPr>
      <w:color w:val="0000FF"/>
      <w:u w:val="single"/>
    </w:rPr>
  </w:style>
  <w:style w:type="paragraph" w:customStyle="1" w:styleId="12">
    <w:name w:val="表格"/>
    <w:basedOn w:val="1"/>
    <w:qFormat/>
    <w:uiPriority w:val="0"/>
    <w:pPr>
      <w:autoSpaceDN w:val="0"/>
      <w:jc w:val="center"/>
    </w:pPr>
    <w:rPr>
      <w:rFonts w:ascii="Verdana" w:hAnsi="Verdana" w:eastAsia="仿宋_GB2312" w:cs="Times New Roman"/>
      <w:bCs/>
      <w:sz w:val="24"/>
      <w:szCs w:val="21"/>
      <w:lang w:eastAsia="en-US"/>
    </w:rPr>
  </w:style>
  <w:style w:type="paragraph" w:customStyle="1" w:styleId="13">
    <w:name w:val="首行缩进"/>
    <w:basedOn w:val="1"/>
    <w:qFormat/>
    <w:uiPriority w:val="0"/>
    <w:pPr>
      <w:ind w:firstLine="480"/>
    </w:pPr>
    <w:rPr>
      <w:szCs w:val="20"/>
      <w:lang w:val="zh-CN"/>
    </w:rPr>
  </w:style>
  <w:style w:type="character" w:customStyle="1" w:styleId="14">
    <w:name w:val="font81"/>
    <w:basedOn w:val="8"/>
    <w:qFormat/>
    <w:uiPriority w:val="0"/>
    <w:rPr>
      <w:rFonts w:hint="eastAsia" w:ascii="宋体" w:hAnsi="宋体" w:eastAsia="宋体" w:cs="宋体"/>
      <w:color w:val="000000"/>
      <w:sz w:val="20"/>
      <w:szCs w:val="20"/>
      <w:u w:val="none"/>
    </w:rPr>
  </w:style>
  <w:style w:type="character" w:customStyle="1" w:styleId="15">
    <w:name w:val="font11"/>
    <w:basedOn w:val="8"/>
    <w:qFormat/>
    <w:uiPriority w:val="0"/>
    <w:rPr>
      <w:rFonts w:hint="eastAsia" w:ascii="仿宋_GB2312" w:eastAsia="仿宋_GB2312" w:cs="仿宋_GB2312"/>
      <w:color w:val="000000"/>
      <w:sz w:val="24"/>
      <w:szCs w:val="24"/>
      <w:u w:val="none"/>
    </w:rPr>
  </w:style>
  <w:style w:type="character" w:customStyle="1" w:styleId="16">
    <w:name w:val="font61"/>
    <w:basedOn w:val="8"/>
    <w:qFormat/>
    <w:uiPriority w:val="0"/>
    <w:rPr>
      <w:rFonts w:hint="eastAsia" w:ascii="仿宋_GB2312" w:eastAsia="仿宋_GB2312" w:cs="仿宋_GB2312"/>
      <w:color w:val="000000"/>
      <w:sz w:val="24"/>
      <w:szCs w:val="24"/>
      <w:u w:val="none"/>
    </w:rPr>
  </w:style>
  <w:style w:type="character" w:customStyle="1" w:styleId="17">
    <w:name w:val="font71"/>
    <w:basedOn w:val="8"/>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Office_9.1.0.5111_{F1E327BC-269C-435d-A152-05C5408002CA}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2024-03-13T19:08:00Z</dcterms:created>
  <dc:creator>user</dc:creator>
  <cp:lastModifiedBy>Administrator</cp:lastModifiedBy>
  <cp:lastPrinted>2025-01-08T17:22:00Z</cp:lastPrinted>
  <dcterms:modified xsi:type="dcterms:W3CDTF">2025-09-09T06:35:46Z</dcterms:modified>
  <dc:title>附件2-1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2052-9.1.0.5111</vt:lpwstr>
  </property>
</Properties>
</file>