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高标准农田建设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2003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2003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2003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2003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按照要求做好高标准农田建设相关工作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按要求完成工作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新建及改造高标准农田面积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6676亩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6676亩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项目正在验收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建设任务完成及时性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财政资金亩均补助标准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3000元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粮食综合生产能力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耕地质量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水资源利用率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t>1.评价方法说明</w:t>
      </w:r>
      <w:r>
        <w:rPr>
          <w:rFonts w:hint="eastAsia" w:ascii="宋体" w:hAnsi="宋体" w:cs="宋体"/>
          <w:kern w:val="0"/>
          <w:sz w:val="22"/>
        </w:rPr>
        <w:t>：</w:t>
      </w:r>
      <w:r>
        <w:rPr>
          <w:rFonts w:hint="eastAsia" w:ascii="宋体" w:hAnsi="宋体" w:cs="宋体" w:eastAsiaTheme="minorEastAsia"/>
          <w:kern w:val="0"/>
          <w:sz w:val="22"/>
        </w:rPr>
        <w:t>采取打分的形式，满分为100分。单位自评指标的权重由各单位根据项目实际情况确定。原则上预算执行率和一级指标权重统一设置为：未设置成本指标的项目，预算执行率10%、产出指标50%、效益指标30%、服务对象满意度指标10%。设置成本指标的项目，预算执行率10%、成本指标20%、产出指标40%、效益指标20%、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255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t>各项绩效指标得分汇总成该项目自评的总分。</w:t>
      </w:r>
    </w:p>
    <w:p>
      <w:pPr>
        <w:widowControl/>
        <w:numPr>
          <w:ilvl w:val="255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numPr>
          <w:ilvl w:val="255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t>4.</w:t>
      </w:r>
      <w:r>
        <w:rPr>
          <w:rFonts w:hint="eastAsia" w:ascii="宋体" w:hAnsi="宋体" w:cs="宋体"/>
          <w:kern w:val="0"/>
          <w:sz w:val="22"/>
        </w:rPr>
        <w:t>等级划分：</w:t>
      </w:r>
      <w:r>
        <w:rPr>
          <w:rFonts w:hint="eastAsia" w:ascii="宋体" w:hAnsi="宋体" w:cs="宋体" w:eastAsiaTheme="minorEastAsia"/>
          <w:kern w:val="0"/>
          <w:sz w:val="22"/>
        </w:rPr>
        <w:t>90（含）-100分为优、80（含）-90分为良、60（含）-80分为</w:t>
      </w:r>
      <w:r>
        <w:rPr>
          <w:rFonts w:hint="eastAsia" w:ascii="宋体" w:hAnsi="宋体" w:cs="宋体"/>
          <w:kern w:val="0"/>
          <w:sz w:val="22"/>
        </w:rPr>
        <w:t>中</w:t>
      </w:r>
      <w:r>
        <w:rPr>
          <w:rFonts w:hint="eastAsia" w:ascii="宋体" w:hAnsi="宋体" w:cs="宋体" w:eastAsiaTheme="minorEastAsia"/>
          <w:kern w:val="0"/>
          <w:sz w:val="22"/>
        </w:rPr>
        <w:t>、60分以下为差。</w:t>
      </w:r>
    </w:p>
    <w:p>
      <w:pPr>
        <w:rPr>
          <w:rFonts w:hint="eastAsia" w:ascii="宋体" w:hAnsi="宋体" w:cs="宋体" w:eastAsiaTheme="minorEastAsia"/>
          <w:kern w:val="0"/>
          <w:sz w:val="22"/>
        </w:rPr>
      </w:pPr>
      <w:r>
        <w:rPr>
          <w:rFonts w:hint="eastAsia" w:ascii="宋体" w:hAnsi="宋体" w:cs="宋体" w:eastAsiaTheme="minorEastAsia"/>
          <w:kern w:val="0"/>
          <w:sz w:val="22"/>
        </w:rPr>
        <w:br w:type="page"/>
      </w:r>
    </w:p>
    <w:p>
      <w:pPr>
        <w:pStyle w:val="2"/>
        <w:spacing w:before="0" w:after="0" w:line="240" w:lineRule="auto"/>
        <w:rPr>
          <w:rFonts w:hint="eastAsia" w:ascii="黑体" w:hAnsi="黑体"/>
          <w:b w:val="0"/>
          <w:szCs w:val="32"/>
        </w:rPr>
      </w:pPr>
      <w:r>
        <w:rPr>
          <w:rFonts w:hint="eastAsia" w:ascii="黑体" w:hAnsi="黑体"/>
          <w:b w:val="0"/>
          <w:szCs w:val="32"/>
        </w:rPr>
        <w:t>附件2</w:t>
      </w:r>
    </w:p>
    <w:p>
      <w:pPr>
        <w:adjustRightInd w:val="0"/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北京市通州区重点</w:t>
      </w:r>
      <w:r>
        <w:rPr>
          <w:rFonts w:ascii="宋体" w:hAnsi="宋体"/>
          <w:b/>
          <w:bCs/>
          <w:sz w:val="36"/>
          <w:szCs w:val="36"/>
        </w:rPr>
        <w:t>项目</w:t>
      </w:r>
      <w:r>
        <w:rPr>
          <w:rFonts w:hint="eastAsia" w:ascii="宋体" w:hAnsi="宋体"/>
          <w:b/>
          <w:bCs/>
          <w:sz w:val="36"/>
          <w:szCs w:val="36"/>
        </w:rPr>
        <w:t>支出绩效评价资料准备清单</w:t>
      </w:r>
    </w:p>
    <w:p>
      <w:pPr>
        <w:numPr>
          <w:ilvl w:val="255"/>
          <w:numId w:val="0"/>
        </w:numPr>
        <w:adjustRightInd w:val="0"/>
        <w:snapToGrid w:val="0"/>
        <w:spacing w:line="400" w:lineRule="exact"/>
        <w:ind w:left="630"/>
        <w:rPr>
          <w:rFonts w:hint="eastAsia" w:ascii="宋体" w:hAnsi="宋体"/>
          <w:b/>
          <w:sz w:val="24"/>
        </w:rPr>
      </w:pPr>
    </w:p>
    <w:p>
      <w:pPr>
        <w:numPr>
          <w:ilvl w:val="255"/>
          <w:numId w:val="0"/>
        </w:numPr>
        <w:adjustRightInd w:val="0"/>
        <w:snapToGrid w:val="0"/>
        <w:spacing w:line="400" w:lineRule="exact"/>
        <w:ind w:left="63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一、项目决策资料</w:t>
      </w:r>
    </w:p>
    <w:p>
      <w:pPr>
        <w:adjustRightInd w:val="0"/>
        <w:snapToGrid w:val="0"/>
        <w:spacing w:line="400" w:lineRule="exact"/>
        <w:ind w:left="120" w:firstLine="480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（一）项目单位职能文件。</w:t>
      </w:r>
      <w:r>
        <w:rPr>
          <w:rFonts w:ascii="宋体" w:hAnsi="宋体"/>
          <w:sz w:val="24"/>
        </w:rPr>
        <w:t>三定方案</w:t>
      </w:r>
      <w:r>
        <w:rPr>
          <w:rFonts w:hint="eastAsia" w:ascii="宋体" w:hAnsi="宋体"/>
          <w:sz w:val="24"/>
        </w:rPr>
        <w:t>或其他</w:t>
      </w:r>
      <w:r>
        <w:rPr>
          <w:rFonts w:ascii="宋体" w:hAnsi="宋体"/>
          <w:sz w:val="24"/>
        </w:rPr>
        <w:t>用于说明</w:t>
      </w:r>
      <w:r>
        <w:rPr>
          <w:rFonts w:hint="eastAsia" w:ascii="宋体" w:hAnsi="宋体"/>
          <w:sz w:val="24"/>
        </w:rPr>
        <w:t>单位</w:t>
      </w:r>
      <w:r>
        <w:rPr>
          <w:rFonts w:ascii="宋体" w:hAnsi="宋体"/>
          <w:sz w:val="24"/>
        </w:rPr>
        <w:t>职责范畴的文件。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（二）部门或项目单位中长期规划。</w:t>
      </w:r>
      <w:r>
        <w:rPr>
          <w:rFonts w:ascii="宋体" w:hAnsi="宋体"/>
          <w:sz w:val="24"/>
        </w:rPr>
        <w:t>用于</w:t>
      </w:r>
      <w:r>
        <w:rPr>
          <w:rFonts w:hint="eastAsia" w:ascii="宋体" w:hAnsi="宋体"/>
          <w:sz w:val="24"/>
        </w:rPr>
        <w:t>说明</w:t>
      </w:r>
      <w:r>
        <w:rPr>
          <w:rFonts w:ascii="宋体" w:hAnsi="宋体"/>
          <w:sz w:val="24"/>
        </w:rPr>
        <w:t>项目决策</w:t>
      </w:r>
      <w:r>
        <w:rPr>
          <w:rFonts w:hint="eastAsia" w:ascii="宋体" w:hAnsi="宋体"/>
          <w:sz w:val="24"/>
        </w:rPr>
        <w:t>与</w:t>
      </w:r>
      <w:r>
        <w:rPr>
          <w:rFonts w:ascii="宋体" w:hAnsi="宋体"/>
          <w:sz w:val="24"/>
        </w:rPr>
        <w:t>项目单位</w:t>
      </w:r>
      <w:r>
        <w:rPr>
          <w:rFonts w:hint="eastAsia" w:ascii="宋体" w:hAnsi="宋体"/>
          <w:sz w:val="24"/>
        </w:rPr>
        <w:t>或</w:t>
      </w:r>
      <w:r>
        <w:rPr>
          <w:rFonts w:ascii="宋体" w:hAnsi="宋体"/>
          <w:sz w:val="24"/>
        </w:rPr>
        <w:t>主管部门、</w:t>
      </w:r>
      <w:r>
        <w:rPr>
          <w:rFonts w:hint="eastAsia" w:ascii="宋体" w:hAnsi="宋体"/>
          <w:sz w:val="24"/>
        </w:rPr>
        <w:t>行业部门</w:t>
      </w:r>
      <w:r>
        <w:rPr>
          <w:rFonts w:ascii="宋体" w:hAnsi="宋体"/>
          <w:sz w:val="24"/>
        </w:rPr>
        <w:t>中长期发展规划一致</w:t>
      </w:r>
      <w:r>
        <w:rPr>
          <w:rFonts w:hint="eastAsia" w:ascii="宋体" w:hAnsi="宋体"/>
          <w:sz w:val="24"/>
        </w:rPr>
        <w:t>，与</w:t>
      </w:r>
      <w:r>
        <w:rPr>
          <w:rFonts w:ascii="宋体" w:hAnsi="宋体"/>
          <w:sz w:val="24"/>
        </w:rPr>
        <w:t>国家</w:t>
      </w:r>
      <w:r>
        <w:rPr>
          <w:rFonts w:hint="eastAsia" w:ascii="宋体" w:hAnsi="宋体"/>
          <w:sz w:val="24"/>
        </w:rPr>
        <w:t>或</w:t>
      </w:r>
      <w:r>
        <w:rPr>
          <w:rFonts w:ascii="宋体" w:hAnsi="宋体"/>
          <w:sz w:val="24"/>
        </w:rPr>
        <w:t>北京市</w:t>
      </w:r>
      <w:r>
        <w:rPr>
          <w:rFonts w:hint="eastAsia" w:ascii="宋体" w:hAnsi="宋体"/>
          <w:sz w:val="24"/>
        </w:rPr>
        <w:t>、通州区发展规划</w:t>
      </w:r>
      <w:r>
        <w:rPr>
          <w:rFonts w:ascii="宋体" w:hAnsi="宋体"/>
          <w:sz w:val="24"/>
        </w:rPr>
        <w:t>、政策</w:t>
      </w:r>
      <w:r>
        <w:rPr>
          <w:rFonts w:hint="eastAsia" w:ascii="宋体" w:hAnsi="宋体"/>
          <w:sz w:val="24"/>
        </w:rPr>
        <w:t>相符</w:t>
      </w:r>
      <w:r>
        <w:rPr>
          <w:rFonts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（三）部门或项目单位本年工作计划。包括与</w:t>
      </w:r>
      <w:r>
        <w:rPr>
          <w:rFonts w:ascii="宋体" w:hAnsi="宋体"/>
          <w:sz w:val="24"/>
        </w:rPr>
        <w:t>项目相关的工作要点、年度工作计划、</w:t>
      </w:r>
      <w:r>
        <w:rPr>
          <w:rFonts w:hint="eastAsia" w:ascii="宋体" w:hAnsi="宋体"/>
          <w:sz w:val="24"/>
        </w:rPr>
        <w:t>单位决策会议</w:t>
      </w:r>
      <w:r>
        <w:rPr>
          <w:rFonts w:ascii="宋体" w:hAnsi="宋体"/>
          <w:sz w:val="24"/>
        </w:rPr>
        <w:t>纪要等。用于</w:t>
      </w:r>
      <w:r>
        <w:rPr>
          <w:rFonts w:hint="eastAsia" w:ascii="宋体" w:hAnsi="宋体"/>
          <w:sz w:val="24"/>
        </w:rPr>
        <w:t>说明</w:t>
      </w:r>
      <w:r>
        <w:rPr>
          <w:rFonts w:ascii="宋体" w:hAnsi="宋体"/>
          <w:sz w:val="24"/>
        </w:rPr>
        <w:t>项目</w:t>
      </w:r>
      <w:r>
        <w:rPr>
          <w:rFonts w:hint="eastAsia" w:ascii="宋体" w:hAnsi="宋体"/>
          <w:sz w:val="24"/>
        </w:rPr>
        <w:t>纳入项目单位</w:t>
      </w:r>
      <w:r>
        <w:rPr>
          <w:rFonts w:ascii="宋体" w:hAnsi="宋体"/>
          <w:sz w:val="24"/>
        </w:rPr>
        <w:t>年度重点工作</w:t>
      </w:r>
      <w:r>
        <w:rPr>
          <w:rFonts w:hint="eastAsia" w:ascii="宋体" w:hAnsi="宋体"/>
          <w:sz w:val="24"/>
        </w:rPr>
        <w:t>，具有</w:t>
      </w:r>
      <w:r>
        <w:rPr>
          <w:rFonts w:ascii="宋体" w:hAnsi="宋体"/>
          <w:sz w:val="24"/>
        </w:rPr>
        <w:t>立项必要性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迫切性。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（四）项目立项背景及发展规划。与</w:t>
      </w:r>
      <w:r>
        <w:rPr>
          <w:rFonts w:ascii="宋体" w:hAnsi="宋体"/>
          <w:sz w:val="24"/>
        </w:rPr>
        <w:t>项目</w:t>
      </w:r>
      <w:r>
        <w:rPr>
          <w:rFonts w:hint="eastAsia" w:ascii="宋体" w:hAnsi="宋体"/>
          <w:sz w:val="24"/>
        </w:rPr>
        <w:t>立项</w:t>
      </w:r>
      <w:r>
        <w:rPr>
          <w:rFonts w:ascii="宋体" w:hAnsi="宋体"/>
          <w:sz w:val="24"/>
        </w:rPr>
        <w:t>相关的政策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sz w:val="24"/>
        </w:rPr>
        <w:t>、批示</w:t>
      </w:r>
      <w:r>
        <w:rPr>
          <w:rFonts w:ascii="宋体" w:hAnsi="宋体"/>
          <w:sz w:val="24"/>
        </w:rPr>
        <w:t>等，</w:t>
      </w:r>
      <w:r>
        <w:rPr>
          <w:rFonts w:hint="eastAsia" w:ascii="宋体" w:hAnsi="宋体"/>
          <w:sz w:val="24"/>
        </w:rPr>
        <w:t>以及项目单位</w:t>
      </w:r>
      <w:r>
        <w:rPr>
          <w:rFonts w:ascii="宋体" w:hAnsi="宋体"/>
          <w:sz w:val="24"/>
        </w:rPr>
        <w:t>关于项目相关的发展规划、长期目标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顶层设计。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（五）项目立项报告或任务书。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（六）上级主管部门对于立项的批复文件。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（七）项目申报书。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（八）项目支出绩效目标申报表。若项目</w:t>
      </w:r>
      <w:r>
        <w:rPr>
          <w:rFonts w:ascii="宋体" w:hAnsi="宋体"/>
          <w:sz w:val="24"/>
        </w:rPr>
        <w:t>经过事前绩效评估，需提供修改后的绩效目标</w:t>
      </w:r>
      <w:r>
        <w:rPr>
          <w:rFonts w:hint="eastAsia" w:ascii="宋体" w:hAnsi="宋体"/>
          <w:sz w:val="24"/>
        </w:rPr>
        <w:t>申报</w:t>
      </w:r>
      <w:r>
        <w:rPr>
          <w:rFonts w:ascii="宋体" w:hAnsi="宋体"/>
          <w:sz w:val="24"/>
        </w:rPr>
        <w:t>表。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（九）项目可行性研究报告。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（十）立项专家论证意见。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（十一）项目评审报告。若项目</w:t>
      </w:r>
      <w:r>
        <w:rPr>
          <w:rFonts w:ascii="宋体" w:hAnsi="宋体"/>
          <w:sz w:val="24"/>
        </w:rPr>
        <w:t>经过事前绩效评估，需提供事前绩效评估报告。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（十二）项目内容调整和预算调整的相关申请和批复。</w:t>
      </w:r>
    </w:p>
    <w:p>
      <w:pPr>
        <w:adjustRightInd w:val="0"/>
        <w:snapToGrid w:val="0"/>
        <w:spacing w:line="400" w:lineRule="exact"/>
        <w:ind w:firstLine="602" w:firstLineChars="2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项目过程管理资料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（一）项目实施方案。</w:t>
      </w:r>
      <w:r>
        <w:rPr>
          <w:rFonts w:ascii="宋体" w:hAnsi="宋体"/>
          <w:sz w:val="24"/>
        </w:rPr>
        <w:t>包含项目组织机构、项目时间进度安排、项目预算及测算依据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项目实施保障条件等。</w:t>
      </w:r>
    </w:p>
    <w:p>
      <w:pPr>
        <w:pStyle w:val="13"/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（二）项目预算批复。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（三）项目管理制度。</w:t>
      </w:r>
      <w:r>
        <w:rPr>
          <w:rFonts w:ascii="宋体" w:hAnsi="宋体"/>
          <w:sz w:val="24"/>
        </w:rPr>
        <w:t>包括业务管理</w:t>
      </w:r>
      <w:r>
        <w:rPr>
          <w:rFonts w:hint="eastAsia" w:ascii="宋体" w:hAnsi="宋体"/>
          <w:sz w:val="24"/>
        </w:rPr>
        <w:t>流程</w:t>
      </w:r>
      <w:r>
        <w:rPr>
          <w:rFonts w:ascii="宋体" w:hAnsi="宋体"/>
          <w:sz w:val="24"/>
        </w:rPr>
        <w:t>、日常管理制度</w:t>
      </w:r>
      <w:r>
        <w:rPr>
          <w:rFonts w:hint="eastAsia" w:ascii="宋体" w:hAnsi="宋体"/>
          <w:sz w:val="24"/>
        </w:rPr>
        <w:t>、监督检查验收</w:t>
      </w:r>
      <w:r>
        <w:rPr>
          <w:rFonts w:ascii="宋体" w:hAnsi="宋体"/>
          <w:sz w:val="24"/>
        </w:rPr>
        <w:t>制度等。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（四）与项目执行相关的部门或单位内部财务管理制度。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（五）反映项目管理过程的相关资料。例如：项目培训资料、项目招投标文件、项目中签订的外包合同或协议、工程项目的设计施工图纸、监理合同和监理报告等。</w:t>
      </w:r>
    </w:p>
    <w:p>
      <w:pPr>
        <w:tabs>
          <w:tab w:val="left" w:pos="720"/>
        </w:tabs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（六）反映项目执行的会计凭证及会计帐簿。</w:t>
      </w:r>
    </w:p>
    <w:p>
      <w:pPr>
        <w:adjustRightInd w:val="0"/>
        <w:snapToGrid w:val="0"/>
        <w:spacing w:line="400" w:lineRule="exact"/>
        <w:ind w:firstLine="723" w:firstLineChars="3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项目产出和效果资料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（一）项目单位绩效报告。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（二）项目执行情况报告。包括</w:t>
      </w:r>
      <w:r>
        <w:rPr>
          <w:rFonts w:ascii="宋体" w:hAnsi="宋体"/>
          <w:sz w:val="24"/>
        </w:rPr>
        <w:t>任务完成情况对照表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资金执行情况对照表。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（三）项目经费决算表、</w:t>
      </w:r>
      <w:r>
        <w:rPr>
          <w:rFonts w:ascii="宋体" w:hAnsi="宋体"/>
          <w:sz w:val="24"/>
        </w:rPr>
        <w:t>资金支出明细表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（四）审计机构对项目执行情况的财务审计报告。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（五）反映项目完成情况的证据资料。例如：对项目产出目标完成情况的调研结果、认定结果、项目完工验收报告、科研课题结题报告、项目完工实景图片、采购设备入库记录等。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（六）反映项目实施效果的证据资料。例如：反映项目实施效果的有关经济数据、业务数据、发表论文、申请专利与专利授权、获奖情况、服务对象调查问卷及</w:t>
      </w:r>
      <w:r>
        <w:rPr>
          <w:rFonts w:ascii="宋体" w:hAnsi="宋体"/>
          <w:sz w:val="24"/>
        </w:rPr>
        <w:t>统计分析</w:t>
      </w:r>
      <w:r>
        <w:rPr>
          <w:rFonts w:hint="eastAsia" w:ascii="宋体" w:hAnsi="宋体"/>
          <w:sz w:val="24"/>
        </w:rPr>
        <w:t>、项目实施效益与历史数据对比、成本合理性分析等。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/>
          <w:sz w:val="24"/>
        </w:rPr>
      </w:pPr>
    </w:p>
    <w:p>
      <w:pPr>
        <w:pStyle w:val="2"/>
        <w:spacing w:before="0" w:after="0" w:line="240" w:lineRule="auto"/>
        <w:rPr>
          <w:rFonts w:hint="eastAsia" w:ascii="黑体" w:hAnsi="黑体"/>
          <w:b w:val="0"/>
          <w:szCs w:val="32"/>
        </w:rPr>
      </w:pPr>
      <w:r>
        <w:rPr>
          <w:rFonts w:hint="eastAsia" w:ascii="黑体" w:hAnsi="黑体"/>
          <w:b w:val="0"/>
          <w:szCs w:val="32"/>
        </w:rPr>
        <w:t>附件3</w:t>
      </w:r>
    </w:p>
    <w:p>
      <w:pPr>
        <w:adjustRightInd w:val="0"/>
        <w:spacing w:line="5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2"/>
        </w:rPr>
        <w:t>北京市通州区农业农村局</w:t>
      </w:r>
    </w:p>
    <w:p>
      <w:pPr>
        <w:adjustRightInd w:val="0"/>
        <w:spacing w:line="5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2"/>
        </w:rPr>
        <w:t>2024年度项目支出绩效自评梳理需准备资料清单</w:t>
      </w:r>
    </w:p>
    <w:p>
      <w:pPr>
        <w:adjustRightInd w:val="0"/>
        <w:spacing w:line="540" w:lineRule="auto"/>
        <w:jc w:val="center"/>
        <w:rPr>
          <w:b/>
          <w:bCs/>
          <w:sz w:val="32"/>
          <w:szCs w:val="28"/>
        </w:rPr>
      </w:pPr>
    </w:p>
    <w:p>
      <w:pPr>
        <w:tabs>
          <w:tab w:val="left" w:pos="2160"/>
        </w:tabs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一、项目决策资料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1.项目中长期规划。用于说明项目决策与项目单位或主管部门、行业部门中长期发展规划一致，与北京市或国家发展规划、政策相符。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2.科室年度工作计划。包括与项目相关的工作要点、年度工作计划、单位决策会议纪要等。用于说明项目纳入项目单位年度重点工作，具有立项必要性、迫切性。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3.项目立项背景及发展规划。与项目立项相关的政策、文件、批示等，以及项目单位关于项目相关的发展规划、长期目标、顶层设计。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4.上级主管部门对于立项的批复文件。（仅针对新设项目）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5.项目支出绩效目标申报表。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6.项目评审报告。若项目经过事前绩效评估或预算评审，需提供事前绩效评估报告或预算评审报告。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7.项目内容调整和预算调整的相关申请和批复。</w:t>
      </w:r>
    </w:p>
    <w:p>
      <w:pPr>
        <w:tabs>
          <w:tab w:val="left" w:pos="2160"/>
        </w:tabs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二、项目管理资料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1.项目实施方案。包含项目组织机构、项目时间进度安排、项目预算及测算依据、项目实施保障条件等。</w:t>
      </w:r>
    </w:p>
    <w:p>
      <w:pPr>
        <w:pStyle w:val="13"/>
        <w:adjustRightInd w:val="0"/>
        <w:snapToGrid w:val="0"/>
        <w:spacing w:line="360" w:lineRule="auto"/>
        <w:ind w:firstLine="64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2.项目预算批复。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3.项目管理制度和项目经费管理制度。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4.反映项目管理过程的相关资料。如：项目培训资料、项目招投标文件、项目中签订的外包合同或协议、工程项目的设计施工图纸、监理合同和监理报告、过程监管其他相关材料等。</w:t>
      </w:r>
    </w:p>
    <w:p>
      <w:pPr>
        <w:tabs>
          <w:tab w:val="left" w:pos="2160"/>
        </w:tabs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三、项目绩效资料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1.项目单位绩效报告或其他总结报告。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2.反映项目完成情况的证据资料。例如：对项目产出目标完成情况的认定结果、项目完工验收报告、项目完工实景图片、采购设备入库记录等。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3.反映项目实施效果的证据资料。例如：反映项目实施效果的有关经济数据、业务数据、发表论文、获奖情况、服务对象调查问卷及统计分析等。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adjustRightInd w:val="0"/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D8086C-C994-40F0-8D64-3DFAE9C8C9E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7118D23-42CA-4016-A345-50AC4B87CD9C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25D1F44-8284-41D7-9FDE-FEDD375DBBF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4" w:fontKey="{985912BC-FD35-43AB-B819-99207473184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27B93E4-324E-40F0-B42A-0B99DE7AC034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A6876"/>
    <w:rsid w:val="002D61E9"/>
    <w:rsid w:val="002E4F98"/>
    <w:rsid w:val="00334500"/>
    <w:rsid w:val="003736D2"/>
    <w:rsid w:val="003903E5"/>
    <w:rsid w:val="003F32F5"/>
    <w:rsid w:val="003F63B6"/>
    <w:rsid w:val="00422DE1"/>
    <w:rsid w:val="004604DE"/>
    <w:rsid w:val="00484310"/>
    <w:rsid w:val="004A660B"/>
    <w:rsid w:val="004B5C58"/>
    <w:rsid w:val="005229D0"/>
    <w:rsid w:val="00532144"/>
    <w:rsid w:val="00550F12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8E1E1D"/>
    <w:rsid w:val="009C6319"/>
    <w:rsid w:val="00A4165B"/>
    <w:rsid w:val="00A47D8B"/>
    <w:rsid w:val="00A56B7E"/>
    <w:rsid w:val="00B032B2"/>
    <w:rsid w:val="00B34597"/>
    <w:rsid w:val="00B75155"/>
    <w:rsid w:val="00B77358"/>
    <w:rsid w:val="00B82AA8"/>
    <w:rsid w:val="00B949CC"/>
    <w:rsid w:val="00BE6FB0"/>
    <w:rsid w:val="00C5426A"/>
    <w:rsid w:val="00C757FF"/>
    <w:rsid w:val="00CE223A"/>
    <w:rsid w:val="00CE530E"/>
    <w:rsid w:val="00D36D36"/>
    <w:rsid w:val="00D70946"/>
    <w:rsid w:val="00D86554"/>
    <w:rsid w:val="00DA0FA7"/>
    <w:rsid w:val="00DD6309"/>
    <w:rsid w:val="00E44470"/>
    <w:rsid w:val="00E80BB0"/>
    <w:rsid w:val="00F94854"/>
    <w:rsid w:val="06173DC8"/>
    <w:rsid w:val="0D403810"/>
    <w:rsid w:val="0FA42F48"/>
    <w:rsid w:val="18DE6357"/>
    <w:rsid w:val="1A125B19"/>
    <w:rsid w:val="1D2F5DE0"/>
    <w:rsid w:val="2C376DE6"/>
    <w:rsid w:val="34707F28"/>
    <w:rsid w:val="4258365F"/>
    <w:rsid w:val="50092C05"/>
    <w:rsid w:val="568821B3"/>
    <w:rsid w:val="56DE5E5F"/>
    <w:rsid w:val="5BCB13F5"/>
    <w:rsid w:val="6A4B4277"/>
    <w:rsid w:val="6B895617"/>
    <w:rsid w:val="73F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576</Words>
  <Characters>3289</Characters>
  <Lines>27</Lines>
  <Paragraphs>7</Paragraphs>
  <TotalTime>2</TotalTime>
  <ScaleCrop>false</ScaleCrop>
  <LinksUpToDate>false</LinksUpToDate>
  <CharactersWithSpaces>3858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2025-01-16T08:36:00Z</dcterms:created>
  <dc:creator>liumin</dc:creator>
  <cp:lastModifiedBy>lenovo</cp:lastModifiedBy>
  <cp:lastPrinted>2024-01-02T09:23:00Z</cp:lastPrinted>
  <dcterms:modified xsi:type="dcterms:W3CDTF">2025-09-09T04:00:07Z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