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760"/>
        <w:gridCol w:w="840"/>
        <w:gridCol w:w="388"/>
        <w:gridCol w:w="182"/>
        <w:gridCol w:w="589"/>
        <w:gridCol w:w="131"/>
        <w:gridCol w:w="70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执法城管通运维经费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4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通州区城市管理综合行政执法局</w:t>
            </w: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区城管执法局</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9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9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81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3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816" w:type="dxa"/>
            <w:gridSpan w:val="6"/>
            <w:tcBorders>
              <w:top w:val="single" w:color="auto" w:sz="4" w:space="0"/>
              <w:left w:val="nil"/>
              <w:bottom w:val="single" w:color="auto" w:sz="4" w:space="0"/>
              <w:right w:val="single" w:color="auto" w:sz="4" w:space="0"/>
            </w:tcBorders>
            <w:noWrap w:val="0"/>
            <w:vAlign w:val="center"/>
          </w:tcPr>
          <w:p>
            <w:pPr>
              <w:spacing w:line="240" w:lineRule="auto"/>
              <w:jc w:val="left"/>
              <w:rPr>
                <w:rFonts w:hint="eastAsia" w:ascii="宋体" w:hAnsi="宋体" w:cs="宋体"/>
                <w:color w:val="auto"/>
                <w:kern w:val="0"/>
                <w:sz w:val="18"/>
                <w:szCs w:val="18"/>
                <w:lang w:eastAsia="zh-CN"/>
              </w:rPr>
            </w:pPr>
            <w:r>
              <w:rPr>
                <w:rFonts w:hint="eastAsia"/>
                <w:lang w:val="en-US" w:eastAsia="zh-CN"/>
              </w:rPr>
              <w:t>保障全区城管系统执法人员执法终端设备的正常运转，通过打造一支信息化城管队伍，为优质高效开展执法工作保驾护航。</w:t>
            </w:r>
          </w:p>
        </w:tc>
        <w:tc>
          <w:tcPr>
            <w:tcW w:w="3534" w:type="dxa"/>
            <w:gridSpan w:val="7"/>
            <w:tcBorders>
              <w:top w:val="single" w:color="auto" w:sz="4" w:space="0"/>
              <w:left w:val="nil"/>
              <w:bottom w:val="single" w:color="auto" w:sz="4" w:space="0"/>
              <w:right w:val="single" w:color="auto" w:sz="4" w:space="0"/>
            </w:tcBorders>
            <w:noWrap w:val="0"/>
            <w:vAlign w:val="center"/>
          </w:tcPr>
          <w:p>
            <w:pPr>
              <w:spacing w:line="240" w:lineRule="auto"/>
              <w:ind w:firstLine="360" w:firstLineChars="200"/>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全年保障全区</w:t>
            </w:r>
            <w:r>
              <w:rPr>
                <w:rFonts w:hint="eastAsia" w:ascii="宋体" w:hAnsi="宋体" w:cs="宋体"/>
                <w:color w:val="auto"/>
                <w:kern w:val="0"/>
                <w:sz w:val="18"/>
                <w:szCs w:val="18"/>
                <w:lang w:val="en-US" w:eastAsia="zh-CN"/>
              </w:rPr>
              <w:t>535部执法城管通正常运行，通过信息化装备提升了执法与办公效能。</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spacing w:line="240" w:lineRule="auto"/>
              <w:jc w:val="left"/>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一级指标</w:t>
            </w:r>
          </w:p>
        </w:tc>
        <w:tc>
          <w:tcPr>
            <w:tcW w:w="1086" w:type="dxa"/>
            <w:tcBorders>
              <w:top w:val="nil"/>
              <w:left w:val="nil"/>
              <w:bottom w:val="single" w:color="auto" w:sz="4" w:space="0"/>
              <w:right w:val="single" w:color="auto" w:sz="4" w:space="0"/>
            </w:tcBorders>
            <w:noWrap w:val="0"/>
            <w:vAlign w:val="center"/>
          </w:tcPr>
          <w:p>
            <w:pPr>
              <w:spacing w:line="240" w:lineRule="auto"/>
              <w:jc w:val="left"/>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spacing w:line="240" w:lineRule="auto"/>
              <w:jc w:val="left"/>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三级指标</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年度</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指标值</w:t>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100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保障全年全区城管执法人员执法终端设备的正常运转及相关执法装备的正常使用</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560</w:t>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535</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19.11</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按实际在岗人数执行</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确保执法设备时刻处于正常使用状态</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5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按月或按季度完成执法城管通运行维护费支出</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95%</w:t>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按月支付</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不涉及</w:t>
            </w:r>
            <w:r>
              <w:rPr>
                <w:rFonts w:ascii="宋体" w:hAnsi="宋体" w:cs="宋体"/>
                <w:color w:val="auto"/>
                <w:kern w:val="0"/>
                <w:sz w:val="18"/>
                <w:szCs w:val="18"/>
              </w:rPr>
              <w:br w:type="textWrapping"/>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br w:type="textWrapping"/>
            </w:r>
            <w:r>
              <w:rPr>
                <w:rFonts w:ascii="宋体" w:hAnsi="宋体" w:cs="宋体"/>
                <w:color w:val="auto"/>
                <w:kern w:val="0"/>
                <w:sz w:val="18"/>
                <w:szCs w:val="18"/>
              </w:rPr>
              <w:br w:type="textWrapping"/>
            </w:r>
            <w:r>
              <w:rPr>
                <w:rFonts w:ascii="宋体" w:hAnsi="宋体" w:cs="宋体"/>
                <w:color w:val="auto"/>
                <w:kern w:val="0"/>
                <w:sz w:val="18"/>
                <w:szCs w:val="18"/>
              </w:rPr>
              <w:br w:type="textWrapping"/>
            </w:r>
            <w:r>
              <w:rPr>
                <w:rFonts w:ascii="宋体" w:hAnsi="宋体" w:cs="宋体"/>
                <w:color w:val="auto"/>
                <w:kern w:val="0"/>
                <w:sz w:val="18"/>
                <w:szCs w:val="18"/>
              </w:rPr>
              <w:br w:type="textWrapping"/>
            </w:r>
            <w:r>
              <w:rPr>
                <w:rFonts w:ascii="宋体" w:hAnsi="宋体" w:cs="宋体"/>
                <w:color w:val="auto"/>
                <w:kern w:val="0"/>
                <w:sz w:val="18"/>
                <w:szCs w:val="18"/>
              </w:rPr>
              <w:br w:type="textWrapping"/>
            </w:r>
            <w:r>
              <w:rPr>
                <w:rFonts w:ascii="宋体" w:hAnsi="宋体" w:cs="宋体"/>
                <w:color w:val="auto"/>
                <w:kern w:val="0"/>
                <w:sz w:val="18"/>
                <w:szCs w:val="18"/>
              </w:rPr>
              <w:br w:type="textWrapping"/>
            </w:r>
            <w:r>
              <w:rPr>
                <w:rFonts w:ascii="宋体" w:hAnsi="宋体" w:cs="宋体"/>
                <w:color w:val="auto"/>
                <w:kern w:val="0"/>
                <w:sz w:val="18"/>
                <w:szCs w:val="18"/>
              </w:rPr>
              <w:br w:type="textWrapping"/>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3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通过信息化装备更多的参与到城管执法工作中，不断提升城管执法效率，营造更好良好的城市环境秩序。</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95%</w:t>
            </w: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不涉及</w:t>
            </w:r>
          </w:p>
        </w:tc>
        <w:tc>
          <w:tcPr>
            <w:tcW w:w="7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84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2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pStyle w:val="9"/>
            </w:pPr>
            <w:r>
              <w:rPr>
                <w:rFonts w:hint="eastAsia" w:ascii="宋体" w:hAnsi="宋体" w:eastAsia="宋体" w:cs="宋体"/>
                <w:color w:val="auto"/>
                <w:kern w:val="0"/>
                <w:sz w:val="18"/>
                <w:szCs w:val="18"/>
                <w:lang w:val="en-US" w:eastAsia="zh-CN" w:bidi="ar-SA"/>
              </w:rPr>
              <w:t>通过提升城管执法绩效，大幅提升市民满意</w:t>
            </w:r>
            <w:r>
              <w:rPr>
                <w:rFonts w:hint="eastAsia"/>
              </w:rPr>
              <w:t>度。</w:t>
            </w:r>
          </w:p>
          <w:p>
            <w:pPr>
              <w:widowControl/>
              <w:spacing w:line="240" w:lineRule="exact"/>
              <w:jc w:val="left"/>
              <w:rPr>
                <w:rFonts w:hint="eastAsia" w:ascii="宋体" w:hAnsi="宋体" w:eastAsia="宋体" w:cs="宋体"/>
                <w:color w:val="auto"/>
                <w:kern w:val="0"/>
                <w:sz w:val="18"/>
                <w:szCs w:val="18"/>
                <w:lang w:eastAsia="zh-CN"/>
              </w:rPr>
            </w:pPr>
          </w:p>
        </w:tc>
        <w:tc>
          <w:tcPr>
            <w:tcW w:w="7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≥96%</w:t>
            </w:r>
          </w:p>
        </w:tc>
        <w:tc>
          <w:tcPr>
            <w:tcW w:w="84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5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234"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99.11</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textAlignment w:val="auto"/>
        <w:rPr>
          <w:rFonts w:hint="eastAsia" w:ascii="仿宋_GB2312" w:hAnsi="Calibri" w:eastAsia="仿宋_GB2312" w:cs="Times New Roman"/>
          <w:b w:val="0"/>
          <w:bCs w:val="0"/>
          <w:color w:val="auto"/>
          <w:kern w:val="2"/>
          <w:sz w:val="32"/>
          <w:szCs w:val="32"/>
          <w:highlight w:val="none"/>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00"/>
    <w:family w:val="swiss"/>
    <w:pitch w:val="default"/>
    <w:sig w:usb0="00000000" w:usb1="00000000" w:usb2="0000003F" w:usb3="00000000" w:csb0="003F01F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10"/>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2CBF8107"/>
    <w:rsid w:val="2EB70209"/>
    <w:rsid w:val="30FF2B40"/>
    <w:rsid w:val="35D339CB"/>
    <w:rsid w:val="3FF79B31"/>
    <w:rsid w:val="3FFF9A53"/>
    <w:rsid w:val="4BA31FDB"/>
    <w:rsid w:val="4BFF9656"/>
    <w:rsid w:val="537A1457"/>
    <w:rsid w:val="537B9DA3"/>
    <w:rsid w:val="56873B94"/>
    <w:rsid w:val="577FC547"/>
    <w:rsid w:val="5A474F5C"/>
    <w:rsid w:val="5D7066C5"/>
    <w:rsid w:val="5DDF52D1"/>
    <w:rsid w:val="5EB79A34"/>
    <w:rsid w:val="5EDB0B63"/>
    <w:rsid w:val="5F9F33EB"/>
    <w:rsid w:val="5FBF6961"/>
    <w:rsid w:val="65C74317"/>
    <w:rsid w:val="6AC7B1A3"/>
    <w:rsid w:val="6B77FB6F"/>
    <w:rsid w:val="6DFF55C7"/>
    <w:rsid w:val="6EE9A86C"/>
    <w:rsid w:val="6FD43E60"/>
    <w:rsid w:val="71DB912D"/>
    <w:rsid w:val="763E871D"/>
    <w:rsid w:val="79EBFCAD"/>
    <w:rsid w:val="7BBD97BD"/>
    <w:rsid w:val="7BED256C"/>
    <w:rsid w:val="7BFE4A5B"/>
    <w:rsid w:val="7BFFEC6B"/>
    <w:rsid w:val="7CBF0912"/>
    <w:rsid w:val="7DBF4FBB"/>
    <w:rsid w:val="7DCD9330"/>
    <w:rsid w:val="7DD758A1"/>
    <w:rsid w:val="7E562264"/>
    <w:rsid w:val="7E5EB5A1"/>
    <w:rsid w:val="7EEFE675"/>
    <w:rsid w:val="7F2773F9"/>
    <w:rsid w:val="7F3909BD"/>
    <w:rsid w:val="7F7C49BA"/>
    <w:rsid w:val="7FBF70D0"/>
    <w:rsid w:val="7FCF4AD2"/>
    <w:rsid w:val="7FDDC3A6"/>
    <w:rsid w:val="7FF719AD"/>
    <w:rsid w:val="9BFD2FEF"/>
    <w:rsid w:val="AA5E3CAD"/>
    <w:rsid w:val="AFDDEFDC"/>
    <w:rsid w:val="B2DFF942"/>
    <w:rsid w:val="B5FC34C6"/>
    <w:rsid w:val="BAEFCA12"/>
    <w:rsid w:val="BB73EBEE"/>
    <w:rsid w:val="BD5D8A02"/>
    <w:rsid w:val="D4CEDA1A"/>
    <w:rsid w:val="D5A31DC0"/>
    <w:rsid w:val="D7FF1616"/>
    <w:rsid w:val="DAFF1BC9"/>
    <w:rsid w:val="DFEAA56F"/>
    <w:rsid w:val="E6922BE3"/>
    <w:rsid w:val="EB5BB730"/>
    <w:rsid w:val="EDFF835A"/>
    <w:rsid w:val="EEBB59E1"/>
    <w:rsid w:val="EF56B1F2"/>
    <w:rsid w:val="EFCF022D"/>
    <w:rsid w:val="F37B3AB2"/>
    <w:rsid w:val="F3FFF819"/>
    <w:rsid w:val="F6FF4047"/>
    <w:rsid w:val="F7E365DE"/>
    <w:rsid w:val="FA5A168B"/>
    <w:rsid w:val="FD3F40DC"/>
    <w:rsid w:val="FD8E962E"/>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7">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style>
  <w:style w:type="paragraph" w:styleId="3">
    <w:name w:val="Body Text"/>
    <w:basedOn w:val="1"/>
    <w:next w:val="1"/>
    <w:qFormat/>
    <w:uiPriority w:val="0"/>
    <w:pPr>
      <w:spacing w:before="0" w:after="140" w:line="276" w:lineRule="auto"/>
    </w:pPr>
  </w:style>
  <w:style w:type="paragraph" w:styleId="4">
    <w:name w:val="Body Text First Indent 2"/>
    <w:basedOn w:val="5"/>
    <w:next w:val="1"/>
    <w:qFormat/>
    <w:uiPriority w:val="0"/>
    <w:pPr>
      <w:spacing w:line="400" w:lineRule="atLeast"/>
      <w:ind w:firstLine="420"/>
    </w:pPr>
  </w:style>
  <w:style w:type="paragraph" w:styleId="5">
    <w:name w:val="Body Text Indent"/>
    <w:basedOn w:val="1"/>
    <w:next w:val="6"/>
    <w:qFormat/>
    <w:uiPriority w:val="0"/>
    <w:pPr>
      <w:spacing w:after="120"/>
      <w:ind w:left="420" w:leftChars="200"/>
    </w:pPr>
    <w:rPr>
      <w:rFonts w:cs="Arial Unicode MS"/>
      <w:lang w:val="zh-CN" w:bidi="bo-CN"/>
    </w:rPr>
  </w:style>
  <w:style w:type="paragraph" w:styleId="6">
    <w:name w:val="envelope return"/>
    <w:basedOn w:val="1"/>
    <w:qFormat/>
    <w:uiPriority w:val="0"/>
    <w:pPr>
      <w:snapToGrid w:val="0"/>
    </w:pPr>
    <w:rPr>
      <w:rFonts w:ascii="Arial" w:hAnsi="Arial"/>
    </w:rPr>
  </w:style>
  <w:style w:type="paragraph" w:styleId="8">
    <w:name w:val="Normal Indent"/>
    <w:basedOn w:val="1"/>
    <w:next w:val="1"/>
    <w:qFormat/>
    <w:uiPriority w:val="0"/>
    <w:pPr>
      <w:ind w:firstLine="200" w:firstLineChars="200"/>
    </w:pPr>
  </w:style>
  <w:style w:type="paragraph" w:styleId="9">
    <w:name w:val="annotation text"/>
    <w:basedOn w:val="1"/>
    <w:qFormat/>
    <w:uiPriority w:val="0"/>
    <w:pPr>
      <w:jc w:val="left"/>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page number"/>
    <w:qFormat/>
    <w:uiPriority w:val="0"/>
  </w:style>
  <w:style w:type="character" w:styleId="16">
    <w:name w:val="Hyperlink"/>
    <w:basedOn w:val="14"/>
    <w:qFormat/>
    <w:uiPriority w:val="0"/>
    <w:rPr>
      <w:color w:val="0000FF"/>
      <w:u w:val="single"/>
    </w:rPr>
  </w:style>
  <w:style w:type="character" w:customStyle="1" w:styleId="17">
    <w:name w:val="font81"/>
    <w:basedOn w:val="14"/>
    <w:qFormat/>
    <w:uiPriority w:val="0"/>
    <w:rPr>
      <w:rFonts w:hint="eastAsia" w:ascii="宋体" w:hAnsi="宋体" w:eastAsia="宋体" w:cs="宋体"/>
      <w:color w:val="000000"/>
      <w:sz w:val="20"/>
      <w:szCs w:val="20"/>
      <w:u w:val="none"/>
    </w:rPr>
  </w:style>
  <w:style w:type="character" w:customStyle="1" w:styleId="18">
    <w:name w:val="font11"/>
    <w:basedOn w:val="14"/>
    <w:qFormat/>
    <w:uiPriority w:val="0"/>
    <w:rPr>
      <w:rFonts w:hint="eastAsia" w:ascii="仿宋_GB2312" w:eastAsia="仿宋_GB2312" w:cs="仿宋_GB2312"/>
      <w:color w:val="000000"/>
      <w:sz w:val="24"/>
      <w:szCs w:val="24"/>
      <w:u w:val="none"/>
    </w:rPr>
  </w:style>
  <w:style w:type="character" w:customStyle="1" w:styleId="19">
    <w:name w:val="font61"/>
    <w:basedOn w:val="14"/>
    <w:qFormat/>
    <w:uiPriority w:val="0"/>
    <w:rPr>
      <w:rFonts w:hint="eastAsia" w:ascii="仿宋_GB2312" w:eastAsia="仿宋_GB2312" w:cs="仿宋_GB2312"/>
      <w:color w:val="000000"/>
      <w:sz w:val="24"/>
      <w:szCs w:val="24"/>
      <w:u w:val="none"/>
    </w:rPr>
  </w:style>
  <w:style w:type="character" w:customStyle="1" w:styleId="20">
    <w:name w:val="font71"/>
    <w:basedOn w:val="14"/>
    <w:qFormat/>
    <w:uiPriority w:val="0"/>
    <w:rPr>
      <w:rFonts w:hint="eastAsia" w:ascii="宋体" w:hAnsi="宋体" w:eastAsia="宋体" w:cs="宋体"/>
      <w:color w:val="FF0000"/>
      <w:sz w:val="20"/>
      <w:szCs w:val="20"/>
      <w:u w:val="none"/>
    </w:rPr>
  </w:style>
  <w:style w:type="paragraph" w:customStyle="1" w:styleId="2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22">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1308</Words>
  <Characters>1456</Characters>
  <Lines>0</Lines>
  <Paragraphs>0</Paragraphs>
  <TotalTime>2</TotalTime>
  <ScaleCrop>false</ScaleCrop>
  <LinksUpToDate>false</LinksUpToDate>
  <CharactersWithSpaces>1478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2024-03-17T11:08:00Z</dcterms:created>
  <dc:creator>user</dc:creator>
  <cp:lastModifiedBy>user</cp:lastModifiedBy>
  <cp:lastPrinted>2025-03-27T07:35:00Z</cp:lastPrinted>
  <dcterms:modified xsi:type="dcterms:W3CDTF">2025-09-25T15:33:36Z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eyJoZGlkIjoiMDczZDRhNGNlNzczZTkwZmYyOTYzMTg2ODcyNmRmMWYiLCJ1c2VySWQiOiIxMTcyMjczOTM1In0=</vt:lpwstr>
  </property>
  <property fmtid="{D5CDD505-2E9C-101B-9397-08002B2CF9AE}" pid="4" name="ICV">
    <vt:lpwstr>022D654F35D84E3D980B6A0DF7D49405_12</vt:lpwstr>
  </property>
</Properties>
</file>