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tbl>
      <w:tblPr>
        <w:tblStyle w:val="13"/>
        <w:tblpPr w:leftFromText="180" w:rightFromText="180" w:vertAnchor="text" w:horzAnchor="page" w:tblpX="1602" w:tblpY="103"/>
        <w:tblOverlap w:val="never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138"/>
        <w:gridCol w:w="666"/>
        <w:gridCol w:w="1068"/>
        <w:gridCol w:w="1176"/>
        <w:gridCol w:w="1027"/>
        <w:gridCol w:w="68"/>
        <w:gridCol w:w="570"/>
        <w:gridCol w:w="133"/>
        <w:gridCol w:w="452"/>
        <w:gridCol w:w="384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（202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2024年小微项目惠民生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     预算数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预算数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执行数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19.749594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19.749594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19.749594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19.749594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19.749594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19.749594</w:t>
            </w: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实施德邑新时空小区接入市政污水管线项目，以解决小区污水排放不畅的情况，改善小区居民居住环境。</w:t>
            </w:r>
          </w:p>
        </w:tc>
        <w:tc>
          <w:tcPr>
            <w:tcW w:w="33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达到预期指标。德邑新时空小区接入市政污水管线项目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完工</w:t>
            </w:r>
            <w:r>
              <w:rPr>
                <w:rFonts w:hint="eastAsia" w:ascii="宋体" w:hAnsi="宋体" w:cs="宋体"/>
                <w:sz w:val="18"/>
                <w:szCs w:val="18"/>
              </w:rPr>
              <w:t>，解决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了</w:t>
            </w:r>
            <w:r>
              <w:rPr>
                <w:rFonts w:hint="eastAsia" w:ascii="宋体" w:hAnsi="宋体" w:cs="宋体"/>
                <w:sz w:val="18"/>
                <w:szCs w:val="18"/>
              </w:rPr>
              <w:t>小区污水排放不畅的情况，改善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了</w:t>
            </w:r>
            <w:r>
              <w:rPr>
                <w:rFonts w:hint="eastAsia" w:ascii="宋体" w:hAnsi="宋体" w:cs="宋体"/>
                <w:sz w:val="18"/>
                <w:szCs w:val="18"/>
              </w:rPr>
              <w:t>小区居民居住环境。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新建污水管线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235米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35米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新建污水井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＝3个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246" w:rightChars="-117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专业监理人员数量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=1人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=1人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项目实施质量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验收合格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验收合格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按时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完成支出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底前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资金支出在预算金额内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19.749594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19.749594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小区污水排放情况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定性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畅通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尚可提升，不断改善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排放污水水质指标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定性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尚可提升，不断改善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≥95%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=97%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6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hint="eastAsia"/>
          <w:highlight w:val="yellow"/>
          <w:lang w:eastAsia="zh-CN"/>
        </w:rPr>
      </w:pPr>
    </w:p>
    <w:p>
      <w:pPr>
        <w:pStyle w:val="11"/>
        <w:ind w:left="0" w:leftChars="0" w:firstLine="0" w:firstLineChars="0"/>
        <w:rPr>
          <w:rFonts w:hint="eastAsia"/>
          <w:highlight w:val="yellow"/>
          <w:lang w:eastAsia="zh-CN"/>
        </w:rPr>
      </w:pPr>
    </w:p>
    <w:p>
      <w:pPr>
        <w:pStyle w:val="11"/>
        <w:ind w:left="0" w:leftChars="0" w:firstLine="0" w:firstLineChars="0"/>
        <w:rPr>
          <w:rFonts w:hint="eastAsia"/>
          <w:highlight w:val="yellow"/>
          <w:lang w:eastAsia="zh-CN"/>
        </w:rPr>
      </w:pPr>
    </w:p>
    <w:p>
      <w:pPr>
        <w:pStyle w:val="11"/>
        <w:ind w:left="0" w:leftChars="0" w:firstLine="0" w:firstLineChars="0"/>
        <w:rPr>
          <w:rFonts w:hint="eastAsia"/>
          <w:highlight w:val="yellow"/>
          <w:lang w:eastAsia="zh-CN"/>
        </w:rPr>
      </w:pPr>
    </w:p>
    <w:p>
      <w:pPr>
        <w:pStyle w:val="11"/>
        <w:ind w:left="0" w:leftChars="0" w:firstLine="0" w:firstLineChars="0"/>
        <w:rPr>
          <w:rFonts w:hint="eastAsia"/>
          <w:highlight w:val="yellow"/>
          <w:lang w:eastAsia="zh-CN"/>
        </w:rPr>
      </w:pPr>
    </w:p>
    <w:p>
      <w:pPr>
        <w:pStyle w:val="11"/>
        <w:ind w:left="0" w:leftChars="0" w:firstLine="0" w:firstLineChars="0"/>
        <w:rPr>
          <w:rFonts w:hint="eastAsia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br w:type="page"/>
      </w:r>
    </w:p>
    <w:tbl>
      <w:tblPr>
        <w:tblStyle w:val="13"/>
        <w:tblpPr w:leftFromText="180" w:rightFromText="180" w:vertAnchor="text" w:horzAnchor="page" w:tblpX="1591" w:tblpY="-270"/>
        <w:tblOverlap w:val="never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1114"/>
        <w:gridCol w:w="1034"/>
        <w:gridCol w:w="921"/>
        <w:gridCol w:w="202"/>
        <w:gridCol w:w="355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财源建设工作专项-宣传标识购置项目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通州区文景街道办事处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39.6131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39.6131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39.6131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39.6131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39.6131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39.6131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为打造宜居、宜业、宜商的辖区形象，结合北京“两区”重点园区（组团）发展提升专项行动要求，根据辖区特性，通过在辖区重点点位增设宣传标识，有效提升文化旅游区整体环境品质，深化“两区”建设宣传推广效果，切实增强文化旅游区招商引资的核心竞争力。</w:t>
            </w:r>
          </w:p>
        </w:tc>
        <w:tc>
          <w:tcPr>
            <w:tcW w:w="34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在辖区重点点位购置安装两区宣传景观字、道旗、道路指引牌和四面立柱等，有效扩大“两区”宣传效果，并进一步提升了辖区整体环境品质。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两区”宣传景观字数量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=1个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结合文旅区特点的显著标识数量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=1个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“两区”宣传四面立柱数量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=4个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=4个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“两区”道路指引牌数量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=1个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“两区”宣传道旗数量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=200面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=200面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宣传标识符合两区标识应用规范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符合要求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符合要求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结合文旅区特点的显著标识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符合要求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基本符合要求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标识显著度需提高，可进一步突出辖区特色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资金支出控制在预算范围内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39.6131万元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=39.6131万元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预算成本可进一步控制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文化旅游区整体环境品质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进一步提升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进一步提升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尚可提升，不断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“两区”工作宣传效果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有效深化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有效深化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尚可提升，不断完善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游客满意度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基本满意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基本满意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6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hint="eastAsia"/>
          <w:highlight w:val="yellow"/>
          <w:lang w:eastAsia="zh-CN"/>
        </w:rPr>
      </w:pPr>
    </w:p>
    <w:p>
      <w:pPr>
        <w:pStyle w:val="2"/>
        <w:ind w:left="0" w:leftChars="0" w:firstLine="0" w:firstLineChars="0"/>
      </w:pPr>
    </w:p>
    <w:p>
      <w:pPr>
        <w:pStyle w:val="3"/>
        <w:numPr>
          <w:ilvl w:val="3"/>
          <w:numId w:val="0"/>
        </w:numPr>
        <w:ind w:leftChars="0"/>
      </w:pPr>
    </w:p>
    <w:p/>
    <w:p>
      <w:pPr>
        <w:pStyle w:val="3"/>
        <w:numPr>
          <w:ilvl w:val="3"/>
          <w:numId w:val="0"/>
        </w:numPr>
        <w:ind w:leftChars="0"/>
      </w:pPr>
    </w:p>
    <w:p/>
    <w:tbl>
      <w:tblPr>
        <w:tblStyle w:val="1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222"/>
        <w:gridCol w:w="582"/>
        <w:gridCol w:w="1166"/>
        <w:gridCol w:w="1200"/>
        <w:gridCol w:w="832"/>
        <w:gridCol w:w="323"/>
        <w:gridCol w:w="232"/>
        <w:gridCol w:w="289"/>
        <w:gridCol w:w="236"/>
        <w:gridCol w:w="600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202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2024年第二批小微项目惠民生资金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     预算数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预算数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执行数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120.397152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120.397152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120.397152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120.397152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120.397152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120.397152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增设合理足够的非机动车停放场地。设立私家车和共享单车独立停放区，改善非机动车停车秩序，降低管理成本。</w:t>
            </w:r>
          </w:p>
        </w:tc>
        <w:tc>
          <w:tcPr>
            <w:tcW w:w="32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满足居民日常通勤停放需求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，机动车非机动车停放秩序得到改善。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道路拓宽面积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＝3200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平方米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＝3200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平方米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停放车辆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≥1500辆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1500辆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246" w:rightChars="-117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专业监理人员数量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=1人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=1人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246" w:rightChars="-117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修建车棚面积</w:t>
            </w:r>
          </w:p>
          <w:p>
            <w:pPr>
              <w:widowControl/>
              <w:ind w:right="-246" w:rightChars="-117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≥800平方米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800平方米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项目实施质量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监理验收合格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验收合格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月底前完成支出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月完成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资金支出在预算金额内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120.3971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120.3971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道路优化提升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定性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畅通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尚可提升，不断改善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居民停放需求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定性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得到满足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尚可提升，不断改善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≥95%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=97%</w:t>
            </w:r>
          </w:p>
        </w:tc>
        <w:tc>
          <w:tcPr>
            <w:tcW w:w="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eastAsia="宋体"/>
          <w:b w:val="0"/>
          <w:bCs w:val="0"/>
          <w:lang w:val="en-US"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b w:val="0"/>
          <w:bCs w:val="0"/>
          <w:lang w:val="en-US"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13"/>
        <w:tblpPr w:leftFromText="180" w:rightFromText="180" w:vertAnchor="text" w:horzAnchor="page" w:tblpX="1630" w:tblpY="501"/>
        <w:tblOverlap w:val="never"/>
        <w:tblW w:w="88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987"/>
        <w:gridCol w:w="817"/>
        <w:gridCol w:w="1149"/>
        <w:gridCol w:w="1265"/>
        <w:gridCol w:w="1096"/>
        <w:gridCol w:w="507"/>
        <w:gridCol w:w="477"/>
        <w:gridCol w:w="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883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83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（202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2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通州区接诉即办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算数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算数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246.064681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246.064681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246.064681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246.064681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246.064681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246.064681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exac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1.持续提升社区治理的精细化水平，保障各项工作平稳有序推进；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2.为群众办实事，有效解决群众的急难愁盼问题；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维护辖区环境秩序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改善居住环境，提升居民生活质量；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4.保障街道网格化业务开展，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做好冬季扫雪铲冰工作。提升小区供暖效率、供暖安全。保障小区电力供应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5.维护辖区安全稳定，有效消除安全隐患。</w:t>
            </w: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有序开展各项工作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达成预期指标。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有效解决群众诉求，优化民生服务，管道清洗，抽污，满足日常生活；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2.解决居民诉求，消除安全隐患，沉积物深度清理；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3.解决物业管理类群众诉求，提高辖区居民满意度；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及时购买扫雪铲冰社保保障居民安全出行。通过电力、热力管道改造维修保障居民供热供电质量和安全；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提升了社区管理的智慧化程度，提高了社区居住的安全指数；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填补辖区运粮银河路监控盲区，提升辖区安全指数；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进一步优化了安全情况。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57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一级指标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二级指标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三级指标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年度</w:t>
            </w:r>
          </w:p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指标值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实际</w:t>
            </w:r>
          </w:p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完成值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分值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得分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产出指标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数量指标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打草及可燃物清理总面积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≥38730平方米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43076.58平方米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排水管根数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30根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30根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排水管项目施工人数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5人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购置监测芯片数量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133个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购置物联网卡数量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40个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安装摄像头数量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=25个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=25个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原管道拆除长度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＝2280米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＝2280米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新换PPR75塑料管长度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200米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=240米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新换PPR63塑料管长度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2000米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=2040米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采购扫雪机数量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7个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=7个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铺设电缆长度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750米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=750米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步道砖破损修复面积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≥80平方米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=80平方米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吸污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≥870立方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870立方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管道清洗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长度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≥2402米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2402米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修补漏雨点位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≥36处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36处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安装雨落管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长度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133米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133米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铸铁雨篦子、井盖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≥5套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5套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清理化粪池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≥6组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6组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质量指标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排水管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施工材质符合国家标准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  <w:t>符合要求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  <w:t>符合要求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材质可进一步提升，延长使用寿命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曹园逸家小区智慧门禁平台和电动自行车管理平台使用效果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运粮引河路监控效果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扫雪机质量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良好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吸污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Hans"/>
              </w:rPr>
              <w:t>尚可提升，不断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管道清洗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Han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修补漏雨点位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Hans"/>
              </w:rPr>
              <w:t>尚可提升，不断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安装雨落管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Han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铸铁雨篦子、井盖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Han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清理化粪池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验收合格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Han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时效指标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打草及可燃物清理总时长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2.5月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=2.5月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可更合理分配时间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年12月底前完成支出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年12月底前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年12月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成本指标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资金支出在预算金额内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246.064681万元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=246.064681万元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效益指标</w:t>
            </w:r>
          </w:p>
        </w:tc>
        <w:tc>
          <w:tcPr>
            <w:tcW w:w="9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社会效益</w:t>
            </w:r>
          </w:p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指标</w:t>
            </w:r>
          </w:p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辖区智慧化管理水平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得到提升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得到提升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尚可提升，不断完善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群众安全出行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得到保障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得到保障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供暖及电力供应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得到保障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得到保障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生态效益</w:t>
            </w:r>
          </w:p>
          <w:p>
            <w:pPr>
              <w:widowControl/>
              <w:suppressAutoHyphens/>
              <w:bidi w:val="0"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锅炉房废水妥善处理和排放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锅炉房汛期院内环境改善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环境得到改善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尚可提升，不断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辖区环境水平提升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得到提升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得到提升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可持续影响指标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可燃物清理服务降低火灾风险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降低火灾风险，确保平稳过冬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整体安全形势较好，偶有小型草木垃圾火灾</w:t>
            </w: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加强消防安全检查培训调度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解决群众诉求，消除安全隐患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符合规定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符合需求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Han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满意度</w:t>
            </w:r>
          </w:p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服务对象满意度指标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辖区居民满意感、幸福感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有所提升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有所提升</w:t>
            </w: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6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总分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100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" w:eastAsia="zh-CN"/>
              </w:rPr>
              <w:t>3</w:t>
            </w:r>
            <w:bookmarkStart w:id="5" w:name="_GoBack"/>
            <w:bookmarkEnd w:id="5"/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13"/>
        <w:tblW w:w="8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62"/>
        <w:gridCol w:w="13"/>
        <w:gridCol w:w="1234"/>
        <w:gridCol w:w="598"/>
        <w:gridCol w:w="1127"/>
        <w:gridCol w:w="137"/>
        <w:gridCol w:w="1108"/>
        <w:gridCol w:w="1014"/>
        <w:gridCol w:w="621"/>
        <w:gridCol w:w="83"/>
        <w:gridCol w:w="517"/>
        <w:gridCol w:w="329"/>
        <w:gridCol w:w="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83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83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202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2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文化旅游区战略留白地块临时绿化工程建设资金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算数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算数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82.577169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82.577169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82.577169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82.577169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82.577169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82.577169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对文旅区战略留白地块进行临时绿化，保障文旅区绿化建设。</w:t>
            </w:r>
          </w:p>
        </w:tc>
        <w:tc>
          <w:tcPr>
            <w:tcW w:w="30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完成绿化工程，提升文旅区绿化面积。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绿化面积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东文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  <w:lang w:val="en-US" w:eastAsia="zh-CN"/>
              </w:rPr>
              <w:t>200000平方米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214154平方米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园路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  <w:lang w:val="en-US" w:eastAsia="zh-CN"/>
              </w:rPr>
              <w:t>1700平方米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1787平方米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灌溉给水管线总长度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  <w:lang w:val="en-US" w:eastAsia="zh-CN"/>
              </w:rPr>
              <w:t>1000米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1100米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决算评审合格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Hans"/>
              </w:rPr>
              <w:t>按时完成支出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年12月底前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年12月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资金支出在预算金额内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82.5771万元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82.5771万元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战略留白地块环境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得到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得到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尚可提升，不断改善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辖区居民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Hans"/>
              </w:rPr>
              <w:t>满意度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%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7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tbl>
      <w:tblPr>
        <w:tblStyle w:val="1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1114"/>
        <w:gridCol w:w="169"/>
        <w:gridCol w:w="938"/>
        <w:gridCol w:w="1050"/>
        <w:gridCol w:w="538"/>
        <w:gridCol w:w="233"/>
        <w:gridCol w:w="376"/>
        <w:gridCol w:w="460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（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文心筑梦景绘家苑”文化活动项目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38.88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38.88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38.88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38.88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38.88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38.88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为进一步传承中华优秀传统文化，促进多元文化间的交往交流交融，提升地区文化软实力，文景街道以“文心筑梦 景绘家苑”基层文化交流项目为依托，打造文景辖区“有传承”“有队伍”“有活动”“有服务”“有成效”的文化品牌，通过“文化+N”多元结合的方式，推动中华文化走近群众、走向世界，增强文化自信，促进城市副中心文化和旅游高质量发展迈上新台阶取得新成效。</w:t>
            </w:r>
          </w:p>
        </w:tc>
        <w:tc>
          <w:tcPr>
            <w:tcW w:w="33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。项目在文景辖区成功举办了12场基层传统文化传承活动，涵盖了书法、篆刻、面塑、草编、掐丝珐琅、扎染等传统艺术体验。结合传统节日和中心工作，项目还成功举办“相约夏末·YUE动街头”主题活动暨文景街道消夏音乐会、“粽情端午 乐享民俗”端午文化活动等4场文化主题活动，并举办了“光影无界 文化交融”主题摄影展，这些活动不仅促进了中外文化以及传统与现代文化的融合，丰富居民的文化生活，还通过艺术展演增强了传统文化的感染力，进一步推动了优秀文化的传承与弘扬。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Hans"/>
              </w:rPr>
              <w:t>传统文化传承活动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≥6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场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Hans"/>
              </w:rPr>
              <w:t>文化主题活动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≥4场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＝5场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Hans"/>
              </w:rPr>
              <w:t>特色文化队伍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≥3支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＝3支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Hans"/>
              </w:rPr>
              <w:t>按时完成电影放映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按时完成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按时完成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成果展示视频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1条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项目资金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≤40万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38.88万元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环球员工传统文化认同感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得到提升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得到提升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尚可提升，不断完善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辖区基层文化交流成效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得到提升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得到提升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尚可提升，不断完善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Hans"/>
              </w:rPr>
              <w:t>活动、培训课程参与人员满意度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%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13"/>
        <w:tblpPr w:leftFromText="180" w:rightFromText="180" w:vertAnchor="text" w:horzAnchor="page" w:tblpX="1625" w:tblpY="264"/>
        <w:tblOverlap w:val="never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130"/>
        <w:gridCol w:w="664"/>
        <w:gridCol w:w="856"/>
        <w:gridCol w:w="257"/>
        <w:gridCol w:w="727"/>
        <w:gridCol w:w="427"/>
        <w:gridCol w:w="635"/>
        <w:gridCol w:w="450"/>
        <w:gridCol w:w="496"/>
        <w:gridCol w:w="92"/>
        <w:gridCol w:w="581"/>
        <w:gridCol w:w="204"/>
        <w:gridCol w:w="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928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（2024年度）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exact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社会部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-社会建设资金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6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北京市通州区文景街道办事处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北京市通州区文景街道办事处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     预算数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     预算数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5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exac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“村居融乐”基层社会工作服务项目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1.完善文景街道社会工作服务中心标准化建设；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2.开展1场社区社会组织参访研学活动；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3.聚焦特殊群体，开展20个个案、2个小组、6场社区活动，推动基层治理工作；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4.为社会工作服务提供不少于60小时的督导，3次参访研学活动，提升服务的专业性；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5.提炼10个优秀社会工作服务案例，总结1个社会工作服务中心的品牌服务模式。</w:t>
            </w:r>
          </w:p>
        </w:tc>
        <w:tc>
          <w:tcPr>
            <w:tcW w:w="55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达到预期指标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完成10个制度上墙：人员管理制度、财务管理制度、志愿者管理制度、档案管理制度、场所管理制度、个案工作流程、小组活动流程、社区活动的流程、探访流程、建档流程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组织3场参访研学活动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通过学习参观，达到开拓思路，探索基层治理的目标。组织社区社会组织成员进行1场外出参观交流活动，通过走访优秀社区，互相交流经验，分享参与基层治理的心得体会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个案：针对独居老人、困境家庭，以及社区重点诉求人开展20个个案服务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小组活动：开展2场小组活动，包括1场亲子沟通能力提升和1场老年支持小组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社区活动：开展1场青少年志愿者动员活动、1场中老年志愿者动员活动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2场节日主题志愿服务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2场文明养犬主题基层治理志愿服务活动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开展“社工个人工作能力提升”“有效沟通技巧”“接诉即办工作技巧”“社区工作实务与基层治理”“居民关系的建立”等多个主题的9场29个小时的团体督导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及10人次的31个小时的社工个人工作能力、沟通能力及心理疏解个人督导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打造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10个优秀案例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一个社工站品牌服务模式。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活动（含培训）场次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＝10场次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=10场次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专业督导时常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≥60小时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=60小时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开展个案服务人次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＝20人次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＝20人次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建立2个小组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＝2个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＝2个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提炼优秀社会工作服务案例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＝10个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＝10个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活动质量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符合项目协议要求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符合项目协议要求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年12月底前完成支出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年12月底前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月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个案咨询服务费用每小时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≤500元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=500元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专业督导讲师费用每小时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≤500元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≤500元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试点小区社会动员能力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有所提升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有所提升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尚可提升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，不断完善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街道级社会工作服务中心规范化建设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符合规定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符合需求</w:t>
            </w:r>
          </w:p>
        </w:tc>
        <w:tc>
          <w:tcPr>
            <w:tcW w:w="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≥90%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＝95%</w:t>
            </w:r>
          </w:p>
        </w:tc>
        <w:tc>
          <w:tcPr>
            <w:tcW w:w="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尚可提升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，不断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6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94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1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1114"/>
        <w:gridCol w:w="169"/>
        <w:gridCol w:w="840"/>
        <w:gridCol w:w="946"/>
        <w:gridCol w:w="202"/>
        <w:gridCol w:w="355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064"/>
              </w:tabs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“基层治理+村居融合”基层工作经费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永丰里小区管理专班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永丰里小区管理专班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26.0475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26.0475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26.0475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26.0475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26.0475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26.0475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为保障居民日常社区娱乐休闲需求，提供更加舒适的生活环境。</w:t>
            </w:r>
          </w:p>
        </w:tc>
        <w:tc>
          <w:tcPr>
            <w:tcW w:w="34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按照居民意见及需求，为永丰里小区增添100处公园长椅，15处象棋桌椅以及一处宣传栏，满足居民娱乐休闲需求。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公园长椅数量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=100把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100=100把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象棋桌椅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=15张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=15张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宣传栏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绘制管线图纸数量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=10张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=10张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数量无误，质量合格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保质保量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图纸精细度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部分线路不清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尚可提升，不断完善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年12月底前完成支出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年12月底前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采购总金额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14.8万元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145475元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公共服务质量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有效提高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居民娱乐休闲需求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定性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得到保障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辖区居民满意度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13"/>
        <w:tblW w:w="87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159"/>
        <w:gridCol w:w="645"/>
        <w:gridCol w:w="888"/>
        <w:gridCol w:w="475"/>
        <w:gridCol w:w="441"/>
        <w:gridCol w:w="505"/>
        <w:gridCol w:w="470"/>
        <w:gridCol w:w="592"/>
        <w:gridCol w:w="553"/>
        <w:gridCol w:w="462"/>
        <w:gridCol w:w="283"/>
        <w:gridCol w:w="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72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72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 2024年度）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7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2024年三馆一站免费开放补助资金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北京市通州区文景街道办事处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北京市通州区文景街道办事处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     预算数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     预算数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     执行数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60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提高基层文化管理人员素质和能力；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2.形成动态化管理的基层公共文化资源数据库；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3.保质保量完成效能评估及考核工作；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4.引导辖区企业员工和小区居民积极参与到文化活动中，提升精神素养；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5.满足居民不断增长的文化生活需求。</w:t>
            </w:r>
          </w:p>
        </w:tc>
        <w:tc>
          <w:tcPr>
            <w:tcW w:w="44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200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达成预期指标。全面保障文景街道综合文化中心免费开放，保供热、保日常用电。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  <w:t>提高基层文化管理人员素质和能力，通过满意度调查结果，完善文化中心预约制度、场馆使用制度等，增加活动种类，满足居民不断增长的文化生活需求。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其中，辅导完成2024年文景街道综合文化中心效能评估电子版验收材料1套、2024年文景街道综合文化中心材料审核电子版1套、2024年文景街道综合文化中心年度验收材料电子版1版及满意度调查成果电子版1版。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保障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文化用房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用电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及供暖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时间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=1年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1年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BCD区文化用房总建筑面积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2505.19平方米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2505.19平方米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文化用房电费及供暖费-场馆日常保障情况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文化中心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电供暖正常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一切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正常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按照市区要求，需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年1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月底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前完成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支出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2024年12月底前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2024年12月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成本指标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街道级资料及年度验收材料辅导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≤47750元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47750元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可进一步提高质量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公众满意度调查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成本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≤52250元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52250元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可进一步压缩成本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每平米供暖费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=43元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=43元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一度电单价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=1.1元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保证综合文化中心运营开放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基本满足居民需求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符合市区有关要求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免费开放，活动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丰富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、场数多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群众满意度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满意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94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1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89"/>
        <w:gridCol w:w="575"/>
        <w:gridCol w:w="430"/>
        <w:gridCol w:w="827"/>
        <w:gridCol w:w="162"/>
        <w:gridCol w:w="1084"/>
        <w:gridCol w:w="554"/>
        <w:gridCol w:w="339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（2024年度）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结构性资金—通州区图书馆文景街道分馆装修改造项目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     预算数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     预算数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57.733118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57.733118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57.733118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57.733118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57.733118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0" w:name="OLE_LINK5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57.733118</w:t>
            </w:r>
            <w:bookmarkEnd w:id="0"/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50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为贯彻落实《北京市公共文化服务体系示范区建设标准》，巩固提升街道公共文化服务体系示范区建设工作，统筹辖区文体用房，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建设</w:t>
            </w:r>
            <w:bookmarkStart w:id="1" w:name="OLE_LINK1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通州区图书馆文景街道分馆</w:t>
            </w:r>
            <w:bookmarkEnd w:id="1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并投入使用。按照文体用房实际情况设计，房屋面积625.35平方米，一是主要分为图书借阅区、成人阅览区及儿童阅读区，拟</w:t>
            </w:r>
            <w:bookmarkStart w:id="2" w:name="OLE_LINK2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设置坐席</w:t>
            </w:r>
            <w:bookmarkEnd w:id="2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≥35个，需进行装修及家具采买；二是根据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  <w:t>≥35个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要求，对卫生间、热水间等区域进行装修改造；三是地砖部分进行找平，铺设地胶，墙面裂缝补齐并重新粉刷等。</w:t>
            </w:r>
          </w:p>
        </w:tc>
        <w:tc>
          <w:tcPr>
            <w:tcW w:w="45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达到预期指标。24年10月10日完成通州区图书馆文景街道分馆的基础装修，总面积625.35平方米，馆藏图书1万余册，涵盖了文学、科学、历史、艺术等多个领域，馆内设有成人阅览区和儿童阅览区，分区管理，设置坐席44个，可以满足不同年龄段、不同兴趣爱好读者的阅读需求。馆内配备了自助借还书系统、自助办卡系统、智能阅报系统等多元化服务设施，让借阅过程更加便捷高效。同时，图书馆还与首都图书馆、通州区图书馆系统联网，实现了通借通还，真正让书香飘满社区，让知识触手可及。本次项目遵循主题化、信息化、现代化的理念，并结合多媒体沉浸式体验使周边居民获得更多参与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装修面积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625.35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625.35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提供座位席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3" w:name="OLE_LINK3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≥35个</w:t>
            </w:r>
            <w:bookmarkEnd w:id="3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44个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竣工验收合格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4" w:name="OLE_LINK4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符合监理公司验收标准</w:t>
            </w:r>
            <w:bookmarkEnd w:id="4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符合监理公司验收标准，建设单位验收合格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工期总日历天数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≤60天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45天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成本指标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项目建设费用控制在预算内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615486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=577331.18元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图书馆对外开放后到访率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≥85%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84%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尚可提升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不断改善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5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群众满意度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满意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基本满意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尚可提升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不断改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1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1038"/>
        <w:gridCol w:w="1154"/>
        <w:gridCol w:w="1004"/>
        <w:gridCol w:w="507"/>
        <w:gridCol w:w="339"/>
        <w:gridCol w:w="192"/>
        <w:gridCol w:w="644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财源建设工作专项-“以文塑旅绘新景”文景街道财源建设及文旅活动季项目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通州区文景街道办事处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48.157618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48.157618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48.157618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48.157618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48.157618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48.157618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强化文景街道财源建设工作，按时按量完成绩效考核的同时，有效利用好辖区空地资源，真正做到让文化旅游区热起来，高质量推动辖区产业发展，为后续入驻企业的商业生态建设及产业赋能发展打下坚实的基础。</w:t>
            </w:r>
          </w:p>
        </w:tc>
        <w:tc>
          <w:tcPr>
            <w:tcW w:w="3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开展3场招商推介会，邀请80余家餐饮品牌、主理人品牌负责人到文旅区深入了解湾里、通马路等TOD项目情况，增进多方合作；开展一次企业交流会活动，了解辖区企业情况，优化服务保障工作；开展一次自然摄影展，千余名市民、游客参与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完成值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分值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得分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招商推介会场次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=2场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=2场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企业交流赛事场次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=1场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企业交流会场次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=1场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艺术摄影展场次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=1场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资金支出在预算范围内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50万元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48.16万元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预算成本可进一步控制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辖区财源建设工作服务质量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得到提升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得到提升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尚可提升，不断完善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辖区企业及推介会参会企业满意度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=90%</w:t>
            </w: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13"/>
        <w:tblW w:w="9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199"/>
        <w:gridCol w:w="605"/>
        <w:gridCol w:w="918"/>
        <w:gridCol w:w="1364"/>
        <w:gridCol w:w="1097"/>
        <w:gridCol w:w="663"/>
        <w:gridCol w:w="710"/>
        <w:gridCol w:w="126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57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57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（202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2023年通州区文景街道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重点区域精细化管控项目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     预算数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预算数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执行数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32.77737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32.77737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32.77737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32.77737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32.77737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32.77737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改善空气质量。2023年，PM2.5累计浓度进入全市后30的次数实现同比减少。</w:t>
            </w:r>
          </w:p>
        </w:tc>
        <w:tc>
          <w:tcPr>
            <w:tcW w:w="3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达成预期指标。在通州区整体空气质量不利的情况下，文景街道PM2.5排名全区第一，督查考核排名全区第一。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pStyle w:val="12"/>
              <w:ind w:firstLine="36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pStyle w:val="12"/>
              <w:ind w:firstLine="36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精细化长效巡查人员数量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Style w:val="23"/>
                <w:rFonts w:hint="default"/>
                <w:sz w:val="18"/>
                <w:szCs w:val="18"/>
                <w:lang w:bidi="ar"/>
              </w:rPr>
              <w:t>6人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=6人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草籽补种、绿网苫盖和草木浇水灌溉面积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≥70000平方米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=71650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精细化清扫保洁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≥50000平方米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=58800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污染源发现及时、处置及时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每日巡查上报处置问题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符合规定要求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尚可提升，不断改善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重点区域内裸地动态清零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春夏季草木覆盖率100%，秋冬季裸地绿网覆盖率100%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符合规定要求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道路、子站周边环境干净整洁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每日清洁，环境良好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符合规定要求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年11月前完成支出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年11月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资金支出在预算金额内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32.7773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32.7773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环境治理精细化程度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有所增强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有所增强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尚可提升，不断改善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环境秩序整洁有序程度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得到提升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得到提升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尚可提升，不断改善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辖区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空气质量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得到提升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得到提升，空气质量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全区排名第一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≥80%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=85%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6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1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980"/>
        <w:gridCol w:w="134"/>
        <w:gridCol w:w="847"/>
        <w:gridCol w:w="1015"/>
        <w:gridCol w:w="65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文景街道2024年度人口抽样调查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通州区文景街道办事处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0.36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0.36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0.36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0.36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0.36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0.36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7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按照《北京市人民政府办公厅关于开展年度人口抽样调查工作的通知》（京政办发〔2011〕39号）要求，配合开展2024年度人口抽样调查工作，推算出全通州区2024年常住人口结构情况，为政府制定各项公共政策提供人口数据支持</w:t>
            </w: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完成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文景街道2024年度人口抽样调查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工作，合适样本区块2个，调查单元80户。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样本区块数量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=2个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2个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住房单元数量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=80个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80个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符合支出进度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2024年12月5日前支出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已支出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尚可进一步提高支出速度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调查员补贴标准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=3600元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3600元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辖区常驻人口结构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有效掌握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有效掌握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尚可提升，不断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政府公共政策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提供数据支撑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提供数据支撑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尚可提升，不断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被调查群众满意度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基本满意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基本满意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13"/>
        <w:tblpPr w:leftFromText="180" w:rightFromText="180" w:vertAnchor="text" w:horzAnchor="page" w:tblpX="1225" w:tblpY="512"/>
        <w:tblOverlap w:val="never"/>
        <w:tblW w:w="95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199"/>
        <w:gridCol w:w="712"/>
        <w:gridCol w:w="892"/>
        <w:gridCol w:w="1395"/>
        <w:gridCol w:w="1590"/>
        <w:gridCol w:w="570"/>
        <w:gridCol w:w="510"/>
        <w:gridCol w:w="360"/>
        <w:gridCol w:w="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957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957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（202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2024-2025年通州区文景街道重点区域精细化管控项目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     预算数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全年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全年    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106.82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106.82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106.82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106.82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106.82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106.82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通过环境问题专项分析及精准调度进行空气质量综合分析研判;环境问题溯源及管护、常态化开展整个辖区重点问题的溯源工作;环境污染应急保障,在污染来临前、污染过程中和污染结束后分别采取对应的降尘清理服务，每日开展精细化降尘和除尘服务；重点裸地治理苫盖处置、精细化治理等措施。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2024年全年，街道PM2.5浓度值排名全区并列第二；TSP浓度值排名全区第四。实现环境问题精准治理，提升辖区空气水平。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pStyle w:val="12"/>
              <w:ind w:firstLine="36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pStyle w:val="12"/>
              <w:ind w:firstLine="360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重点区域精细化管控及清扫保洁服务月数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常态化保障面积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精细化降尘服务月数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12个月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重点整治裸地面积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1.1万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雾炮车喷洒次数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24次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污染源发现及时、处置及时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每日巡查上报处置问题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符合规定要求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尚可提升，不断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重点区域内裸地动态清零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春夏季草木覆盖率100%，秋冬季裸地绿网覆盖率100%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符合规定要求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道路、子站周边环境干净整洁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每日清洁，环境良好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符合规定要求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年11月前完成支出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年11月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资金支出在预算金额内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106.82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106.82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环境治理精细化程度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有所增强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有所增强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尚可提升，不断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环境秩序整洁有序程度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得到提升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得到提升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尚可提升，不断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空气质量程度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全区排名靠前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街道PM2.5浓度值排名全区并列第二；TSP浓度值排名全区第四。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≥80%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=85%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7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1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12"/>
        <w:gridCol w:w="792"/>
        <w:gridCol w:w="1114"/>
        <w:gridCol w:w="247"/>
        <w:gridCol w:w="982"/>
        <w:gridCol w:w="1020"/>
        <w:gridCol w:w="570"/>
        <w:gridCol w:w="109"/>
        <w:gridCol w:w="431"/>
        <w:gridCol w:w="40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（202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2024年生活垃圾日常管理经费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     预算数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执行数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20.82101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20.82101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20.82101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20.82101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20.82101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20.82101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通过安排垃圾分类指导员提升小区居民垃圾分类三率。</w:t>
            </w:r>
          </w:p>
        </w:tc>
        <w:tc>
          <w:tcPr>
            <w:tcW w:w="32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小区居民垃圾分类三率得到一定的提高。小区垃圾分类设施得到维护，方便居民投放垃圾。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垃圾分类桶前值守点位数量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=4人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=4人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每日值守时长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≥6小时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=8小时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垃圾分类设施维修小区数量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≥6场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=8场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垃圾分类入户宣传人数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≥30次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=41次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垃圾分类正确投放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正确投放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基本正确投放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尚可提升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，不断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right="-239" w:rightChars="-114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垃圾分类桶前值守员年龄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≤65岁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符合要求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年11月底前完成支出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年11月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年11月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资金支出在预算金额内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20.8210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20.8210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居民垃圾分类意识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得到提升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得到提升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尚可提升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，不断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小区卫生环境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得到改善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得到改善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99" w:leftChars="-95" w:right="-263" w:rightChars="-125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</w:t>
            </w:r>
          </w:p>
          <w:p>
            <w:pPr>
              <w:widowControl/>
              <w:spacing w:line="240" w:lineRule="exact"/>
              <w:ind w:left="-199" w:leftChars="-95" w:right="-263" w:rightChars="-125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群众满意度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≥95%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=96%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1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923"/>
        <w:gridCol w:w="1026"/>
        <w:gridCol w:w="1016"/>
        <w:gridCol w:w="735"/>
        <w:gridCol w:w="342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202</w:t>
            </w:r>
            <w:r>
              <w:rPr>
                <w:rFonts w:hint="default" w:ascii="宋体" w:hAnsi="宋体" w:cs="宋体"/>
                <w:kern w:val="0"/>
                <w:sz w:val="22"/>
                <w:lang w:val="en-US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统计专网租赁费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     预算数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预算数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执行数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3.06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3.06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3.06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3.06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3.06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3.06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由于统计所日常工作需要连接统计专网，根据街道统计所实际需求，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与中国移动续签专网协议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。每次签订合同时间为1年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保证统计工作正常开展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36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达成预期指标。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统计内网光纤每条每月2550元，全年（202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Hans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5-202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Hans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.4）共计30600元。保证统计工作正常开展，加强信息数据交流，提高审核验收效率，确保数据质量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光纤租赁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光纤租赁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速度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10M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10M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专网使用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效果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稳定畅通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稳定畅通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上年度协议到期前完成续签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一次性全部支出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5月前完成支出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年4月完成支出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光纤租赁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费用在预算内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.06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年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3.06万元/年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保证统计专网正常使用，加强信息数据交流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提高审核验收效率，确保数据质量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提高审核验收效率，确保数据质量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尚可提升，不断完善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使用人员满意度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1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1114"/>
        <w:gridCol w:w="928"/>
        <w:gridCol w:w="957"/>
        <w:gridCol w:w="70"/>
        <w:gridCol w:w="557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区委组织部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-2023年基层党建扶持资金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19.882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19.882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19.882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19.882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19.882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19.882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通过购买党建书籍、党建宣传、培训活动提高党员党性修养。</w:t>
            </w:r>
          </w:p>
        </w:tc>
        <w:tc>
          <w:tcPr>
            <w:tcW w:w="3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达成目标。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购买党建书籍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200本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272本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党建文化宣传展示数量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20个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28个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订阅党报党刊数量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200份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229份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培训学时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16学时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32学时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活动场次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4场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项目支出内容规范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符合规范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符合规范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项目支出审核情况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履行相关流程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履行相关流程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2024年12月底完成支出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2024年12月底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2024年12月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资金支出在预算金额内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≤20万元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=19.882万元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党员党性修养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得到提升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得到提升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尚可提升，不断改善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党员培训效果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得到提升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得到提升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尚可提升，不断改善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党员群众满意度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得到提升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得到提升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13"/>
        <w:tblW w:w="90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51"/>
        <w:gridCol w:w="1027"/>
        <w:gridCol w:w="829"/>
        <w:gridCol w:w="844"/>
        <w:gridCol w:w="1189"/>
        <w:gridCol w:w="1038"/>
        <w:gridCol w:w="936"/>
        <w:gridCol w:w="83"/>
        <w:gridCol w:w="517"/>
        <w:gridCol w:w="329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3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03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文化旅游区基础设施管理费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算数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算数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5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5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对通州文化旅游区市政基础设施项目，包括保护综合管廊20条，市政道路53条，进行项目建设管理。</w:t>
            </w: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完成建设，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项目建设顺利进行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综合管廊管理长度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东文宋体" w:hAnsi="东文宋体" w:eastAsia="东文宋体" w:cs="东文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  <w:lang w:val="en-US" w:eastAsia="zh-CN"/>
              </w:rPr>
              <w:t>22.1千米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东文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东文宋体" w:hAnsi="东文宋体" w:eastAsia="东文宋体" w:cs="东文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  <w:lang w:val="en-US" w:eastAsia="zh-CN"/>
              </w:rPr>
              <w:t>22.1千米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管理市政道路长度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  <w:lang w:val="en-US" w:eastAsia="zh-CN"/>
              </w:rPr>
              <w:t>53千米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53千米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确保项目达到竣工验收标准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Hans"/>
              </w:rPr>
              <w:t>按时完成支出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年12月底前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资金支出在预算金额内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2000万元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2000万元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通过管廊建设管理，保障地下管廊建设质量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得到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保障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" w:eastAsia="zh-CN" w:bidi="ar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得到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保障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通过市政道路建设管理，保障建设质量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得到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保障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得到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保障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Hans"/>
              </w:rPr>
              <w:t>满意度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val="en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Hans"/>
              </w:rPr>
              <w:t>%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1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11"/>
        <w:rPr>
          <w:rFonts w:hint="eastAsia"/>
          <w:lang w:val="en-US" w:eastAsia="zh-CN"/>
        </w:rPr>
      </w:pPr>
    </w:p>
    <w:tbl>
      <w:tblPr>
        <w:tblStyle w:val="13"/>
        <w:tblpPr w:leftFromText="180" w:rightFromText="180" w:vertAnchor="text" w:horzAnchor="page" w:tblpX="1637" w:tblpY="-443"/>
        <w:tblOverlap w:val="never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14"/>
        <w:gridCol w:w="790"/>
        <w:gridCol w:w="987"/>
        <w:gridCol w:w="981"/>
        <w:gridCol w:w="969"/>
        <w:gridCol w:w="746"/>
        <w:gridCol w:w="359"/>
        <w:gridCol w:w="234"/>
        <w:gridCol w:w="602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财源建设工作专项-文旅会客厅启动仪式暨招商推介会服务项目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通州区文景街道办事处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4.824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4.824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4.824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4.824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4.824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4.824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进一步优化辖区营商环境，正式启用集宣传展示、商务交流、活动推介等功能于一身的文旅会客厅，促进辖区企业、项目间的交流合作，同时吸引更多的企业入驻，不断提升文景街道招商引资的竞争力。</w:t>
            </w:r>
          </w:p>
        </w:tc>
        <w:tc>
          <w:tcPr>
            <w:tcW w:w="36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推动开展文旅会客厅启动仪式，邀请30余家企事业单位共同见证财源工作阵地化建设工作，促进辖区项目与参与企业的沟通交流。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会场视觉背景板、签到背板及舞台数量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≤60个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=60个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活动现场服务人数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=6人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=6人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活动场地搭建人数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=6人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=6人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剪彩彩带数量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=1个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=1个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引导牌数量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=6个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=6个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工作证数量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≤10个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=10个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租赁音响设备数量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=1套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=1套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firstLine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租赁沙发、茶几及张贴椅背贴纸数量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=30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=30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firstLine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会场物料质量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品质达标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品质达标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项目资金支出在预算范围内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4.85万元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4.824万元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活动茶歇标准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≤50元/人·次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50元/人·次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预算成本可进一步控制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优化营商环境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有效优化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有效优化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尚可提升，不断改善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招商引资竞争力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得到提升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得到提升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尚可提升，不断改善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企业负责人对活动满意度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反馈良好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反馈良好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1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984"/>
        <w:gridCol w:w="810"/>
        <w:gridCol w:w="517"/>
        <w:gridCol w:w="392"/>
        <w:gridCol w:w="900"/>
        <w:gridCol w:w="1200"/>
        <w:gridCol w:w="612"/>
        <w:gridCol w:w="431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（2024年度）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北京市全民健身示范街道创建项目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6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北京市通州区文景街道办事处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北京市通州区文景街道办事处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     预算数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     预算数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48.84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48.84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48.84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48.84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48.84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48.84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5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通过创建全民健身示范街道的实施方案制定年度目标： 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提高居民的身体健康水平；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提升居民的健身意识和技能水平；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增强社区凝聚力，促进和谐社区建设；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提高居民对全民健身的认同感和满意度。</w:t>
            </w:r>
          </w:p>
        </w:tc>
        <w:tc>
          <w:tcPr>
            <w:tcW w:w="55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完成文景街道体育示范区创建工作，达到预期指标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民传体育课程：链接民族传统体育领域专家讲师或国家社会体育指导员讲师，针对街道范围内居民需求组织开展传统体育授课，其中传统健身气功八段锦开展10课、太极拳开展1课、空竹开展1课、打花棍开展1课、太极扇开展1课，共计14节传统体育课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2.体育活动组织：国家体育锻炼标准测试1次、国民体质促进挑战赛1次、群众性及亲子家庭群体冰雪体验活动1次、青少年及亲子家庭趣味活动2次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全民健身趣味运动会1次、机关单位趣味运动会1次、八段锦展示大赛1次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3.讲座及指导：组织开展以中老年为主青少年为辅的科学健身讲座4次、组织开展包括文体专干、团队骨干在内的培训交流活动4次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4.体育健身宣传：通过悬挂宣传标语、张贴宣传海报、开展专题讲座等形式，广泛宣传体育健身知识，提高居民的体育健身素养现阶段在永丰里、曹园两小区内完成第一二季度海报张贴共6点位12次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全年举办活动次数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≥15场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17次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群众健身指导培训次数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≥7场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8次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举办运动比赛次数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≥1次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3次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举办体质测试活动次数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≥1次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2次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活动安全保障情况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无重大安全事件发生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活动赛事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无人伤亡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成本指标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全部培训活动经费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≤110000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96922元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每场体质测试活动经费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≤75000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66170元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辖区群众健身需求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活动多样，场次多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活动多样，参与人群多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尚可提升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，不断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辖区群众对活动的认同感和满意度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13"/>
        <w:tblpPr w:leftFromText="180" w:rightFromText="180" w:vertAnchor="text" w:horzAnchor="page" w:tblpX="1545" w:tblpY="-362"/>
        <w:tblOverlap w:val="never"/>
        <w:tblW w:w="90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62"/>
        <w:gridCol w:w="13"/>
        <w:gridCol w:w="1234"/>
        <w:gridCol w:w="598"/>
        <w:gridCol w:w="1127"/>
        <w:gridCol w:w="998"/>
        <w:gridCol w:w="958"/>
        <w:gridCol w:w="924"/>
        <w:gridCol w:w="83"/>
        <w:gridCol w:w="517"/>
        <w:gridCol w:w="329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903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903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2024年水务改革发展专项转移支付资金（河长制奖补资金）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北京市通州区文景街道办事处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算数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算数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48.4126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48.4126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48.4126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48.4126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48.4126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48.4126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切实推进文化旅游区河道治理管护工作，妥善处理河道管护范围内的环境秩序问题，有效提升文化旅游区水环境水平。</w:t>
            </w:r>
          </w:p>
        </w:tc>
        <w:tc>
          <w:tcPr>
            <w:tcW w:w="35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对辖区内南大沟、萧太后河、萧太后河分洪渠三条河的河道、河坡开展垃圾、杂物、漂浮物等集中清理。2024年文景街道在河长办开展的每月水环境问题整改排名中位列第一。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辖区内需清理河坡面积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417780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平方米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417780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平方米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辖区内需清理河道面积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398750平方米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398750平方米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妥善处理河道管护范围内的环境秩序问题，有效提升文化旅游区水环境水平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有效提升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有效提升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按时完成支出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年12月底前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资金支出在预算金额内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48.4126</w:t>
            </w:r>
            <w:r>
              <w:rPr>
                <w:rStyle w:val="17"/>
                <w:rFonts w:hint="eastAsia" w:ascii="宋体" w:hAnsi="宋体" w:eastAsia="宋体" w:cs="宋体"/>
                <w:sz w:val="18"/>
                <w:szCs w:val="18"/>
                <w:lang w:bidi="ar"/>
              </w:rPr>
              <w:t>万元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48.4126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河道环境秩序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得到提升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得到提升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尚可提升，不断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Hans"/>
              </w:rPr>
              <w:t>满意度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"/>
              </w:rPr>
              <w:t>&gt;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Hans"/>
              </w:rPr>
              <w:t>%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s0lY7tAA&#10;AAAFAQAADwAAAAAAAAABACAAAAA4AAAAZHJzL2Rvd25yZXYueG1sUEsBAhQAFAAAAAgAh07iQNx3&#10;CSbYAQAAkgMAAA4AAAAAAAAAAQAgAAAANQEAAGRycy9lMm9Eb2MueG1sUEsFBgAAAAAGAAYAWQEA&#10;AH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7932A9"/>
    <w:multiLevelType w:val="multilevel"/>
    <w:tmpl w:val="3C7932A9"/>
    <w:lvl w:ilvl="0" w:tentative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auto"/>
      </w:rPr>
    </w:lvl>
    <w:lvl w:ilvl="3" w:tentative="0">
      <w:start w:val="1"/>
      <w:numFmt w:val="decimal"/>
      <w:pStyle w:val="3"/>
      <w:lvlText w:val="%1.%2.%3.%4"/>
      <w:lvlJc w:val="left"/>
      <w:pPr>
        <w:ind w:left="1431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71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B0B63"/>
    <w:rsid w:val="01534994"/>
    <w:rsid w:val="09FFBF08"/>
    <w:rsid w:val="0C8165E0"/>
    <w:rsid w:val="1B9B150E"/>
    <w:rsid w:val="1F5F4ED5"/>
    <w:rsid w:val="27F3773E"/>
    <w:rsid w:val="2CBF8107"/>
    <w:rsid w:val="2E73FF8D"/>
    <w:rsid w:val="2EB70209"/>
    <w:rsid w:val="2FDF9675"/>
    <w:rsid w:val="30FF2B40"/>
    <w:rsid w:val="33D7207D"/>
    <w:rsid w:val="33F76483"/>
    <w:rsid w:val="35D339CB"/>
    <w:rsid w:val="395F5203"/>
    <w:rsid w:val="3EFF8397"/>
    <w:rsid w:val="3F1BD1FF"/>
    <w:rsid w:val="3F7E45D5"/>
    <w:rsid w:val="3FF79B31"/>
    <w:rsid w:val="46F32A46"/>
    <w:rsid w:val="47FD15BA"/>
    <w:rsid w:val="4BA31FDB"/>
    <w:rsid w:val="4BFF9656"/>
    <w:rsid w:val="4EEF1040"/>
    <w:rsid w:val="537B9DA3"/>
    <w:rsid w:val="59FFA7FB"/>
    <w:rsid w:val="5A474F5C"/>
    <w:rsid w:val="5B6D4499"/>
    <w:rsid w:val="5D6F89E9"/>
    <w:rsid w:val="5DDF52D1"/>
    <w:rsid w:val="5DFA33FF"/>
    <w:rsid w:val="5EDB0B63"/>
    <w:rsid w:val="5EDDD018"/>
    <w:rsid w:val="5EDF0710"/>
    <w:rsid w:val="5F9AFBCB"/>
    <w:rsid w:val="5F9F33EB"/>
    <w:rsid w:val="5FB957D3"/>
    <w:rsid w:val="5FC5699B"/>
    <w:rsid w:val="5FFDC3CC"/>
    <w:rsid w:val="683DB78C"/>
    <w:rsid w:val="6AC7B1A3"/>
    <w:rsid w:val="6B77FB6F"/>
    <w:rsid w:val="6BFE7DB9"/>
    <w:rsid w:val="6BFF7B89"/>
    <w:rsid w:val="6C6F8F7C"/>
    <w:rsid w:val="6CFF0858"/>
    <w:rsid w:val="6EE9A86C"/>
    <w:rsid w:val="6F594692"/>
    <w:rsid w:val="6F7F58D8"/>
    <w:rsid w:val="6FD43E60"/>
    <w:rsid w:val="725F0151"/>
    <w:rsid w:val="73AFF7B6"/>
    <w:rsid w:val="74A76088"/>
    <w:rsid w:val="756AF99A"/>
    <w:rsid w:val="75FFC793"/>
    <w:rsid w:val="763E871D"/>
    <w:rsid w:val="76EF5EAB"/>
    <w:rsid w:val="77BF89C1"/>
    <w:rsid w:val="77DF6498"/>
    <w:rsid w:val="77FFC5F7"/>
    <w:rsid w:val="79EBFCAD"/>
    <w:rsid w:val="7A511B4C"/>
    <w:rsid w:val="7BBD97BD"/>
    <w:rsid w:val="7BFE4A5B"/>
    <w:rsid w:val="7BFFEC6B"/>
    <w:rsid w:val="7CFA50BE"/>
    <w:rsid w:val="7DBF4FBB"/>
    <w:rsid w:val="7DBF51E2"/>
    <w:rsid w:val="7DCD9330"/>
    <w:rsid w:val="7DD758A1"/>
    <w:rsid w:val="7DEBCFED"/>
    <w:rsid w:val="7DFF7D19"/>
    <w:rsid w:val="7E562264"/>
    <w:rsid w:val="7E5EB5A1"/>
    <w:rsid w:val="7E8ED792"/>
    <w:rsid w:val="7EEF6F09"/>
    <w:rsid w:val="7EF12E71"/>
    <w:rsid w:val="7F2773F9"/>
    <w:rsid w:val="7F3909BD"/>
    <w:rsid w:val="7F7C49BA"/>
    <w:rsid w:val="7FBF70D0"/>
    <w:rsid w:val="7FF719AD"/>
    <w:rsid w:val="7FF752D2"/>
    <w:rsid w:val="8FFFE6A6"/>
    <w:rsid w:val="9BA6D1EC"/>
    <w:rsid w:val="9BFD2FEF"/>
    <w:rsid w:val="A97FD3A1"/>
    <w:rsid w:val="ADDF6EEC"/>
    <w:rsid w:val="AEBF4264"/>
    <w:rsid w:val="AFDDEFDC"/>
    <w:rsid w:val="B2DFF942"/>
    <w:rsid w:val="B49A0D4B"/>
    <w:rsid w:val="B5FC34C6"/>
    <w:rsid w:val="B9FFDC4F"/>
    <w:rsid w:val="BAEFCA12"/>
    <w:rsid w:val="BD5D8A02"/>
    <w:rsid w:val="BE0F8049"/>
    <w:rsid w:val="BF5748FB"/>
    <w:rsid w:val="BFAE7820"/>
    <w:rsid w:val="BFDD8FC7"/>
    <w:rsid w:val="BFFCB735"/>
    <w:rsid w:val="C57FB974"/>
    <w:rsid w:val="C7FD787A"/>
    <w:rsid w:val="CBFEC341"/>
    <w:rsid w:val="CEED6205"/>
    <w:rsid w:val="CFF33D6C"/>
    <w:rsid w:val="D4CEDA1A"/>
    <w:rsid w:val="D5A31DC0"/>
    <w:rsid w:val="D5DC2D29"/>
    <w:rsid w:val="D5FFA8B7"/>
    <w:rsid w:val="D7FF1616"/>
    <w:rsid w:val="DF0A9525"/>
    <w:rsid w:val="DFEAA56F"/>
    <w:rsid w:val="E6922BE3"/>
    <w:rsid w:val="E6AC45AE"/>
    <w:rsid w:val="E90D4578"/>
    <w:rsid w:val="EB5BB730"/>
    <w:rsid w:val="EDFEFB3E"/>
    <w:rsid w:val="EDFF835A"/>
    <w:rsid w:val="EEBB59E1"/>
    <w:rsid w:val="EFCF022D"/>
    <w:rsid w:val="EFE70CC1"/>
    <w:rsid w:val="EFFBE93A"/>
    <w:rsid w:val="F3731F3F"/>
    <w:rsid w:val="F37B3AB2"/>
    <w:rsid w:val="F67D4144"/>
    <w:rsid w:val="F6FF4047"/>
    <w:rsid w:val="F75D0B4E"/>
    <w:rsid w:val="F7B19F70"/>
    <w:rsid w:val="F7E365DE"/>
    <w:rsid w:val="F7FFA798"/>
    <w:rsid w:val="F93F4172"/>
    <w:rsid w:val="FA5A168B"/>
    <w:rsid w:val="FC5B8A1F"/>
    <w:rsid w:val="FCFA1741"/>
    <w:rsid w:val="FD3F40DC"/>
    <w:rsid w:val="FDB92CE5"/>
    <w:rsid w:val="FDEE319A"/>
    <w:rsid w:val="FEF8056D"/>
    <w:rsid w:val="FEF82787"/>
    <w:rsid w:val="FEFCC581"/>
    <w:rsid w:val="FEFD3F0E"/>
    <w:rsid w:val="FF7EC7DD"/>
    <w:rsid w:val="FFBDEA55"/>
    <w:rsid w:val="FFFB4ECC"/>
    <w:rsid w:val="FFFD6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qFormat/>
    <w:uiPriority w:val="0"/>
    <w:pPr>
      <w:numPr>
        <w:ilvl w:val="3"/>
        <w:numId w:val="1"/>
      </w:numPr>
      <w:ind w:left="864" w:hanging="864"/>
      <w:outlineLvl w:val="3"/>
    </w:pPr>
    <w:rPr>
      <w:rFonts w:ascii="Cambria" w:hAnsi="Cambria"/>
      <w:b/>
      <w:sz w:val="2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</w:style>
  <w:style w:type="paragraph" w:styleId="5">
    <w:name w:val="Body Text"/>
    <w:basedOn w:val="1"/>
    <w:next w:val="6"/>
    <w:qFormat/>
    <w:uiPriority w:val="0"/>
    <w:pPr>
      <w:spacing w:before="0" w:after="140" w:line="276" w:lineRule="auto"/>
    </w:pPr>
  </w:style>
  <w:style w:type="paragraph" w:customStyle="1" w:styleId="6">
    <w:name w:val="Body Text 21"/>
    <w:basedOn w:val="1"/>
    <w:qFormat/>
    <w:uiPriority w:val="99"/>
    <w:pPr>
      <w:spacing w:line="360" w:lineRule="auto"/>
      <w:ind w:firstLine="200" w:firstLineChars="200"/>
    </w:pPr>
  </w:style>
  <w:style w:type="paragraph" w:styleId="7">
    <w:name w:val="Body Text Indent"/>
    <w:basedOn w:val="1"/>
    <w:qFormat/>
    <w:uiPriority w:val="0"/>
    <w:pPr>
      <w:spacing w:line="500" w:lineRule="exact"/>
      <w:ind w:firstLine="640" w:firstLineChars="200"/>
    </w:pPr>
    <w:rPr>
      <w:rFonts w:ascii="黑体" w:eastAsia="黑体"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qFormat/>
    <w:uiPriority w:val="0"/>
    <w:pPr>
      <w:ind w:firstLine="100" w:firstLineChars="100"/>
    </w:pPr>
  </w:style>
  <w:style w:type="paragraph" w:styleId="12">
    <w:name w:val="Body Text First Indent 2"/>
    <w:basedOn w:val="7"/>
    <w:qFormat/>
    <w:uiPriority w:val="0"/>
    <w:pPr>
      <w:spacing w:after="0" w:line="0" w:lineRule="atLeast"/>
      <w:ind w:left="-125" w:leftChars="0" w:firstLine="200" w:firstLineChars="200"/>
      <w:jc w:val="left"/>
    </w:pPr>
    <w:rPr>
      <w:rFonts w:eastAsia="仿宋_GB2312"/>
      <w:sz w:val="36"/>
      <w:szCs w:val="20"/>
    </w:r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font8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6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71"/>
    <w:basedOn w:val="1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20">
    <w:name w:val="表格"/>
    <w:basedOn w:val="1"/>
    <w:qFormat/>
    <w:uiPriority w:val="0"/>
    <w:pPr>
      <w:autoSpaceDN w:val="0"/>
      <w:jc w:val="center"/>
    </w:pPr>
    <w:rPr>
      <w:rFonts w:ascii="Verdana" w:hAnsi="Verdana" w:eastAsia="仿宋_GB2312" w:cs="Times New Roman"/>
      <w:bCs/>
      <w:sz w:val="24"/>
      <w:szCs w:val="21"/>
      <w:lang w:eastAsia="en-US"/>
    </w:rPr>
  </w:style>
  <w:style w:type="paragraph" w:customStyle="1" w:styleId="21">
    <w:name w:val="首行缩进"/>
    <w:basedOn w:val="1"/>
    <w:qFormat/>
    <w:uiPriority w:val="0"/>
    <w:pPr>
      <w:ind w:firstLine="480"/>
    </w:pPr>
    <w:rPr>
      <w:szCs w:val="20"/>
      <w:lang w:val="zh-CN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color w:val="000000"/>
      <w:sz w:val="10"/>
      <w:szCs w:val="10"/>
      <w:u w:val="none"/>
    </w:rPr>
  </w:style>
  <w:style w:type="character" w:customStyle="1" w:styleId="24">
    <w:name w:val="font31"/>
    <w:qFormat/>
    <w:uiPriority w:val="0"/>
    <w:rPr>
      <w:rFonts w:hint="eastAsia" w:ascii="宋体" w:hAnsi="宋体" w:eastAsia="宋体" w:cs="宋体"/>
      <w:color w:val="000000"/>
      <w:sz w:val="13"/>
      <w:szCs w:val="1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2024-03-20T11:08:00Z</dcterms:created>
  <dc:creator>user</dc:creator>
  <cp:lastModifiedBy>uos</cp:lastModifiedBy>
  <cp:lastPrinted>2025-03-05T01:07:00Z</cp:lastPrinted>
  <dcterms:modified xsi:type="dcterms:W3CDTF">2025-09-18T09:22:02Z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