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Chars="0" w:firstLine="0" w:firstLineChars="0"/>
        <w:textAlignment w:val="auto"/>
        <w:rPr>
          <w:rFonts w:hint="eastAsia" w:ascii="方正小标宋简体" w:hAnsi="黑体" w:eastAsia="方正小标宋简体" w:cs="Arial"/>
          <w:b w:val="0"/>
          <w:bCs w:val="0"/>
          <w:sz w:val="36"/>
          <w:szCs w:val="36"/>
        </w:rPr>
      </w:pPr>
      <w:r>
        <w:rPr>
          <w:rFonts w:hint="eastAsia" w:ascii="黑体" w:hAnsi="黑体" w:eastAsia="黑体" w:cs="黑体"/>
          <w:b w:val="0"/>
          <w:bCs w:val="0"/>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黑体" w:eastAsia="方正小标宋简体" w:cs="Arial"/>
          <w:b w:val="0"/>
          <w:bCs w:val="0"/>
          <w:sz w:val="44"/>
          <w:szCs w:val="44"/>
        </w:rPr>
      </w:pPr>
      <w:r>
        <w:rPr>
          <w:rFonts w:hint="eastAsia" w:ascii="方正小标宋简体" w:hAnsi="黑体" w:eastAsia="方正小标宋简体" w:cs="Arial"/>
          <w:b w:val="0"/>
          <w:bCs w:val="0"/>
          <w:sz w:val="44"/>
          <w:szCs w:val="44"/>
        </w:rPr>
        <w:t>202</w:t>
      </w:r>
      <w:r>
        <w:rPr>
          <w:rFonts w:hint="eastAsia" w:ascii="方正小标宋简体" w:hAnsi="黑体" w:eastAsia="方正小标宋简体" w:cs="Arial"/>
          <w:b w:val="0"/>
          <w:bCs w:val="0"/>
          <w:sz w:val="44"/>
          <w:szCs w:val="44"/>
          <w:lang w:val="en-US" w:eastAsia="zh-CN"/>
        </w:rPr>
        <w:t>4年度</w:t>
      </w:r>
      <w:r>
        <w:rPr>
          <w:rFonts w:hint="eastAsia" w:ascii="方正小标宋简体" w:hAnsi="黑体" w:eastAsia="方正小标宋简体" w:cs="Arial"/>
          <w:b w:val="0"/>
          <w:bCs w:val="0"/>
          <w:sz w:val="44"/>
          <w:szCs w:val="44"/>
        </w:rPr>
        <w:t>部门整体绩效</w:t>
      </w:r>
      <w:r>
        <w:rPr>
          <w:rFonts w:hint="eastAsia" w:ascii="方正小标宋简体" w:hAnsi="黑体" w:eastAsia="方正小标宋简体" w:cs="Arial"/>
          <w:b w:val="0"/>
          <w:bCs w:val="0"/>
          <w:sz w:val="44"/>
          <w:szCs w:val="44"/>
          <w:lang w:eastAsia="zh-CN"/>
        </w:rPr>
        <w:t>评价</w:t>
      </w:r>
      <w:r>
        <w:rPr>
          <w:rFonts w:hint="eastAsia" w:ascii="方正小标宋简体" w:hAnsi="黑体" w:eastAsia="方正小标宋简体" w:cs="Arial"/>
          <w:b w:val="0"/>
          <w:bCs w:val="0"/>
          <w:sz w:val="44"/>
          <w:szCs w:val="44"/>
        </w:rPr>
        <w:t>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一、部门概况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b w:val="0"/>
          <w:bCs w:val="0"/>
          <w:sz w:val="32"/>
          <w:szCs w:val="32"/>
        </w:rPr>
      </w:pPr>
      <w:r>
        <w:rPr>
          <w:rFonts w:hint="eastAsia" w:ascii="楷体_GB2312" w:eastAsia="楷体_GB2312"/>
          <w:b w:val="0"/>
          <w:bCs w:val="0"/>
          <w:sz w:val="32"/>
          <w:szCs w:val="32"/>
        </w:rPr>
        <w:t>（一）机构设置及职责</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1．主要职能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中共北京市通州区委文景街道工作委员会与北京市通州区文景街道办事处合署办公。文景街道党工委是区委的派出机关，根据区委的授权，全面负责本地区党的建设，领导本地区的工作和基层社会治理，发挥总揽全局、协调各方作用。文景街道办事处是区政府的派出机关，依据法律法规的规定和区政府的授权，履行相应的政府职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（1）文景街道党工委的</w:t>
      </w:r>
      <w:r>
        <w:rPr>
          <w:rFonts w:hint="eastAsia" w:ascii="仿宋_GB2312" w:hAnsi="仿宋" w:eastAsia="仿宋_GB2312"/>
          <w:color w:val="auto"/>
          <w:sz w:val="32"/>
          <w:szCs w:val="32"/>
          <w:highlight w:val="none"/>
        </w:rPr>
        <w:t>主要职能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①宣传和执行党的路线、方针、政策，宣传和执行党中央、市委、区委的决议，及时向区委报告辖区有关情况、反映问题、提出意见建议。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②讨论并决定本地区重大问题，统筹推进平安建设、城市管理、社区建设、民生保障等工作，统筹、协调辖区单位和组织，团结、组织党内外干部和群众，抓好决策部署的组织实施和督促落实。</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③履行全面从严治党主体责任，全面推进辖区党的政治建设、思想建设、组织建设、作风建设、纪律建设，把制度建设贯穿其中，组织协调反腐败工作。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④落实基层党建工作责任制，加强街道党工委自身建设和以党支部为核心的基层党组织建设，统筹推进区域化党建和“两新”组织党建、社区党建工作。对党员进行教育、管理、监督和服务，做好经常性的发展党员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⑤按照管理权限，对街道机关及所属单位干部进行教育、培训、选拔、考核和监督，对市、区政府职能部门派出机构相关工作人员的任免、调动、奖惩提出意见，对社区工作者队伍进行教育、管理。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⑥负责思想政治、意识形态、精神文明、统一战线工作，领导街道纪工委、人大工委、总工会、团工委、妇联、残联等组织，支持和保证其依照党内法规、法律、法规、规章、各自的章程开展工作。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⑦组织维护辖区安全稳定，协调推动社会治安综合治理，承担民兵预备役、征兵、民防工作。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⑧承办区委交办的其他事项。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（2）文景街道办事处的</w:t>
      </w:r>
      <w:r>
        <w:rPr>
          <w:rFonts w:hint="eastAsia" w:ascii="仿宋_GB2312" w:hAnsi="仿宋" w:eastAsia="仿宋_GB2312"/>
          <w:color w:val="auto"/>
          <w:sz w:val="32"/>
          <w:szCs w:val="32"/>
          <w:highlight w:val="none"/>
        </w:rPr>
        <w:t>主要职能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①组织实施辖区与居民生活密切相关的公共服务工作，落实卫生健康、养老助残、社会救助、住房保障、就业创业、文化教育、体育事业和法律服务等领域的相关法律法规和政策。</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②组织实施辖区环境保护、秩序治理、街区更新、物业管理监督、应急管理等城市管理工作，营造辖区良好发展环境。</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③组织实施辖区平安建设工作，预防、排查、化解矛盾纠纷，维护社会和谐稳定。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④组织动员辖区单位和各类社会组织参与基层治理工作，统筹辖区资源，实现共建共治共享。</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⑤推进社区发展建设，指导居民委员会工作，支持和促进居民依法自治，完善社区服务功能，提升社区治理水平。</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⑥做好国防教育和兵役等工作。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⑦法律、法规、规章及市、区人民政府作出的决定、命令规定的其他职责。</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机构情况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Chars="0" w:firstLine="640" w:firstLineChars="200"/>
        <w:jc w:val="both"/>
        <w:textAlignment w:val="auto"/>
        <w:rPr>
          <w:rFonts w:hint="eastAsia"/>
        </w:rPr>
      </w:pPr>
      <w:r>
        <w:rPr>
          <w:rFonts w:hint="eastAsia" w:ascii="仿宋_GB2312" w:hAnsi="仿宋" w:eastAsia="仿宋_GB2312"/>
          <w:color w:val="auto"/>
          <w:sz w:val="32"/>
          <w:szCs w:val="32"/>
          <w:highlight w:val="none"/>
          <w:lang w:val="en-US" w:eastAsia="zh-CN"/>
        </w:rPr>
        <w:t>内设4个处室，分别为：党群工作和综合办公室、平安建设办公室、城市管理和社区建设办公室、民生保障办公室；设综合行政执法队；下属3个事业单位，分别为：便民服务中心、市民活动中心、市民诉求处置中心。</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b w:val="0"/>
          <w:bCs w:val="0"/>
          <w:sz w:val="32"/>
          <w:szCs w:val="32"/>
        </w:rPr>
      </w:pPr>
      <w:r>
        <w:rPr>
          <w:rFonts w:hint="eastAsia" w:ascii="楷体_GB2312" w:eastAsia="楷体_GB2312"/>
          <w:b w:val="0"/>
          <w:bCs w:val="0"/>
          <w:sz w:val="32"/>
          <w:szCs w:val="32"/>
        </w:rPr>
        <w:t>部门整体绩效目标设立情况</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整体绩效目标依据上级政府部门的政策指导、街道发展规划及居民实际需求</w:t>
      </w:r>
      <w:r>
        <w:rPr>
          <w:rFonts w:hint="eastAsia" w:ascii="仿宋_GB2312" w:hAnsi="仿宋_GB2312" w:eastAsia="仿宋_GB2312" w:cs="仿宋_GB2312"/>
          <w:color w:val="auto"/>
          <w:sz w:val="32"/>
          <w:szCs w:val="32"/>
          <w:lang w:eastAsia="zh-CN"/>
        </w:rPr>
        <w:t>设立，旨在</w:t>
      </w:r>
      <w:r>
        <w:rPr>
          <w:rFonts w:hint="eastAsia" w:ascii="仿宋_GB2312" w:hAnsi="仿宋_GB2312" w:eastAsia="仿宋_GB2312" w:cs="仿宋_GB2312"/>
          <w:color w:val="auto"/>
          <w:sz w:val="32"/>
          <w:szCs w:val="32"/>
        </w:rPr>
        <w:t>通过党建引领、法治政府建设、政企联动、服务导向、精细治理、增进民生福祉、维护安全稳定及全面从严治党等多方面工作，全面提升街道治理能力和服务水平，促进</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经济社会和谐发展。</w:t>
      </w:r>
      <w:r>
        <w:rPr>
          <w:rFonts w:hint="eastAsia" w:ascii="仿宋_GB2312" w:hAnsi="仿宋_GB2312" w:eastAsia="仿宋_GB2312" w:cs="仿宋_GB2312"/>
          <w:color w:val="auto"/>
          <w:sz w:val="32"/>
          <w:szCs w:val="32"/>
          <w:lang w:eastAsia="zh-CN"/>
        </w:rPr>
        <w:t>部门绩效</w:t>
      </w:r>
      <w:r>
        <w:rPr>
          <w:rFonts w:hint="eastAsia" w:ascii="仿宋_GB2312" w:hAnsi="仿宋_GB2312" w:eastAsia="仿宋_GB2312" w:cs="仿宋_GB2312"/>
          <w:color w:val="auto"/>
          <w:sz w:val="32"/>
          <w:szCs w:val="32"/>
        </w:rPr>
        <w:t>目标与职责任务高度匹配，确保了各项工作的有序开展。同时，目标设定合理，既考虑了短期成效，也兼顾了长期影响。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1.强化党建引领：</w:t>
      </w:r>
      <w:r>
        <w:rPr>
          <w:rFonts w:hint="eastAsia" w:ascii="仿宋_GB2312" w:hAnsi="仿宋_GB2312" w:eastAsia="仿宋_GB2312" w:cs="仿宋_GB2312"/>
          <w:b w:val="0"/>
          <w:bCs w:val="0"/>
          <w:color w:val="auto"/>
          <w:sz w:val="32"/>
          <w:szCs w:val="32"/>
          <w:highlight w:val="none"/>
        </w:rPr>
        <w:t>完善意识形态阵地管理机制，</w:t>
      </w:r>
      <w:r>
        <w:rPr>
          <w:rFonts w:hint="eastAsia" w:ascii="仿宋_GB2312" w:hAnsi="仿宋_GB2312" w:eastAsia="仿宋_GB2312" w:cs="仿宋_GB2312"/>
          <w:color w:val="auto"/>
          <w:kern w:val="2"/>
          <w:sz w:val="32"/>
          <w:szCs w:val="32"/>
          <w:lang w:val="en-US" w:eastAsia="zh-CN" w:bidi="ar-SA"/>
        </w:rPr>
        <w:t>优化宣传展示平台；加强基层党建，提升干部队伍综合素质和履职能力。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2.建设法治政府：强化合法性审查，提升合同和行政执法案件的审核效率与质量；加强审计与监督，确保支出项目合规性，提升法治化管理水平。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3.政企联动与服务保障：优化营商环境，服务保障重点项目平稳运营，提升区域竞争力；加强综合监管与联合执法，维护良好秩序，保障公共安全。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4.激发经济发展活力：打造特色产业展示与招商平台，促进文化旅游产业发展；高质量推进统计工作，为经济发展提供数据支持。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5.提升城市环境品质：健全网格化管理机制，实现精细化治理；提升生态宜居水平，加强环境保护与治理。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6.增进社会民生福祉：提升市民诉求处置效率与质量，</w:t>
      </w:r>
      <w:r>
        <w:rPr>
          <w:rFonts w:hint="eastAsia" w:ascii="仿宋_GB2312" w:hAnsi="仿宋_GB2312" w:eastAsia="仿宋_GB2312" w:cs="仿宋_GB2312"/>
          <w:color w:val="auto"/>
          <w:sz w:val="32"/>
          <w:szCs w:val="32"/>
          <w:highlight w:val="none"/>
          <w:lang w:val="en-US" w:eastAsia="zh-CN"/>
        </w:rPr>
        <w:t>主动问需、未诉先办</w:t>
      </w:r>
      <w:r>
        <w:rPr>
          <w:rFonts w:hint="eastAsia" w:ascii="仿宋_GB2312" w:hAnsi="仿宋_GB2312" w:eastAsia="仿宋_GB2312" w:cs="仿宋_GB2312"/>
          <w:color w:val="auto"/>
          <w:kern w:val="2"/>
          <w:sz w:val="32"/>
          <w:szCs w:val="32"/>
          <w:lang w:val="en-US" w:eastAsia="zh-CN" w:bidi="ar-SA"/>
        </w:rPr>
        <w:t>；创新村居融合自治模式，促进共建共治共享；开展特色文化活动与全民健身项目，丰富居民生活；推进民生配套工程建设，解决群众急难愁盼问题。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7.维护安全稳定：加强安全管理，全面治理风险隐患，确保安全生产；提升火灾防控能力，保障人民生命财产安全；深化交通安全综合治理，确保交通安全；落实防汛应急保障措施，确保平稳度汛。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color w:val="auto"/>
          <w:kern w:val="2"/>
          <w:sz w:val="32"/>
          <w:szCs w:val="32"/>
          <w:lang w:val="en-US" w:eastAsia="zh-CN" w:bidi="ar-SA"/>
        </w:rPr>
        <w:t>8.全面从严治党：加强纪检监察监督，确保政策落实与合规性；强化廉政文化建设，提升党员干部纪法意识。</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二</w:t>
      </w:r>
      <w:r>
        <w:rPr>
          <w:rFonts w:ascii="黑体" w:hAnsi="黑体" w:eastAsia="黑体" w:cs="宋体"/>
          <w:b w:val="0"/>
          <w:bCs w:val="0"/>
          <w:color w:val="000000"/>
          <w:kern w:val="0"/>
          <w:sz w:val="32"/>
          <w:szCs w:val="32"/>
        </w:rPr>
        <w:t>、</w:t>
      </w:r>
      <w:r>
        <w:rPr>
          <w:rFonts w:hint="eastAsia" w:ascii="黑体" w:hAnsi="黑体" w:eastAsia="黑体" w:cs="宋体"/>
          <w:b w:val="0"/>
          <w:bCs w:val="0"/>
          <w:color w:val="000000"/>
          <w:kern w:val="0"/>
          <w:sz w:val="32"/>
          <w:szCs w:val="32"/>
        </w:rPr>
        <w:t>当年</w:t>
      </w:r>
      <w:r>
        <w:rPr>
          <w:rFonts w:ascii="黑体" w:hAnsi="黑体" w:eastAsia="黑体" w:cs="宋体"/>
          <w:b w:val="0"/>
          <w:bCs w:val="0"/>
          <w:color w:val="000000"/>
          <w:kern w:val="0"/>
          <w:sz w:val="32"/>
          <w:szCs w:val="32"/>
        </w:rPr>
        <w:t>预算执行情况</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pPr>
      <w:r>
        <w:rPr>
          <w:rFonts w:hint="eastAsia" w:ascii="仿宋_GB2312" w:hAnsi="宋体" w:eastAsia="仿宋_GB2312" w:cs="宋体"/>
          <w:b w:val="0"/>
          <w:bCs w:val="0"/>
          <w:color w:val="000000"/>
          <w:kern w:val="0"/>
          <w:sz w:val="32"/>
          <w:szCs w:val="32"/>
        </w:rPr>
        <w:t>202</w:t>
      </w:r>
      <w:r>
        <w:rPr>
          <w:rFonts w:hint="eastAsia" w:ascii="仿宋_GB2312" w:hAnsi="宋体" w:eastAsia="仿宋_GB2312" w:cs="宋体"/>
          <w:b w:val="0"/>
          <w:bCs w:val="0"/>
          <w:color w:val="000000"/>
          <w:kern w:val="0"/>
          <w:sz w:val="32"/>
          <w:szCs w:val="32"/>
          <w:lang w:val="en-US" w:eastAsia="zh-CN"/>
        </w:rPr>
        <w:t>4</w:t>
      </w:r>
      <w:r>
        <w:rPr>
          <w:rFonts w:hint="eastAsia" w:ascii="仿宋_GB2312" w:hAnsi="宋体" w:eastAsia="仿宋_GB2312" w:cs="宋体"/>
          <w:b w:val="0"/>
          <w:bCs w:val="0"/>
          <w:color w:val="000000"/>
          <w:kern w:val="0"/>
          <w:sz w:val="32"/>
          <w:szCs w:val="32"/>
        </w:rPr>
        <w:t>年</w:t>
      </w:r>
      <w:r>
        <w:rPr>
          <w:rFonts w:ascii="仿宋_GB2312" w:hAnsi="宋体" w:eastAsia="仿宋_GB2312" w:cs="宋体"/>
          <w:b w:val="0"/>
          <w:bCs w:val="0"/>
          <w:color w:val="000000"/>
          <w:kern w:val="0"/>
          <w:sz w:val="32"/>
          <w:szCs w:val="32"/>
        </w:rPr>
        <w:t>全年</w:t>
      </w:r>
      <w:r>
        <w:rPr>
          <w:rFonts w:hint="eastAsia" w:ascii="仿宋_GB2312" w:hAnsi="宋体" w:eastAsia="仿宋_GB2312" w:cs="宋体"/>
          <w:b w:val="0"/>
          <w:bCs w:val="0"/>
          <w:color w:val="000000"/>
          <w:kern w:val="0"/>
          <w:sz w:val="32"/>
          <w:szCs w:val="32"/>
        </w:rPr>
        <w:t>预算数</w:t>
      </w:r>
      <w:r>
        <w:rPr>
          <w:rFonts w:hint="eastAsia" w:ascii="仿宋_GB2312" w:hAnsi="仿宋" w:eastAsia="仿宋_GB2312"/>
          <w:color w:val="auto"/>
          <w:sz w:val="32"/>
          <w:szCs w:val="32"/>
          <w:highlight w:val="none"/>
          <w:lang w:val="en-US" w:eastAsia="zh-CN"/>
        </w:rPr>
        <w:t>11542.23</w:t>
      </w:r>
      <w:r>
        <w:rPr>
          <w:rFonts w:hint="eastAsia" w:ascii="仿宋_GB2312" w:hAnsi="宋体" w:eastAsia="仿宋_GB2312" w:cs="宋体"/>
          <w:b w:val="0"/>
          <w:bCs w:val="0"/>
          <w:color w:val="000000"/>
          <w:kern w:val="0"/>
          <w:sz w:val="32"/>
          <w:szCs w:val="32"/>
        </w:rPr>
        <w:t>万元</w:t>
      </w:r>
      <w:r>
        <w:rPr>
          <w:rFonts w:ascii="仿宋_GB2312" w:hAnsi="宋体" w:eastAsia="仿宋_GB2312" w:cs="宋体"/>
          <w:b w:val="0"/>
          <w:bCs w:val="0"/>
          <w:color w:val="000000"/>
          <w:kern w:val="0"/>
          <w:sz w:val="32"/>
          <w:szCs w:val="32"/>
        </w:rPr>
        <w:t>，</w:t>
      </w:r>
      <w:r>
        <w:rPr>
          <w:rFonts w:hint="eastAsia" w:ascii="仿宋_GB2312" w:hAnsi="宋体" w:eastAsia="仿宋_GB2312" w:cs="宋体"/>
          <w:b w:val="0"/>
          <w:bCs w:val="0"/>
          <w:color w:val="000000"/>
          <w:kern w:val="0"/>
          <w:sz w:val="32"/>
          <w:szCs w:val="32"/>
        </w:rPr>
        <w:t>其中</w:t>
      </w:r>
      <w:r>
        <w:rPr>
          <w:rFonts w:ascii="仿宋_GB2312" w:hAnsi="宋体" w:eastAsia="仿宋_GB2312" w:cs="宋体"/>
          <w:b w:val="0"/>
          <w:bCs w:val="0"/>
          <w:color w:val="000000"/>
          <w:kern w:val="0"/>
          <w:sz w:val="32"/>
          <w:szCs w:val="32"/>
        </w:rPr>
        <w:t>，基本</w:t>
      </w:r>
      <w:r>
        <w:rPr>
          <w:rFonts w:hint="eastAsia" w:ascii="仿宋_GB2312" w:hAnsi="宋体" w:eastAsia="仿宋_GB2312" w:cs="宋体"/>
          <w:b w:val="0"/>
          <w:bCs w:val="0"/>
          <w:color w:val="000000"/>
          <w:kern w:val="0"/>
          <w:sz w:val="32"/>
          <w:szCs w:val="32"/>
        </w:rPr>
        <w:t>支出</w:t>
      </w:r>
      <w:r>
        <w:rPr>
          <w:rFonts w:ascii="仿宋_GB2312" w:hAnsi="宋体" w:eastAsia="仿宋_GB2312" w:cs="宋体"/>
          <w:b w:val="0"/>
          <w:bCs w:val="0"/>
          <w:color w:val="000000"/>
          <w:kern w:val="0"/>
          <w:sz w:val="32"/>
          <w:szCs w:val="32"/>
        </w:rPr>
        <w:t>预算数</w:t>
      </w:r>
      <w:r>
        <w:rPr>
          <w:rFonts w:hint="eastAsia" w:ascii="仿宋_GB2312" w:hAnsi="宋体" w:eastAsia="仿宋_GB2312" w:cs="宋体"/>
          <w:b w:val="0"/>
          <w:bCs w:val="0"/>
          <w:color w:val="000000"/>
          <w:kern w:val="0"/>
          <w:sz w:val="32"/>
          <w:szCs w:val="32"/>
          <w:lang w:val="en-US" w:eastAsia="zh-CN"/>
        </w:rPr>
        <w:t>3164.22</w:t>
      </w:r>
      <w:r>
        <w:rPr>
          <w:rFonts w:ascii="仿宋_GB2312" w:hAnsi="宋体" w:eastAsia="仿宋_GB2312" w:cs="宋体"/>
          <w:b w:val="0"/>
          <w:bCs w:val="0"/>
          <w:color w:val="000000"/>
          <w:kern w:val="0"/>
          <w:sz w:val="32"/>
          <w:szCs w:val="32"/>
        </w:rPr>
        <w:t>万元，</w:t>
      </w:r>
      <w:r>
        <w:rPr>
          <w:rFonts w:hint="eastAsia" w:ascii="仿宋_GB2312" w:hAnsi="宋体" w:eastAsia="仿宋_GB2312" w:cs="宋体"/>
          <w:b w:val="0"/>
          <w:bCs w:val="0"/>
          <w:color w:val="000000"/>
          <w:kern w:val="0"/>
          <w:sz w:val="32"/>
          <w:szCs w:val="32"/>
        </w:rPr>
        <w:t>项目支出预算数</w:t>
      </w:r>
      <w:r>
        <w:rPr>
          <w:rFonts w:hint="eastAsia" w:ascii="仿宋_GB2312" w:hAnsi="宋体" w:eastAsia="仿宋_GB2312" w:cs="宋体"/>
          <w:b w:val="0"/>
          <w:bCs w:val="0"/>
          <w:color w:val="000000"/>
          <w:kern w:val="0"/>
          <w:sz w:val="32"/>
          <w:szCs w:val="32"/>
          <w:lang w:val="en-US" w:eastAsia="zh-CN"/>
        </w:rPr>
        <w:t>8378.01</w:t>
      </w:r>
      <w:r>
        <w:rPr>
          <w:rFonts w:ascii="仿宋_GB2312" w:hAnsi="宋体" w:eastAsia="仿宋_GB2312" w:cs="宋体"/>
          <w:b w:val="0"/>
          <w:bCs w:val="0"/>
          <w:color w:val="000000"/>
          <w:kern w:val="0"/>
          <w:sz w:val="32"/>
          <w:szCs w:val="32"/>
        </w:rPr>
        <w:t>万元，其他支出</w:t>
      </w:r>
      <w:r>
        <w:rPr>
          <w:rFonts w:hint="eastAsia" w:ascii="仿宋_GB2312" w:hAnsi="宋体" w:eastAsia="仿宋_GB2312" w:cs="宋体"/>
          <w:b w:val="0"/>
          <w:bCs w:val="0"/>
          <w:color w:val="000000"/>
          <w:kern w:val="0"/>
          <w:sz w:val="32"/>
          <w:szCs w:val="32"/>
        </w:rPr>
        <w:t>预算数</w:t>
      </w:r>
      <w:r>
        <w:rPr>
          <w:rFonts w:hint="eastAsia" w:ascii="仿宋_GB2312" w:hAnsi="宋体" w:eastAsia="仿宋_GB2312" w:cs="宋体"/>
          <w:b w:val="0"/>
          <w:bCs w:val="0"/>
          <w:color w:val="000000"/>
          <w:kern w:val="0"/>
          <w:sz w:val="32"/>
          <w:szCs w:val="32"/>
          <w:lang w:val="en-US" w:eastAsia="zh-CN"/>
        </w:rPr>
        <w:t>0.00</w:t>
      </w:r>
      <w:r>
        <w:rPr>
          <w:rFonts w:ascii="仿宋_GB2312" w:hAnsi="宋体" w:eastAsia="仿宋_GB2312" w:cs="宋体"/>
          <w:b w:val="0"/>
          <w:bCs w:val="0"/>
          <w:color w:val="000000"/>
          <w:kern w:val="0"/>
          <w:sz w:val="32"/>
          <w:szCs w:val="32"/>
        </w:rPr>
        <w:t>万元</w:t>
      </w:r>
      <w:r>
        <w:rPr>
          <w:rFonts w:hint="eastAsia" w:ascii="仿宋_GB2312" w:hAnsi="宋体" w:eastAsia="仿宋_GB2312" w:cs="宋体"/>
          <w:b w:val="0"/>
          <w:bCs w:val="0"/>
          <w:color w:val="000000"/>
          <w:kern w:val="0"/>
          <w:sz w:val="32"/>
          <w:szCs w:val="32"/>
        </w:rPr>
        <w:t>。</w:t>
      </w:r>
      <w:r>
        <w:rPr>
          <w:rFonts w:ascii="仿宋_GB2312" w:hAnsi="宋体" w:eastAsia="仿宋_GB2312" w:cs="宋体"/>
          <w:b w:val="0"/>
          <w:bCs w:val="0"/>
          <w:color w:val="000000"/>
          <w:kern w:val="0"/>
          <w:sz w:val="32"/>
          <w:szCs w:val="32"/>
        </w:rPr>
        <w:t>资金总体</w:t>
      </w:r>
      <w:r>
        <w:rPr>
          <w:rFonts w:hint="eastAsia" w:ascii="仿宋_GB2312" w:hAnsi="宋体" w:eastAsia="仿宋_GB2312" w:cs="宋体"/>
          <w:b w:val="0"/>
          <w:bCs w:val="0"/>
          <w:color w:val="000000"/>
          <w:kern w:val="0"/>
          <w:sz w:val="32"/>
          <w:szCs w:val="32"/>
        </w:rPr>
        <w:t>支出</w:t>
      </w:r>
      <w:r>
        <w:rPr>
          <w:rFonts w:hint="eastAsia" w:ascii="仿宋_GB2312" w:hAnsi="仿宋" w:eastAsia="仿宋_GB2312"/>
          <w:color w:val="auto"/>
          <w:sz w:val="32"/>
          <w:szCs w:val="32"/>
          <w:highlight w:val="none"/>
          <w:lang w:val="en-US" w:eastAsia="zh-CN"/>
        </w:rPr>
        <w:t>11542.23</w:t>
      </w:r>
      <w:r>
        <w:rPr>
          <w:rFonts w:ascii="仿宋_GB2312" w:hAnsi="宋体" w:eastAsia="仿宋_GB2312" w:cs="宋体"/>
          <w:b w:val="0"/>
          <w:bCs w:val="0"/>
          <w:color w:val="000000"/>
          <w:kern w:val="0"/>
          <w:sz w:val="32"/>
          <w:szCs w:val="32"/>
        </w:rPr>
        <w:t>万元，其中，基本支出</w:t>
      </w:r>
      <w:r>
        <w:rPr>
          <w:rFonts w:hint="default" w:ascii="仿宋_GB2312" w:hAnsi="仿宋" w:eastAsia="仿宋_GB2312"/>
          <w:color w:val="auto"/>
          <w:sz w:val="32"/>
          <w:szCs w:val="32"/>
          <w:highlight w:val="none"/>
          <w:lang w:val="en"/>
        </w:rPr>
        <w:t>3164.22</w:t>
      </w:r>
      <w:r>
        <w:rPr>
          <w:rFonts w:ascii="仿宋_GB2312" w:hAnsi="宋体" w:eastAsia="仿宋_GB2312" w:cs="宋体"/>
          <w:b w:val="0"/>
          <w:bCs w:val="0"/>
          <w:color w:val="000000"/>
          <w:kern w:val="0"/>
          <w:sz w:val="32"/>
          <w:szCs w:val="32"/>
        </w:rPr>
        <w:t>万元，项目</w:t>
      </w:r>
      <w:r>
        <w:rPr>
          <w:rFonts w:hint="eastAsia" w:ascii="仿宋_GB2312" w:hAnsi="宋体" w:eastAsia="仿宋_GB2312" w:cs="宋体"/>
          <w:b w:val="0"/>
          <w:bCs w:val="0"/>
          <w:color w:val="000000"/>
          <w:kern w:val="0"/>
          <w:sz w:val="32"/>
          <w:szCs w:val="32"/>
        </w:rPr>
        <w:t>支出</w:t>
      </w:r>
      <w:r>
        <w:rPr>
          <w:rFonts w:hint="eastAsia" w:ascii="仿宋_GB2312" w:hAnsi="宋体" w:eastAsia="仿宋_GB2312" w:cs="宋体"/>
          <w:b w:val="0"/>
          <w:bCs w:val="0"/>
          <w:color w:val="000000"/>
          <w:kern w:val="0"/>
          <w:sz w:val="32"/>
          <w:szCs w:val="32"/>
          <w:lang w:val="en-US" w:eastAsia="zh-CN"/>
        </w:rPr>
        <w:t>8378.01</w:t>
      </w:r>
      <w:r>
        <w:rPr>
          <w:rFonts w:ascii="仿宋_GB2312" w:hAnsi="宋体" w:eastAsia="仿宋_GB2312" w:cs="宋体"/>
          <w:b w:val="0"/>
          <w:bCs w:val="0"/>
          <w:color w:val="000000"/>
          <w:kern w:val="0"/>
          <w:sz w:val="32"/>
          <w:szCs w:val="32"/>
        </w:rPr>
        <w:t>万元，其他支出</w:t>
      </w:r>
      <w:r>
        <w:rPr>
          <w:rFonts w:hint="eastAsia" w:ascii="仿宋_GB2312" w:hAnsi="宋体" w:eastAsia="仿宋_GB2312" w:cs="宋体"/>
          <w:b w:val="0"/>
          <w:bCs w:val="0"/>
          <w:color w:val="000000"/>
          <w:kern w:val="0"/>
          <w:sz w:val="32"/>
          <w:szCs w:val="32"/>
          <w:lang w:val="en-US" w:eastAsia="zh-CN"/>
        </w:rPr>
        <w:t>0.00</w:t>
      </w:r>
      <w:r>
        <w:rPr>
          <w:rFonts w:ascii="仿宋_GB2312" w:hAnsi="宋体" w:eastAsia="仿宋_GB2312" w:cs="宋体"/>
          <w:b w:val="0"/>
          <w:bCs w:val="0"/>
          <w:color w:val="000000"/>
          <w:kern w:val="0"/>
          <w:sz w:val="32"/>
          <w:szCs w:val="32"/>
        </w:rPr>
        <w:t>万元。</w:t>
      </w:r>
      <w:r>
        <w:rPr>
          <w:rFonts w:hint="eastAsia" w:ascii="仿宋_GB2312" w:hAnsi="宋体" w:eastAsia="仿宋_GB2312" w:cs="宋体"/>
          <w:b w:val="0"/>
          <w:bCs w:val="0"/>
          <w:color w:val="000000"/>
          <w:kern w:val="0"/>
          <w:sz w:val="32"/>
          <w:szCs w:val="32"/>
        </w:rPr>
        <w:t>预算</w:t>
      </w:r>
      <w:r>
        <w:rPr>
          <w:rFonts w:ascii="仿宋_GB2312" w:hAnsi="宋体" w:eastAsia="仿宋_GB2312" w:cs="宋体"/>
          <w:b w:val="0"/>
          <w:bCs w:val="0"/>
          <w:color w:val="000000"/>
          <w:kern w:val="0"/>
          <w:sz w:val="32"/>
          <w:szCs w:val="32"/>
        </w:rPr>
        <w:t>执行率为</w:t>
      </w:r>
      <w:r>
        <w:rPr>
          <w:rFonts w:hint="eastAsia" w:ascii="仿宋_GB2312" w:hAnsi="宋体" w:eastAsia="仿宋_GB2312" w:cs="宋体"/>
          <w:b w:val="0"/>
          <w:bCs w:val="0"/>
          <w:color w:val="000000"/>
          <w:kern w:val="0"/>
          <w:sz w:val="32"/>
          <w:szCs w:val="32"/>
          <w:lang w:val="en-US" w:eastAsia="zh-CN"/>
        </w:rPr>
        <w:t>100%</w:t>
      </w:r>
      <w:r>
        <w:rPr>
          <w:rFonts w:hint="eastAsia" w:ascii="仿宋_GB2312" w:hAnsi="宋体" w:eastAsia="仿宋_GB2312" w:cs="宋体"/>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三</w:t>
      </w:r>
      <w:r>
        <w:rPr>
          <w:rFonts w:ascii="黑体" w:hAnsi="黑体" w:eastAsia="黑体" w:cs="宋体"/>
          <w:b w:val="0"/>
          <w:bCs w:val="0"/>
          <w:color w:val="000000"/>
          <w:kern w:val="0"/>
          <w:sz w:val="32"/>
          <w:szCs w:val="32"/>
        </w:rPr>
        <w:t>、整体绩效目标实现情况</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楷体_GB2312" w:eastAsia="楷体_GB2312"/>
          <w:b w:val="0"/>
          <w:bCs w:val="0"/>
          <w:sz w:val="32"/>
          <w:szCs w:val="32"/>
        </w:rPr>
      </w:pPr>
      <w:r>
        <w:rPr>
          <w:rFonts w:hint="eastAsia" w:ascii="楷体_GB2312" w:eastAsia="楷体_GB2312"/>
          <w:b w:val="0"/>
          <w:bCs w:val="0"/>
          <w:sz w:val="32"/>
          <w:szCs w:val="32"/>
        </w:rPr>
        <w:t>（一）产出完成情况分析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1.坚持党建引领，始终把政治建设摆在首位。</w:t>
      </w:r>
      <w:r>
        <w:rPr>
          <w:rFonts w:hint="eastAsia" w:ascii="仿宋_GB2312" w:hAnsi="仿宋_GB2312" w:eastAsia="仿宋_GB2312" w:cs="仿宋_GB2312"/>
          <w:b w:val="0"/>
          <w:bCs w:val="0"/>
          <w:color w:val="auto"/>
          <w:sz w:val="32"/>
          <w:szCs w:val="32"/>
          <w:highlight w:val="none"/>
        </w:rPr>
        <w:t>完善意识形态阵地管理机制，抓好统战及民族宗教工作，</w:t>
      </w:r>
      <w:r>
        <w:rPr>
          <w:rFonts w:hint="eastAsia" w:ascii="仿宋_GB2312" w:hAnsi="仿宋_GB2312" w:eastAsia="仿宋_GB2312" w:cs="仿宋_GB2312"/>
          <w:b w:val="0"/>
          <w:bCs w:val="0"/>
          <w:color w:val="auto"/>
          <w:sz w:val="32"/>
          <w:szCs w:val="32"/>
          <w:highlight w:val="none"/>
          <w:lang w:val="en-US" w:eastAsia="zh-CN"/>
        </w:rPr>
        <w:t>累计开展</w:t>
      </w:r>
      <w:r>
        <w:rPr>
          <w:rFonts w:hint="eastAsia" w:ascii="仿宋_GB2312" w:hAnsi="仿宋_GB2312" w:eastAsia="仿宋_GB2312" w:cs="仿宋_GB2312"/>
          <w:b w:val="0"/>
          <w:bCs w:val="0"/>
          <w:color w:val="auto"/>
          <w:sz w:val="32"/>
          <w:szCs w:val="32"/>
          <w:highlight w:val="none"/>
        </w:rPr>
        <w:t>“扫黄打非</w:t>
      </w:r>
      <w:r>
        <w:rPr>
          <w:rFonts w:hint="eastAsia" w:ascii="仿宋_GB2312" w:hAnsi="仿宋_GB2312" w:eastAsia="仿宋_GB2312" w:cs="仿宋_GB2312"/>
          <w:color w:val="auto"/>
          <w:sz w:val="32"/>
          <w:szCs w:val="32"/>
          <w:highlight w:val="none"/>
          <w:lang w:val="en-US" w:eastAsia="zh-CN"/>
        </w:rPr>
        <w:t>”检查12次，未发现违法违规情况。优化“乐游文景”专栏设置，加强平安文景、宜居文景、活力文景等8个专栏宣传展示，2024全年发布文章1287篇，其中原创内容543篇。相关工作被上级单位转发共70次，被市、区主流媒体报道82次。以基层党建品牌“心馨向融”创建为牵引，以区域化党建融汇辖区单位善治资源，用好党建工作协调委员会全体会议、专项工作协调会、联络员会议“三个机制”，实施“九大工程”、推进“十四个项目”。以提升干部基层工作能力为靶向，着力提升干部队伍综合素质和履职能力，围绕理论学习、公文写作、社区治理、新闻摄影等内容常态化开展“文景大讲堂”18期。组织“青年大学习”16次，动员团员青年参加辖区志愿服务活动7次，举办2期“文景青年说”交流活动，强化机关团青影响力。积极组织团员青年参加团区委“副中心有我，青年在行动”活动，开展团员“国家安全、青春挺膺”等主题活动，在青春副中心公众号上发布3篇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不断提高法治政府建设水平。强化合法性审查工作，审查各类经济合同、上会材料共计140余份，与法律顾问联审34份，累计提出修改意见400余条。对2023年全部支出项目进行审计，督促整改到位。累计审核行政执法案件129件，其中重大行政处罚案件7件，按时完成行政执法培训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坚持政企联动，服务保障环球项目平稳运营。坚持一体化综合监管。按照对环球各门店燃气安全、垃圾分类每月一覆盖频次开展执法检查，稳步推进效能型执法，达到“无事不扰、有求必应”的效果。开展入园执法检查9次，全覆盖检查燃气用户378家次，督导整改燃气安全相关问题10余起次，全力构筑园区安全屏障。加强联合执法统筹。与公安等联合执法部门建立违法信息共享机制，综合研判易发高发违法行为，加强联合执法沟通，调整执法策略。联合查处无证导览46起、游商散贩165起，开展“黑车”专项执法50次，持续维护良好交通秩序环境。圆满完成环球焰火燃放等主题活动及节假日服务保障。依职权做好安全执法检查工作，强化周边环境秩序维护，每日安排20余人次盯守HUB桥等重点点位，在出入园早晚高峰加设一组巡查力量，查处黑导游、游商散贩，劝导不文明游园等扰序行为。发挥“数治”城市效能。成立智慧城市专班，依托综合指挥中心平台，联合相关部门，分析汇总环球主题公园运行情况，每日形成工作简报，为有效应对突发状况，确保环球主题公园平稳有序运行提供数据信息支撑。深化志愿服务工作。不断夯实北京环球度假区周边保障志愿服务项目基础，完善志愿体系建设，打造“志愿+网格+热线”服务新模式，累计开展常态化志愿服务300余场，特色主题志愿服务12场，累计服务市民及游客900余万人次。相继推出项目IP“文小青”周边文创产品，如微信表情包、IP玩偶、文创书签等，进一步推进品牌化建设。不断拓宽合作网络，深化与各社会志愿服务团体、高校志愿团队间的交流与合作，持续优化地区志愿回馈体系，实现“构筑志愿服务联盟”核心理念，截至目前已新增阿迪达斯、BMW快乐坞2家志愿者城市大道专属回馈商户，以及北京科技大学、北京金融科技学院等5家高校志愿服务团体。项目在2024年首都志愿服务大赛中获铜奖。与网格化管理工作进行创新融合打造的“网格+志愿”多元融合共建、共治、共享社会治理工作体系成功入选“全国社会治理创新案例（2024）”，是北京市唯一入选的典型案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坚持服务导向，全面激发经济发展活力。精心打造“文旅会客厅”。充分利用碧桂园和世界售楼大厅，打造产业项目集中展示、招商推介沟通交流的共享空间，举办“文旅会客厅”启用仪式暨招商推介会活动，邀请领域专家为地区发展建言献策，提升财源建设工作新活力。探索开展“做热文化旅游区”系列活动。组织开展国潮文化市集、月满中秋·国风月光演奏会等系列主题活动，整合辖区各类文旅资源，为游客提供更加丰富多元的文化旅游体验，进一步创设优质营商环境。高质量推进统计工作。积极推动5家企业升规纳统，保质保量完成12家规上企业、4家固定资产投资项目企业和1家产业活动单位的统计报表任务，设立“统计小课堂”、“五经普小课堂”，开展普法进企业、进社区活动，全年针对辖区企业及小区群众开展统计普法宣传4次、经济普查宣传2次。服务重大项目建设“提速快跑”。加强项目动态管理和全过程服务保障，针对新进场施工的帅府儒意、文旅区幼儿园、顶点公园以及正在谋划的环球后续项目、海昌海洋公园、城市运动中心等项目，提前在手续办理、市政接入、临建选址建设等方面对接指导，定期召开重点项目保障协调会，全面协调相关部门，给予企业帮助支持。持续实施施工项目“一图一表一册”管理模式，对施工进度缓慢的单位提供“点对点”服务，高效开展全覆盖无死角检查指导和督导整改，确保项目按期推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坚持精细治理，全力提升城市环境品质。健全网格化管理工作机制。精细化划分3个三级网格体系共36个网格，整合环保员、林管员、护林员、小巷管家、“社区、村两委”工作人员合并入格，进一步实现辖区网格划分精细化、责任区域明晰化、划分边界准确化。结合文化旅游区项目建设和产业发展情况，科学绘制网格“经络图”，精准标注具体边界、面积、内部要素，详细核查网格内人、情、地、事、物、组织等要素，将辖区产业、重大项目、居民小区、待建地块等位置划分9个重点区域，与辖区单位、街道各科室和志愿者队伍建立“热线+网格+志愿”工作模式，实施科室内外勤“联勤联动”的常态化“责任区”巡查机制，随时发现处置重点区域内环境秩序问题，为网格队伍精准高效开展工作夯实基础。着力提升辖区生态宜居水平。严格落实“河长制”、“林长制”各项工作要求，完成萧太后河3个入河排口整治工作，全面杜绝污水直排问题隐患发生，累计清理河道、河坡垃圾杂草3万余平米，全力维护辖区水环境良好和安全度汛。持续开展辖区施工项目绿色施工和扬尘治理工作巡查检查，督促辖区在施工地和限额以下小微工程严格落实生态环保主体责任，陆续完成首旅总部、通马路综合枢纽等项目绿牌工地创建。动态开展辖区裸地治理工作，结合场地实际使用需求采取生物覆盖、场地硬化、绿网苫盖等多种方式落实辖区地块“生态优先”，裸土“动态清零”。常态化做好辖区大气污染源巡查整治工作。2024年文景街道PM2.5浓度值由低至高排名全区并列第2名，TSP浓度值由低至高排名全区第4名，辖区河道出境断面考核全部达到三类水质合格标准。不断提升综合执法水平。精细高效开展综合执法各项工作，累计开展执法检查1000余次，填报检查单2721个，做出行政处罚700起（其中，普通程序167起、简易程序533起），共处罚款162.688万元，区城管执法系统绩效考核稳居全区街道组前列。确保街面环境整洁有序。针对不同季节以及各类违法形态易发点位，有的放矢地开展执法行动，累计劝阻露天烧烤行为60余起，查处擅自摆摊设点、散发张贴广告40起，共处罚款1.87万元，为居民营造舒适的生活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6.坚持人民至上，持续增进社会民生福祉。不断提升市民诉求处置水平。街道实际承办工单1889件，同比下降22.89%，2024 年文景街道市直派+区分转综合成绩为 98.82 分，同比上升1.98分，排在全区第1名，同比持平。提炼工单处置经验形成并上报典型案例35篇，通州E政通、市民热线反映日报等区级媒体刊发10余次。坚持主动问需、未诉先办。出动1469人次，核查点位1200处，走访辖区住户3658户，问需8092人次，更新居民信息台账、基础设施台账、公共服务台账，以及问题清单、任务清单、责任清单，结合群众反映的集中诉求，依托接诉即办专项资金梳理民生类项目18个，有序推进管道维护、加装监控摄像头、建设非机动车充电车棚等民生项目，切实解决好群众需求热点、治理痛点等问题。创新村居融合自治模式。招募并培育社区志愿者和楼门长，持续完善党员信息和社区能人台账，初步构建了“街道党工委-功能型党支部-骨干党员、小区长-党员、楼门长”的网格架构，截止目前已招募社区志愿者240人，有骨干志愿者80余人志愿服务时长超过50小时，参与小区志愿值守、安全巡视和环境卫生保障等工作，细化志愿者管理办法和奖励激励机制，强化志愿队伍培育，发挥自治群体“智囊团”“润滑剂”作用，协助发现解决居民生活息息相关的小事急事40余件，并推动C区休闲场地建设、铺设人行步道地砖等工程项目4件，促进共建共治共享。开展“文惠千家”等系列特色文化活动。依托综合文化中心阵地建设，不断丰富文化活动形式，通过“书香润文景”全民阅读、“探索智慧营”亲子科普体验、持续提升综合文化中心的服务效能与影响力，今年累计开展各类文化活动170场，覆盖辖区居民约4600人次，组织孵化培育文化志愿者34人，促进公共文化服务真正惠及居民，充分以文化人、以文育人。实施2024年文景街道全民健身示范街道创建工作项目，建立“街道-社区-基层体育团队”三级体系，培育发掘体育指导员16名，成立乒乓球、八段锦队等全民健身团队5支，链接民族传统体育领域专家讲师开展传统体育授课13节，举办体育类活动6次，开展科学健身讲座3次，内部培训交流活动4次，组织300人参加全民体测和体育锻炼达标测验。压茬推进民生配套工程建设。积极沟通协调，推进临时政务服务大厅、市民文体活动室、通州区图书馆文景街道分馆、辖区商超菜站等民生工程建设和装修改造尽快落地见效。聚焦群众急难愁盼，开展小修快补，解决德邑居民关于小区下水排水不畅、污水满冒、楼梯砖破损、雨落管损坏等群众诉求。管教结合提升物业企业服务质量。小区专班与物业每日召开对接会，开展物业培训10余次，召开物业企业工作沟通会5次，开展专家全面评估及评价工作2次，发现并督促解决安全隐患90余处。对永丰里社区居委会筹备组服务站新入职社工开展技能督导培训。热心服务纾解就业难题。办理失业人员和灵活就业人员保险补贴认领27人，开展就业援助月，开办“春风行动”和民营企业招聘会7场，对29家单位提供用工指导、政策培训，对失业人员提供岗位、招聘会推荐，切实拓展辖区居民就业渠道。扎实做好劳动者合法权益保障。完成辖区内重点监测企业劳动合同履行情况统计工作，开展各类巡查检查110余次，处理讨薪和劳动人事争议调解案件40余起，追回农民工劳务费及人工费1300余万元。建立多元纠纷化解机制。链接专职律师、心理咨询师、小区民警等资源，针对问题清单及市民热线反映的难点问题逐一研究解决，召开居民调解会10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坚持底线思维，全面维护辖区安全稳定。稳步提升安全管理水平。紧密结合文旅区特点，围绕建筑施工、旅游景区、道路交通、燃气安全、电力、供热等重点领域，运用驻站监管、执法检查、视频巡查等手段，全面治理风险隐患。，累计出动7000余人次，检查企事业单位及施工工地3000余家，督促整改安全隐患7000余项。顺利完成国务院安委会一季度明查暗访，发现涉及文景街道1项隐患问题整改工作，未发生工矿商贸等安全事故，荣获通州区安全生产先进单位称号。紧盯高层建筑、酒店餐厅、仓储库房等重点场所，持续巩固大排查大整治工作成效，日常监管与错时检查相结合，重点整治违规动火作业、消防管理不到位等问题。聚焦环球度假区“酷爽夏日”“惊彩”环球“焰火燃放”等主题活动，做好关键环节安全监管，确保各项活动安全有序开展。进一步提升火灾防控能力。强化居民小区、学校等人员密集场所消防监管，定期排查工人生活区、仓储库房等火灾高风险区域，组织开展“四清一查”、疏散通道“大扫除”等专项行动，重点整治堵占消防通道、封闭安全出口、电动自行车违规停充等问题。加大林地及空白地块巡查看护力度，发动通房开、建工国通等单位开展打草湿化，压实企业主体责任。全年督促整改消防隐患2800余处，出动微型消防站应急水车800余车次，湿化道路、地块120余公顷，清理枯枝杂草等各类可燃物30余吨，柔性劝导看护焚烧纸钱等风险行为80余起，实现辖区火警起数较2023年下降10%、成灾起数较2023年下降53.85%。走深走实交通安全综合治理。每日进行道路巡查，发现隐患及时对接产权单位落实整改，治理信号灯损坏、路面塌陷等问题33余处。常态化定期上门走访在建工程、加油站、公交客运等重点单位40余家次，与相关单位签订安全责任书，从源头做好车辆与驾驶人员管理。以交通安全综合岗亭为依托，围绕“五不一戴”“禁止酒驾”等主题开展宣导活动40余场。全面落实防汛应急保障措施。汛前全面排查环球度假区、水系河道、居民小区、涉基坑项目等区域风险隐患，形成问题清单，逐条整改销账。街道主要领导实地拉练指导，确保备汛无死角。牵头召开专题部署会，与辖区30余家企事业单位签订防汛安全责任书，压实主体责任。组织人员清理雨箅子200余处，发动各单位防汛队伍开展应急演练，做好防汛物资和设备清点储备，全力保障辖区安全平稳度汛。入汛以来，圆满完成10余场强降雨应对工作。全力保障安全形势稳定向好。安排专人每日坐班信访接待室，帮助群众解答问题，妥善解决工人讨薪、亡人事件、用工争议等信访问题10余件，高质量完成人民建议征集。定期深入居民小区，围绕禁毒防毒、反恐反诈等内容进行宣传讲解，营造安全和谐氛围。通过定点布控、动态巡逻、视频巡查等方式，持续做好社会面管控，节假日及重要会议期间均发动群防群治600余人，先后圆满完成元旦春节、全国两会、五一、二十届三中全会、新中国成立75周年等关键节点维稳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ascii="仿宋_GB2312" w:hAnsi="宋体" w:eastAsia="仿宋_GB2312" w:cs="宋体"/>
          <w:b w:val="0"/>
          <w:bCs w:val="0"/>
          <w:color w:val="000000"/>
          <w:kern w:val="0"/>
          <w:sz w:val="32"/>
          <w:szCs w:val="32"/>
        </w:rPr>
      </w:pPr>
      <w:r>
        <w:rPr>
          <w:rFonts w:hint="eastAsia" w:ascii="仿宋_GB2312" w:hAnsi="仿宋_GB2312" w:eastAsia="仿宋_GB2312" w:cs="仿宋_GB2312"/>
          <w:color w:val="auto"/>
          <w:sz w:val="32"/>
          <w:szCs w:val="32"/>
          <w:highlight w:val="none"/>
          <w:lang w:val="en-US" w:eastAsia="zh-CN"/>
        </w:rPr>
        <w:t>8.坚持高压态势，压紧压实全面从严治党责任。全方位开展纪检监察监督。做深接诉即办监督，对安全生产、社区治理、巡察整改落实开展重点专项监督，紧盯社区治理工作开展贴近式监督，共开展监督检查65次，检查重点点位131个，发现问题并督促立行立改175个。紧盯综合行政执法、三方服务合同履行情况，在施工程项目、重要节日、重大节点进行监督，检查街道三方服务项目29个，涉及点位76个，累计开展监督检查57次，制发监督提醒函1份，开展节前廉政谈话102人次，发送节日纪律提醒6次。持续强化辖区廉政文化建设。开展专题廉政党课、观看警示教育片、组织城市副中心党群服务中心参观学习，利用“清廉文景”专栏，每周三不间断推送廉政专题片、正反面典型案例等，督促党员干部提升纪法意识，筑牢廉洁底线。不断擦亮廉洁文化品牌。参观中国人民大学家书博物馆等活动，将监督触角延伸到8小时之外，将纪律教育、廉洁教育融入家庭。着力打造“文景廉洁共同体”和“清廉文景”品牌，以区域化党风廉政建设为抓手，动员组织辖区社会资源共建共治，开展三大建筑实地参观、“热辣春日，滚烫前行”健步走等活动。</w:t>
      </w:r>
      <w:r>
        <w:rPr>
          <w:rFonts w:hint="eastAsia" w:ascii="仿宋_GB2312" w:hAnsi="宋体" w:eastAsia="仿宋_GB2312" w:cs="宋体"/>
          <w:b w:val="0"/>
          <w:bCs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楷体_GB2312" w:eastAsia="楷体_GB2312"/>
          <w:b w:val="0"/>
          <w:bCs w:val="0"/>
          <w:sz w:val="32"/>
          <w:szCs w:val="32"/>
        </w:rPr>
      </w:pPr>
      <w:r>
        <w:rPr>
          <w:rFonts w:hint="eastAsia" w:ascii="楷体_GB2312" w:eastAsia="楷体_GB2312"/>
          <w:b w:val="0"/>
          <w:bCs w:val="0"/>
          <w:sz w:val="32"/>
          <w:szCs w:val="32"/>
        </w:rPr>
        <w:t>（二）效果</w:t>
      </w:r>
      <w:r>
        <w:rPr>
          <w:rFonts w:ascii="楷体_GB2312" w:eastAsia="楷体_GB2312"/>
          <w:b w:val="0"/>
          <w:bCs w:val="0"/>
          <w:sz w:val="32"/>
          <w:szCs w:val="32"/>
        </w:rPr>
        <w:t>实现情况分析</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1.</w:t>
      </w:r>
      <w:r>
        <w:rPr>
          <w:rFonts w:hint="eastAsia" w:ascii="仿宋_GB2312" w:hAnsi="宋体" w:eastAsia="仿宋_GB2312" w:cs="宋体"/>
          <w:b w:val="0"/>
          <w:bCs w:val="0"/>
          <w:color w:val="000000"/>
          <w:kern w:val="0"/>
          <w:sz w:val="32"/>
          <w:szCs w:val="32"/>
          <w:lang w:eastAsia="zh-CN"/>
        </w:rPr>
        <w:t>按绩效指标分析：</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仿宋_GB2312" w:hAnsi="仿宋_GB2312" w:eastAsia="仿宋_GB2312" w:cs="仿宋_GB2312"/>
          <w:color w:val="auto"/>
          <w:sz w:val="32"/>
          <w:szCs w:val="32"/>
        </w:rPr>
      </w:pPr>
      <w:r>
        <w:rPr>
          <w:rFonts w:hint="eastAsia" w:ascii="仿宋_GB2312" w:hAnsi="宋体" w:eastAsia="仿宋_GB2312" w:cs="宋体"/>
          <w:b w:val="0"/>
          <w:bCs w:val="0"/>
          <w:color w:val="000000"/>
          <w:kern w:val="0"/>
          <w:sz w:val="32"/>
          <w:szCs w:val="32"/>
          <w:lang w:eastAsia="zh-CN"/>
        </w:rPr>
        <w:t>（</w:t>
      </w:r>
      <w:r>
        <w:rPr>
          <w:rFonts w:hint="eastAsia" w:ascii="仿宋_GB2312" w:hAnsi="宋体" w:eastAsia="仿宋_GB2312" w:cs="宋体"/>
          <w:b w:val="0"/>
          <w:bCs w:val="0"/>
          <w:color w:val="000000"/>
          <w:kern w:val="0"/>
          <w:sz w:val="32"/>
          <w:szCs w:val="32"/>
          <w:lang w:val="en-US" w:eastAsia="zh-CN"/>
        </w:rPr>
        <w:t>1</w:t>
      </w:r>
      <w:r>
        <w:rPr>
          <w:rFonts w:hint="eastAsia" w:ascii="仿宋_GB2312" w:hAnsi="宋体" w:eastAsia="仿宋_GB2312" w:cs="宋体"/>
          <w:b w:val="0"/>
          <w:bCs w:val="0"/>
          <w:color w:val="000000"/>
          <w:kern w:val="0"/>
          <w:sz w:val="32"/>
          <w:szCs w:val="32"/>
          <w:lang w:eastAsia="zh-CN"/>
        </w:rPr>
        <w:t>）</w:t>
      </w:r>
      <w:r>
        <w:rPr>
          <w:rFonts w:hint="eastAsia" w:ascii="仿宋_GB2312" w:hAnsi="宋体" w:eastAsia="仿宋_GB2312" w:cs="宋体"/>
          <w:b w:val="0"/>
          <w:bCs w:val="0"/>
          <w:color w:val="000000"/>
          <w:kern w:val="0"/>
          <w:sz w:val="32"/>
          <w:szCs w:val="32"/>
        </w:rPr>
        <w:t>经济</w:t>
      </w:r>
      <w:r>
        <w:rPr>
          <w:rFonts w:ascii="仿宋_GB2312" w:hAnsi="宋体" w:eastAsia="仿宋_GB2312" w:cs="宋体"/>
          <w:b w:val="0"/>
          <w:bCs w:val="0"/>
          <w:color w:val="000000"/>
          <w:kern w:val="0"/>
          <w:sz w:val="32"/>
          <w:szCs w:val="32"/>
        </w:rPr>
        <w:t>效益</w:t>
      </w:r>
      <w:r>
        <w:rPr>
          <w:rFonts w:hint="eastAsia" w:ascii="仿宋_GB2312" w:hAnsi="仿宋_GB2312" w:eastAsia="仿宋_GB2312" w:cs="仿宋_GB2312"/>
          <w:color w:val="auto"/>
          <w:sz w:val="32"/>
          <w:szCs w:val="32"/>
        </w:rPr>
        <w:t>：优化营商环境、促进经济发展活力，成功吸引优质企业入驻，提升了</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财源建设水平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严格财务管理和资金使用，确保了</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的合规性和效益性。</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社会效益：通过加强党建引领、开展文化活动、提升公共服务质量等措施，有效增强了居民的获得感和幸福感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志愿服务、网格化管理等工作加强了社区治理，促进了社会和谐稳定。</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环境效益：</w:t>
      </w:r>
      <w:r>
        <w:rPr>
          <w:rFonts w:hint="eastAsia" w:ascii="仿宋_GB2312" w:hAnsi="仿宋_GB2312" w:eastAsia="仿宋_GB2312" w:cs="仿宋_GB2312"/>
          <w:color w:val="auto"/>
          <w:sz w:val="32"/>
          <w:szCs w:val="32"/>
          <w:lang w:eastAsia="zh-CN"/>
        </w:rPr>
        <w:t>垃圾分类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清扫保洁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临时绿化等项目</w:t>
      </w:r>
      <w:r>
        <w:rPr>
          <w:rFonts w:hint="eastAsia" w:ascii="仿宋_GB2312" w:hAnsi="仿宋_GB2312" w:eastAsia="仿宋_GB2312" w:cs="仿宋_GB2312"/>
          <w:color w:val="auto"/>
          <w:sz w:val="32"/>
          <w:szCs w:val="32"/>
        </w:rPr>
        <w:t>有效改善</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环境质量，确保</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街面环境的整洁有序。</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可持续性影响：通过完善基础设施建设、推进民生配套工程建设、提升公共服务水平等措施，为地区长期发展奠定了坚实基础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通过加强人才队伍建设、提升干部基层工作能力等措施，确保了街道治理能力的持续提升。</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服务对象满意度：通过接诉即办、主动问需、未诉先办等工作机制，有效提升了居民诉求处置水平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开展各类文化活动、志愿服务等活动，增强了居民的参与感和满意度。</w:t>
      </w:r>
    </w:p>
    <w:p>
      <w:pPr>
        <w:keepNext w:val="0"/>
        <w:keepLines w:val="0"/>
        <w:pageBreakBefore w:val="0"/>
        <w:kinsoku/>
        <w:wordWrap/>
        <w:overflowPunct/>
        <w:topLinePunct w:val="0"/>
        <w:autoSpaceDE/>
        <w:autoSpaceDN/>
        <w:bidi w:val="0"/>
        <w:snapToGrid w:val="0"/>
        <w:spacing w:beforeAutospacing="0" w:afterAutospacing="0" w:line="560" w:lineRule="exact"/>
        <w:ind w:firstLine="640" w:firstLineChars="200"/>
        <w:jc w:val="both"/>
        <w:rPr>
          <w:rFonts w:hint="eastAsia"/>
        </w:rPr>
      </w:pPr>
      <w:r>
        <w:rPr>
          <w:rFonts w:hint="eastAsia" w:ascii="仿宋_GB2312" w:hAnsi="仿宋_GB2312" w:eastAsia="仿宋_GB2312" w:cs="仿宋_GB2312"/>
          <w:color w:val="auto"/>
          <w:sz w:val="32"/>
          <w:szCs w:val="32"/>
          <w:lang w:val="en-US" w:eastAsia="zh-CN"/>
        </w:rPr>
        <w:t>2.按项目</w:t>
      </w:r>
      <w:r>
        <w:rPr>
          <w:rFonts w:hint="eastAsia" w:ascii="仿宋_GB2312" w:hAnsi="仿宋" w:eastAsia="仿宋_GB2312"/>
          <w:color w:val="auto"/>
          <w:sz w:val="32"/>
          <w:szCs w:val="32"/>
          <w:highlight w:val="none"/>
          <w:lang w:eastAsia="zh-CN"/>
        </w:rPr>
        <w:t>分析：</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年文景街道第五次经济普查经费</w:t>
      </w:r>
      <w:r>
        <w:rPr>
          <w:rFonts w:hint="eastAsia" w:ascii="仿宋_GB2312" w:hAnsi="仿宋_GB2312" w:eastAsia="仿宋_GB2312" w:cs="仿宋_GB2312"/>
          <w:color w:val="auto"/>
          <w:sz w:val="32"/>
          <w:szCs w:val="32"/>
          <w:highlight w:val="none"/>
          <w:lang w:val="en-US" w:eastAsia="zh-CN"/>
        </w:rPr>
        <w:t>10.4万元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劳务派遣</w:t>
      </w:r>
      <w:r>
        <w:rPr>
          <w:rFonts w:hint="eastAsia" w:ascii="仿宋_GB2312" w:hAnsi="仿宋_GB2312" w:eastAsia="仿宋_GB2312" w:cs="仿宋_GB2312"/>
          <w:color w:val="auto"/>
          <w:sz w:val="32"/>
          <w:szCs w:val="32"/>
          <w:highlight w:val="none"/>
        </w:rPr>
        <w:t>普查员</w:t>
      </w:r>
      <w:r>
        <w:rPr>
          <w:rFonts w:hint="eastAsia" w:ascii="仿宋_GB2312" w:hAnsi="仿宋_GB2312" w:eastAsia="仿宋_GB2312" w:cs="仿宋_GB2312"/>
          <w:color w:val="auto"/>
          <w:sz w:val="32"/>
          <w:szCs w:val="32"/>
          <w:highlight w:val="none"/>
          <w:lang w:val="en-US" w:eastAsia="zh-CN"/>
        </w:rPr>
        <w:t>3人，2024年度完成</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辖区全部法人单位、产业活动</w:t>
      </w:r>
      <w:r>
        <w:rPr>
          <w:rFonts w:hint="eastAsia" w:ascii="仿宋_GB2312" w:hAnsi="仿宋_GB2312" w:eastAsia="仿宋_GB2312" w:cs="仿宋_GB2312"/>
          <w:color w:val="auto"/>
          <w:sz w:val="32"/>
          <w:szCs w:val="32"/>
          <w:highlight w:val="none"/>
        </w:rPr>
        <w:t>单位和个体户</w:t>
      </w:r>
      <w:r>
        <w:rPr>
          <w:rFonts w:hint="eastAsia" w:ascii="仿宋_GB2312" w:hAnsi="仿宋_GB2312" w:eastAsia="仿宋_GB2312" w:cs="仿宋_GB2312"/>
          <w:color w:val="auto"/>
          <w:sz w:val="32"/>
          <w:szCs w:val="32"/>
          <w:highlight w:val="none"/>
          <w:lang w:eastAsia="zh-CN"/>
        </w:rPr>
        <w:t>的清查登记工作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按区级普查方案</w:t>
      </w:r>
      <w:r>
        <w:rPr>
          <w:rFonts w:hint="eastAsia" w:ascii="仿宋_GB2312" w:hAnsi="仿宋_GB2312" w:eastAsia="仿宋_GB2312" w:cs="仿宋_GB2312"/>
          <w:color w:val="auto"/>
          <w:sz w:val="32"/>
          <w:szCs w:val="32"/>
          <w:highlight w:val="none"/>
          <w:lang w:eastAsia="zh-CN"/>
        </w:rPr>
        <w:t>认真落实</w:t>
      </w:r>
      <w:r>
        <w:rPr>
          <w:rFonts w:hint="eastAsia" w:ascii="仿宋_GB2312" w:hAnsi="仿宋_GB2312" w:eastAsia="仿宋_GB2312" w:cs="仿宋_GB2312"/>
          <w:color w:val="auto"/>
          <w:sz w:val="32"/>
          <w:szCs w:val="32"/>
          <w:highlight w:val="none"/>
        </w:rPr>
        <w:t>第五次经济普查各项重点任务。</w:t>
      </w:r>
    </w:p>
    <w:p>
      <w:pPr>
        <w:pStyle w:val="4"/>
        <w:keepNext w:val="0"/>
        <w:keepLines w:val="0"/>
        <w:pageBreakBefore w:val="0"/>
        <w:numPr>
          <w:ilvl w:val="0"/>
          <w:numId w:val="3"/>
        </w:numPr>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事权补助项目</w:t>
      </w:r>
      <w:r>
        <w:rPr>
          <w:rFonts w:hint="eastAsia" w:ascii="仿宋_GB2312" w:hAnsi="仿宋_GB2312" w:eastAsia="仿宋_GB2312" w:cs="仿宋_GB2312"/>
          <w:color w:val="auto"/>
          <w:sz w:val="32"/>
          <w:szCs w:val="32"/>
          <w:highlight w:val="none"/>
          <w:lang w:val="en-US" w:eastAsia="zh-CN"/>
        </w:rPr>
        <w:t>1839.07万元</w:t>
      </w:r>
      <w:r>
        <w:rPr>
          <w:rFonts w:hint="eastAsia" w:ascii="仿宋_GB2312" w:hAnsi="仿宋_GB2312" w:eastAsia="仿宋_GB2312" w:cs="仿宋_GB2312"/>
          <w:color w:val="auto"/>
          <w:sz w:val="32"/>
          <w:szCs w:val="32"/>
          <w:highlight w:val="none"/>
        </w:rPr>
        <w:t>：加强廉政文化体系建设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购置廉政文化宣传品550套，用于开展区域化党风廉政建设、廉洁文化进家庭、廉洁文化进社区等活动，辖区廉洁氛围持续向善向好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廉政教育基地参观学习租车2次，先后组织辖区企事业</w:t>
      </w:r>
      <w:r>
        <w:rPr>
          <w:rFonts w:hint="eastAsia" w:ascii="仿宋_GB2312" w:hAnsi="仿宋_GB2312" w:eastAsia="仿宋_GB2312" w:cs="仿宋_GB2312"/>
          <w:b w:val="0"/>
          <w:bCs w:val="0"/>
          <w:color w:val="auto"/>
          <w:sz w:val="32"/>
          <w:szCs w:val="32"/>
          <w:highlight w:val="none"/>
        </w:rPr>
        <w:t>单位、社区（村）党员干部前往中国人民大学家书博物馆中国电影博物馆等实地参观学习，提升了警示教育质效，做优“清廉文景”品牌，持续营造了风清气正的干事创业氛围。做细做实</w:t>
      </w:r>
      <w:r>
        <w:rPr>
          <w:rFonts w:hint="eastAsia" w:ascii="仿宋_GB2312" w:hAnsi="仿宋_GB2312" w:eastAsia="仿宋_GB2312" w:cs="仿宋_GB2312"/>
          <w:b w:val="0"/>
          <w:bCs w:val="0"/>
          <w:color w:val="auto"/>
          <w:sz w:val="32"/>
          <w:szCs w:val="32"/>
          <w:highlight w:val="none"/>
          <w:lang w:eastAsia="zh-CN"/>
        </w:rPr>
        <w:t>民生保障工作：</w:t>
      </w:r>
      <w:r>
        <w:rPr>
          <w:rFonts w:hint="eastAsia" w:ascii="仿宋_GB2312" w:hAnsi="仿宋_GB2312" w:eastAsia="仿宋_GB2312" w:cs="仿宋_GB2312"/>
          <w:b w:val="0"/>
          <w:bCs w:val="0"/>
          <w:color w:val="auto"/>
          <w:sz w:val="32"/>
          <w:szCs w:val="32"/>
          <w:highlight w:val="none"/>
        </w:rPr>
        <w:t>持续推进</w:t>
      </w:r>
      <w:r>
        <w:rPr>
          <w:rFonts w:hint="eastAsia" w:ascii="仿宋_GB2312" w:hAnsi="仿宋_GB2312" w:eastAsia="仿宋_GB2312" w:cs="仿宋_GB2312"/>
          <w:color w:val="auto"/>
          <w:sz w:val="32"/>
          <w:szCs w:val="32"/>
          <w:highlight w:val="none"/>
        </w:rPr>
        <w:t>政务服务大厅规范化建设工作，举办综合大厅业务培训、政务服务综合窗口人员能力与服务规范等多场培训会，提升现有工作人员对政务服务业务知识及相关工作规范的专业度，确保辖区居民转接后业务不断档，服务不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失业人员开展政策帮扶，办理失业登记30人，灵活就业社会保险补贴7人，办理失业保险金认领20人，保障失业人员基本生活；积极拓展就业渠道，开展就业援助月、民营企业招聘会2场，依托“春风行动”等开展线上招聘会5场；协助灵活就业参保人员维护银行卡账号80人，开展灵活就业电话核查49人，通过人力资源系统录入“空岗信息”1000个，完成求职登记30人；为村居服务专员进行家门口智慧就业业务操作培训6场；对空岗信息录入的29家单位提供用工指导、政策培训等推送服务，对失业库实有30名失业人员提供岗位推荐、招聘会推荐等服务，切实拓展辖区居民就业渠道；为辖区居民办理医保业务共计119人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开展“文惠千家”、“百姓艺校”公益培训课程、“书香润文景”全民阅读、“探索智慧营”亲子科普体验等系列特色文化活动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托综合文化中心阵地建设，精准对接辖区群众需求，以宣传教育引导、培育新技能、丰富居民生活为导向，倡导居民群众树立新时代文明生活方式，累计开展各类文化活动170场，覆盖辖区居民约4600人次，组织孵化培育文化志愿者34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辖区居民提供多角度的服务和支持，开展公共服务与活动组织、特殊群体关爱、社会资源整合与链接、矛盾纠纷调解，走访120户居民家庭，了解居民需求；完成3场党员活动，鼓励社区党员带头参与志愿服务，起到先锋模范作用；完成</w:t>
      </w: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场议事协商活动</w:t>
      </w:r>
      <w:r>
        <w:rPr>
          <w:rFonts w:hint="eastAsia" w:ascii="仿宋_GB2312" w:hAnsi="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培训、5场楼门长治理主题培训、1场参访交流活动，培育志愿型楼门长81位。开展8个试点楼门特色文化建设，助力打造永丰里小区的基层治理特色服务品牌；完成4场志愿者招募活动、2场睦邻志愿服务活动、4场培训，培育3支社区志愿者队伍组织；召开社区志愿者表彰及工作研讨会1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开展物业培训10余次，召开物业企业工作沟通会5次，开展专家全面评估及评价工作2次，发现并督促解决安全隐患90余处等，进一步加强文景街道物业服务企业的规范性，改进物业服务水平、解决物业管理实际问题，提高居民满意度，最终达到物业类诉求降量提质的工作目标。对文景街道临时政务服务大厅进行基础改造，实现政务服务基本功能；完成永丰里B区市民文体活动室场地修整，保障居民开展基本体育活动。组织无偿献血活动1次，动员无偿献血爱心人士40余名，累计成功献血58个单位，超额完成全年指标；关心关爱辖区居民身心健康，定期开展健康指导、健康宣教、疾病预防、就诊指导、心理疏导等宣传活动。</w:t>
      </w:r>
      <w:r>
        <w:rPr>
          <w:rFonts w:hint="eastAsia" w:ascii="仿宋_GB2312" w:hAnsi="仿宋_GB2312" w:eastAsia="仿宋_GB2312" w:cs="仿宋_GB2312"/>
          <w:color w:val="auto"/>
          <w:kern w:val="0"/>
          <w:sz w:val="32"/>
          <w:szCs w:val="32"/>
          <w:highlight w:val="none"/>
          <w:lang w:val="en-US" w:eastAsia="zh-CN" w:bidi="ar"/>
        </w:rPr>
        <w:t>全方位城市管理：</w:t>
      </w:r>
      <w:r>
        <w:rPr>
          <w:rFonts w:hint="eastAsia" w:ascii="仿宋_GB2312" w:hAnsi="仿宋_GB2312" w:eastAsia="仿宋_GB2312" w:cs="仿宋_GB2312"/>
          <w:color w:val="auto"/>
          <w:sz w:val="32"/>
          <w:szCs w:val="32"/>
          <w:highlight w:val="none"/>
          <w:lang w:val="en-US" w:eastAsia="zh-CN"/>
        </w:rPr>
        <w:t>对德邑新时空小区北侧沿河路、九铺路西延路段、消防支队东侧路三条道路及辖区内地铁站前广场、下沉广场的常态化卫生清扫</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巡回保洁</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协助处理地铁站前广场及下沉广场区级环境问题162件，萧太后河及分洪渠、南大沟及退水渠河长件138件。网格化服务项目在协助网格平台和虚拟社区运维工作中接收、下派、回传区级下发案件3767件，录入虚拟社区平台网格员上报案件17366件。2024年巡查处置案件工作中，共出动巡查力量1757人次，巡查地块891处次，上报网格案件6194件，自处置案件1130件，解决区级案件615件。</w:t>
      </w:r>
      <w:r>
        <w:rPr>
          <w:rFonts w:hint="eastAsia" w:ascii="仿宋_GB2312" w:hAnsi="仿宋_GB2312" w:eastAsia="仿宋_GB2312" w:cs="仿宋_GB2312"/>
          <w:color w:val="auto"/>
          <w:kern w:val="2"/>
          <w:sz w:val="32"/>
          <w:szCs w:val="32"/>
          <w:highlight w:val="none"/>
          <w:lang w:val="en-US" w:eastAsia="zh-CN" w:bidi="ar-SA"/>
        </w:rPr>
        <w:t>对辖区内林地绿地开展巡查</w:t>
      </w:r>
      <w:r>
        <w:rPr>
          <w:rFonts w:hint="eastAsia" w:ascii="仿宋_GB2312" w:hAnsi="仿宋_GB2312" w:eastAsia="仿宋_GB2312" w:cs="仿宋_GB2312"/>
          <w:color w:val="auto"/>
          <w:sz w:val="32"/>
          <w:szCs w:val="32"/>
          <w:highlight w:val="none"/>
          <w:lang w:val="en-US" w:eastAsia="zh-CN"/>
        </w:rPr>
        <w:t>共出动3600余人次</w:t>
      </w:r>
      <w:r>
        <w:rPr>
          <w:rFonts w:hint="eastAsia" w:ascii="仿宋_GB2312" w:hAnsi="仿宋_GB2312" w:eastAsia="仿宋_GB2312" w:cs="仿宋_GB2312"/>
          <w:color w:val="auto"/>
          <w:kern w:val="2"/>
          <w:sz w:val="32"/>
          <w:szCs w:val="32"/>
          <w:highlight w:val="none"/>
          <w:lang w:val="en-US" w:eastAsia="zh-CN" w:bidi="ar-SA"/>
        </w:rPr>
        <w:t>，协助处理市区下派涉及林地绿地环境问题239个</w:t>
      </w:r>
      <w:r>
        <w:rPr>
          <w:rFonts w:hint="eastAsia" w:ascii="仿宋_GB2312" w:hAnsi="仿宋_GB2312" w:eastAsia="仿宋_GB2312" w:cs="仿宋_GB2312"/>
          <w:color w:val="auto"/>
          <w:sz w:val="32"/>
          <w:szCs w:val="32"/>
          <w:highlight w:val="none"/>
          <w:lang w:val="en-US" w:eastAsia="zh-CN"/>
        </w:rPr>
        <w:t>。协助维护地铁站周边、居民小区等重点区域的共享单车和非机动车停放秩序</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调度车辆800余次，处理违停车辆4000余辆。应急处置市区级环境件、区级网格件、接诉即办工单、自查问题等94处。在曹园逸家、德邑新时空、永丰里3个小区的34处投放点位</w:t>
      </w:r>
      <w:r>
        <w:rPr>
          <w:rFonts w:hint="eastAsia" w:ascii="仿宋_GB2312" w:hAnsi="仿宋_GB2312" w:eastAsia="仿宋_GB2312" w:cs="仿宋_GB2312"/>
          <w:color w:val="auto"/>
          <w:sz w:val="32"/>
          <w:szCs w:val="32"/>
          <w:highlight w:val="none"/>
        </w:rPr>
        <w:t>安排专业值守力量，落实桶前值守工作，</w:t>
      </w:r>
      <w:r>
        <w:rPr>
          <w:rFonts w:hint="eastAsia" w:ascii="仿宋_GB2312" w:hAnsi="仿宋_GB2312" w:eastAsia="仿宋_GB2312" w:cs="仿宋_GB2312"/>
          <w:color w:val="auto"/>
          <w:sz w:val="32"/>
          <w:szCs w:val="32"/>
          <w:highlight w:val="none"/>
          <w:lang w:eastAsia="zh-CN"/>
        </w:rPr>
        <w:t>并完成</w:t>
      </w:r>
      <w:r>
        <w:rPr>
          <w:rFonts w:hint="eastAsia" w:ascii="仿宋_GB2312" w:hAnsi="仿宋_GB2312" w:eastAsia="仿宋_GB2312" w:cs="仿宋_GB2312"/>
          <w:color w:val="auto"/>
          <w:sz w:val="32"/>
          <w:szCs w:val="32"/>
          <w:highlight w:val="none"/>
          <w:lang w:val="en-US" w:eastAsia="zh-CN"/>
        </w:rPr>
        <w:t>3400</w:t>
      </w:r>
      <w:r>
        <w:rPr>
          <w:rFonts w:hint="eastAsia" w:ascii="仿宋_GB2312" w:hAnsi="仿宋_GB2312" w:eastAsia="仿宋_GB2312" w:cs="仿宋_GB2312"/>
          <w:color w:val="auto"/>
          <w:sz w:val="32"/>
          <w:szCs w:val="32"/>
          <w:highlight w:val="none"/>
        </w:rPr>
        <w:t>余</w:t>
      </w:r>
      <w:r>
        <w:rPr>
          <w:rFonts w:hint="eastAsia" w:ascii="仿宋_GB2312" w:hAnsi="仿宋_GB2312" w:eastAsia="仿宋_GB2312" w:cs="仿宋_GB2312"/>
          <w:color w:val="auto"/>
          <w:sz w:val="32"/>
          <w:szCs w:val="32"/>
          <w:highlight w:val="none"/>
          <w:lang w:eastAsia="zh-CN"/>
        </w:rPr>
        <w:t>户</w:t>
      </w:r>
      <w:r>
        <w:rPr>
          <w:rFonts w:hint="eastAsia" w:ascii="仿宋_GB2312" w:hAnsi="仿宋_GB2312" w:eastAsia="仿宋_GB2312" w:cs="仿宋_GB2312"/>
          <w:color w:val="auto"/>
          <w:sz w:val="32"/>
          <w:szCs w:val="32"/>
          <w:highlight w:val="none"/>
        </w:rPr>
        <w:t>入户宣传</w:t>
      </w:r>
      <w:r>
        <w:rPr>
          <w:rFonts w:hint="eastAsia" w:ascii="仿宋_GB2312" w:hAnsi="仿宋_GB2312" w:eastAsia="仿宋_GB2312" w:cs="仿宋_GB2312"/>
          <w:color w:val="auto"/>
          <w:sz w:val="32"/>
          <w:szCs w:val="32"/>
          <w:highlight w:val="none"/>
          <w:lang w:eastAsia="zh-CN"/>
        </w:rPr>
        <w:t>。和谐柔性执法服务：</w:t>
      </w:r>
      <w:r>
        <w:rPr>
          <w:rFonts w:hint="eastAsia" w:ascii="仿宋_GB2312" w:hAnsi="仿宋_GB2312" w:eastAsia="仿宋_GB2312" w:cs="仿宋_GB2312"/>
          <w:color w:val="auto"/>
          <w:kern w:val="2"/>
          <w:sz w:val="32"/>
          <w:szCs w:val="32"/>
          <w:highlight w:val="none"/>
          <w:lang w:val="en-US" w:eastAsia="zh-CN" w:bidi="ar-SA"/>
        </w:rPr>
        <w:t>重点对占道经营类、施工工地管理类、“三烧”类、散发及张贴宣传品广告类及其他街面环境秩序类等不良现象进行巡查检查、教育劝导</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2024年综合执法考核工作排名全区前列。春风化雨接诉即办：流程化接派、数据分析、点位巡查各组分工，做好工单流转，完成7（天）*24（小时）值守区级接诉即办系统平台及辅助接派单等；强化数据分析，协助分析日会商、周调度、月度复盘、专题调度等相关数据；强化点位核查，针对环境秩序、民生保障、安全隐患类重点诉求，做好诉求点位摸排及辖区日常点位核查等工作，共核查点位1796次、出动人次2002次。2024年文景街道市直派+区分转综合成绩为 98.82 分，同比上升1.98分，排在全区第1名。细致入微社区管理：</w:t>
      </w:r>
      <w:r>
        <w:rPr>
          <w:rFonts w:hint="eastAsia" w:ascii="仿宋_GB2312" w:hAnsi="仿宋_GB2312" w:eastAsia="仿宋_GB2312" w:cs="仿宋_GB2312"/>
          <w:color w:val="auto"/>
          <w:kern w:val="2"/>
          <w:sz w:val="32"/>
          <w:szCs w:val="32"/>
          <w:highlight w:val="none"/>
          <w:lang w:val="en" w:eastAsia="zh-CN" w:bidi="ar-SA"/>
        </w:rPr>
        <w:t>开展各类居民活动</w:t>
      </w:r>
      <w:r>
        <w:rPr>
          <w:rFonts w:hint="eastAsia" w:ascii="仿宋_GB2312" w:hAnsi="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 w:eastAsia="zh-CN" w:bidi="ar-SA"/>
        </w:rPr>
        <w:t>做好居民民生保障，开展社区治安防范等相关工作，有效地解决了居民问题，满足了居民需求，保障了小区安全平稳运行；实施采购永丰里入户走访物品项目，采购香皂作为走访物品，根据永丰里小区实际情况购入</w:t>
      </w:r>
      <w:r>
        <w:rPr>
          <w:rFonts w:hint="eastAsia" w:ascii="仿宋_GB2312" w:hAnsi="仿宋_GB2312" w:eastAsia="仿宋_GB2312" w:cs="仿宋_GB2312"/>
          <w:color w:val="auto"/>
          <w:kern w:val="2"/>
          <w:sz w:val="32"/>
          <w:szCs w:val="32"/>
          <w:highlight w:val="none"/>
          <w:lang w:val="en-US" w:eastAsia="zh-CN" w:bidi="ar-SA"/>
        </w:rPr>
        <w:t>3000份走访物品，通过入户上门及分发物品的形式，使专班与居民建立广泛联系，增加居民对专班的知晓度；实施永丰里小区青少年活动服务项目，开展活动21场，通过让青少年广泛参与活动，以及建立青少年志愿服务队伍，实现睦邻友好、共治共建的社区氛围；实施永丰里小区为老志愿服务孵化培育项目，累计开展活动33场，并成立了一支13人的“银发剪刀队”，通过义诊、义剪的活动，以及组建老年志愿者队伍的方式，提升辖区内老年人的归属感和幸福感；实施采购永丰里小区志愿者服饰项目，购买志愿者服饰夏装300件，冲锋衣300件，手套300副，展现了志愿者队伍的风采，提高了志愿者队伍的专业性；实施采购永丰里小区志愿者积分兑换物品项目，购入洗手液、洗衣液等生活日用品以及米、面、小米等副食品，调动了居民参与社区志愿服务的热情，更使现有志愿者积极性大幅提高。暖心贴心财源统计：购置“两区”标志性构筑物及财源、统计宣传物资，深化“两区”宣传效果，支持辖区重点企业及税源企业发展并促进辖区企业对接交流。定制印刷产业招商手册，有效宣传推广文化旅游区区位、各产业项目和政策情况，进而推动辖区招商引资工作。</w:t>
      </w:r>
      <w:r>
        <w:rPr>
          <w:rFonts w:hint="eastAsia" w:ascii="仿宋_GB2312" w:hAnsi="仿宋_GB2312" w:eastAsia="仿宋_GB2312" w:cs="仿宋_GB2312"/>
          <w:color w:val="auto"/>
          <w:sz w:val="32"/>
          <w:szCs w:val="32"/>
          <w:highlight w:val="none"/>
        </w:rPr>
        <w:t>指挥中心配备41台电话座机，</w:t>
      </w:r>
      <w:r>
        <w:rPr>
          <w:rFonts w:hint="eastAsia" w:ascii="仿宋_GB2312" w:hAnsi="仿宋_GB2312" w:eastAsia="仿宋_GB2312" w:cs="仿宋_GB2312"/>
          <w:color w:val="auto"/>
          <w:sz w:val="32"/>
          <w:szCs w:val="32"/>
          <w:highlight w:val="none"/>
          <w:lang w:val="en-US" w:eastAsia="zh-CN"/>
        </w:rPr>
        <w:t>保障</w:t>
      </w:r>
      <w:r>
        <w:rPr>
          <w:rFonts w:hint="eastAsia" w:ascii="仿宋_GB2312" w:hAnsi="仿宋_GB2312" w:eastAsia="仿宋_GB2312" w:cs="仿宋_GB2312"/>
          <w:color w:val="auto"/>
          <w:sz w:val="32"/>
          <w:szCs w:val="32"/>
          <w:highlight w:val="none"/>
        </w:rPr>
        <w:t>指挥中心坐席人员</w:t>
      </w:r>
      <w:r>
        <w:rPr>
          <w:rFonts w:hint="eastAsia" w:ascii="仿宋_GB2312" w:hAnsi="仿宋_GB2312" w:eastAsia="仿宋_GB2312" w:cs="仿宋_GB2312"/>
          <w:color w:val="auto"/>
          <w:sz w:val="32"/>
          <w:szCs w:val="32"/>
          <w:highlight w:val="none"/>
          <w:lang w:val="en-US" w:eastAsia="zh-CN"/>
        </w:rPr>
        <w:t>通讯顺畅，及时有效协调相关部门处置突发情况</w:t>
      </w:r>
      <w:r>
        <w:rPr>
          <w:rFonts w:hint="eastAsia" w:ascii="仿宋_GB2312" w:hAnsi="仿宋_GB2312" w:eastAsia="仿宋_GB2312" w:cs="仿宋_GB2312"/>
          <w:color w:val="auto"/>
          <w:sz w:val="32"/>
          <w:szCs w:val="32"/>
          <w:highlight w:val="none"/>
          <w:lang w:eastAsia="zh-CN"/>
        </w:rPr>
        <w:t>。</w:t>
      </w:r>
    </w:p>
    <w:p>
      <w:pPr>
        <w:pStyle w:val="3"/>
        <w:numPr>
          <w:ilvl w:val="3"/>
          <w:numId w:val="0"/>
        </w:numPr>
        <w:ind w:leftChars="0"/>
        <w:rPr>
          <w:rFonts w:hint="default"/>
          <w:b w:val="0"/>
          <w:bCs/>
          <w:lang w:val="en-US" w:eastAsia="zh-CN"/>
        </w:rPr>
      </w:pPr>
      <w:r>
        <w:rPr>
          <w:rFonts w:hint="eastAsia" w:ascii="仿宋_GB2312" w:hAnsi="仿宋_GB2312" w:eastAsia="仿宋_GB2312" w:cs="仿宋_GB2312"/>
          <w:b w:val="0"/>
          <w:bCs/>
          <w:color w:val="auto"/>
          <w:sz w:val="32"/>
          <w:szCs w:val="32"/>
          <w:highlight w:val="none"/>
          <w:lang w:val="en-US" w:eastAsia="zh-CN"/>
        </w:rPr>
        <w:t xml:space="preserve">    （3）2024年小微项目惠民生资金19.75万元：实施德邑新时空小区接入市政污水管线项目，一是破除小区现状污水井（含清淤）、破除及恢复现状混凝土路面及围墙，破除及恢复文旅路与德邑路八字口处道路结构层，二是新建污水管(DN400）长度约235米，新建混凝土污水井室3个，三是因道路外绿地新建污水井，为避免污水管线长期泡水造成断裂，需在新建污水管线底部施工150cm垫层以确保稳定性。居民居住环境得到改善。</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（4）财源建设工作专项-宣传标识购置项目39.61万元：购置辖区公共服务环境提升宣传标识，进一步提升辖区财源建设公共服务能力，扩大“两区”及文化旅游区宣传效果。</w:t>
      </w:r>
    </w:p>
    <w:p>
      <w:pPr>
        <w:pStyle w:val="2"/>
        <w:ind w:left="0" w:leftChars="0" w:firstLine="640" w:firstLineChars="200"/>
        <w:rPr>
          <w:rFonts w:hint="eastAsia"/>
          <w:b w:val="0"/>
          <w:bCs w:val="0"/>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第二批</w:t>
      </w:r>
      <w:r>
        <w:rPr>
          <w:rFonts w:hint="eastAsia" w:ascii="仿宋_GB2312" w:hAnsi="仿宋_GB2312" w:eastAsia="仿宋_GB2312" w:cs="仿宋_GB2312"/>
          <w:color w:val="auto"/>
          <w:sz w:val="32"/>
          <w:szCs w:val="32"/>
          <w:highlight w:val="none"/>
        </w:rPr>
        <w:t>小微项目惠民生资金</w:t>
      </w:r>
      <w:r>
        <w:rPr>
          <w:rFonts w:hint="eastAsia" w:ascii="仿宋_GB2312" w:hAnsi="仿宋_GB2312" w:eastAsia="仿宋_GB2312" w:cs="仿宋_GB2312"/>
          <w:color w:val="auto"/>
          <w:sz w:val="32"/>
          <w:szCs w:val="32"/>
          <w:highlight w:val="none"/>
          <w:lang w:val="en-US" w:eastAsia="zh-CN"/>
        </w:rPr>
        <w:t>120.4万元</w:t>
      </w:r>
      <w:r>
        <w:rPr>
          <w:rFonts w:hint="eastAsia" w:ascii="仿宋_GB2312" w:hAnsi="仿宋_GB2312" w:eastAsia="仿宋_GB2312" w:cs="仿宋_GB2312"/>
          <w:color w:val="auto"/>
          <w:sz w:val="32"/>
          <w:szCs w:val="32"/>
          <w:highlight w:val="none"/>
        </w:rPr>
        <w:t>：按照“小微项目惠民生”资金要求支出，</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lang w:eastAsia="zh-CN"/>
        </w:rPr>
        <w:t>花庄地铁站区域交通治理项目包含东六环桥下涵洞非机动车停车秩序、大高力庄东侧道路整体优化提升、花庄地铁站C口电动自行车停车场地改造及花庄区域公共设施增补等。一是加宽路面，按照现有人行步道砖材质路面进行加宽，拓宽面积约3200平米，将现有道路东南侧围挡拆除移至加宽路外侧。二是建设非机动车棚，建设面积约800平方米。三是建设配套设施，根据居民出行需求随路及车棚建设标识牌、果皮箱、路灯等配套设施。</w:t>
      </w:r>
    </w:p>
    <w:p>
      <w:pPr>
        <w:pStyle w:val="2"/>
        <w:numPr>
          <w:ilvl w:val="0"/>
          <w:numId w:val="0"/>
        </w:numPr>
        <w:ind w:firstLine="640" w:firstLineChars="200"/>
        <w:rPr>
          <w:rFonts w:hint="default" w:eastAsia="宋体"/>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年公益性电影放映工程费用</w:t>
      </w:r>
      <w:r>
        <w:rPr>
          <w:rFonts w:hint="eastAsia" w:ascii="仿宋_GB2312" w:hAnsi="仿宋_GB2312" w:eastAsia="仿宋_GB2312" w:cs="仿宋_GB2312"/>
          <w:color w:val="auto"/>
          <w:sz w:val="32"/>
          <w:szCs w:val="32"/>
          <w:highlight w:val="none"/>
          <w:lang w:val="en-US" w:eastAsia="zh-CN"/>
        </w:rPr>
        <w:t>1.01万元</w:t>
      </w:r>
      <w:r>
        <w:rPr>
          <w:rFonts w:hint="eastAsia" w:ascii="仿宋_GB2312" w:hAnsi="仿宋_GB2312" w:eastAsia="仿宋_GB2312" w:cs="仿宋_GB2312"/>
          <w:color w:val="auto"/>
          <w:sz w:val="32"/>
          <w:szCs w:val="32"/>
          <w:highlight w:val="none"/>
        </w:rPr>
        <w:t>：已完成202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年电影公益放映14</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场，根据北京市电影公益放映补贴标准，支付工作人员补贴，提升丰富辖区居民精神文化生活。</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）2024年通州区接诉即办专项经费246.06万元：</w:t>
      </w:r>
      <w:r>
        <w:rPr>
          <w:rFonts w:hint="eastAsia" w:ascii="仿宋_GB2312" w:hAnsi="仿宋_GB2312" w:eastAsia="仿宋_GB2312" w:cs="仿宋_GB2312"/>
          <w:color w:val="auto"/>
          <w:sz w:val="32"/>
          <w:szCs w:val="32"/>
          <w:highlight w:val="none"/>
          <w:lang w:eastAsia="zh-CN"/>
        </w:rPr>
        <w:t>通过实施永丰里小区E区建设非机动车充电车棚项目，在</w:t>
      </w:r>
      <w:r>
        <w:rPr>
          <w:rFonts w:hint="eastAsia" w:ascii="仿宋_GB2312" w:hAnsi="仿宋_GB2312" w:eastAsia="仿宋_GB2312" w:cs="仿宋_GB2312"/>
          <w:color w:val="auto"/>
          <w:sz w:val="32"/>
          <w:szCs w:val="32"/>
          <w:highlight w:val="none"/>
        </w:rPr>
        <w:t>永丰里小区E区西侧建设1处非机动车充电车棚，缓解了小区停车、充电难的问题，推动了诉求的解决，使得相关诉求量减少，提升了诉求处置效果</w:t>
      </w:r>
      <w:r>
        <w:rPr>
          <w:rFonts w:hint="eastAsia" w:ascii="仿宋_GB2312" w:hAnsi="仿宋_GB2312" w:eastAsia="仿宋_GB2312" w:cs="仿宋_GB2312"/>
          <w:color w:val="auto"/>
          <w:sz w:val="32"/>
          <w:szCs w:val="32"/>
          <w:highlight w:val="none"/>
          <w:lang w:eastAsia="zh-CN"/>
        </w:rPr>
        <w:t>；实施永丰里小区加装监控摄像头项目，新增51处监控摄像头，对曾经的视野盲区进行有效覆盖，补充了监控缺口，有效提升了诉求处置效果；实施永丰里小区冬季服务保障项目，购置大、小号除雪铲共</w:t>
      </w:r>
      <w:r>
        <w:rPr>
          <w:rFonts w:hint="eastAsia" w:ascii="仿宋_GB2312" w:hAnsi="仿宋_GB2312" w:eastAsia="仿宋_GB2312" w:cs="仿宋_GB2312"/>
          <w:color w:val="auto"/>
          <w:sz w:val="32"/>
          <w:szCs w:val="32"/>
          <w:highlight w:val="none"/>
          <w:lang w:val="en-US" w:eastAsia="zh-CN"/>
        </w:rPr>
        <w:t>60个、吹雪机10台、喷壶5个以及防滑垫若干，加强了社区雨雪天气的应急处置能力，提高小区居民认同感；实施永丰里小区接诉即办快速处置服务项目，围绕小区居民投诉的源头预防、前端化解，能做到主动治理、未诉先办，快速有效处理集中性、突发性民生类问题及产权不清晰导致无法及时处置类问题，有效提高了诉求办理速度和质量提升了基层治理能力和水平。</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过对德邑新时空小区全年管道、化粪池及单元楼管道清理整治、对楼道内破损严重地面瓷砖和楼梯扶手进行修复等，有效保障了小区居民居住环境及日常生活；小区六个化粪池进行沉积物深度清理和吸污，并出具第三方水质检测合格报告，为该小区接入市政污水管线奠定了基础，有效提升了小区居民居住环境；</w:t>
      </w:r>
      <w:r>
        <w:rPr>
          <w:rFonts w:hint="eastAsia" w:ascii="仿宋_GB2312" w:hAnsi="仿宋_GB2312" w:eastAsia="仿宋_GB2312" w:cs="仿宋_GB2312"/>
          <w:color w:val="auto"/>
          <w:sz w:val="32"/>
          <w:szCs w:val="32"/>
          <w:highlight w:val="none"/>
        </w:rPr>
        <w:t>小区内12栋楼各单元门口供暖管道进行更换，每栋楼下需更换的管道长度</w:t>
      </w:r>
      <w:r>
        <w:rPr>
          <w:rFonts w:hint="eastAsia" w:ascii="仿宋_GB2312" w:hAnsi="仿宋_GB2312" w:eastAsia="仿宋_GB2312" w:cs="仿宋_GB2312"/>
          <w:color w:val="auto"/>
          <w:sz w:val="32"/>
          <w:szCs w:val="32"/>
          <w:highlight w:val="none"/>
          <w:lang w:eastAsia="zh-CN"/>
        </w:rPr>
        <w:t>约</w:t>
      </w:r>
      <w:r>
        <w:rPr>
          <w:rFonts w:hint="eastAsia" w:ascii="仿宋_GB2312" w:hAnsi="仿宋_GB2312" w:eastAsia="仿宋_GB2312" w:cs="仿宋_GB2312"/>
          <w:color w:val="auto"/>
          <w:sz w:val="32"/>
          <w:szCs w:val="32"/>
          <w:highlight w:val="none"/>
        </w:rPr>
        <w:t>190米</w:t>
      </w:r>
      <w:r>
        <w:rPr>
          <w:rFonts w:hint="eastAsia" w:ascii="仿宋_GB2312" w:hAnsi="仿宋_GB2312" w:eastAsia="仿宋_GB2312" w:cs="仿宋_GB2312"/>
          <w:color w:val="auto"/>
          <w:sz w:val="32"/>
          <w:szCs w:val="32"/>
          <w:highlight w:val="none"/>
          <w:lang w:eastAsia="zh-CN"/>
        </w:rPr>
        <w:t>，穿管并敷设电缆</w:t>
      </w:r>
      <w:r>
        <w:rPr>
          <w:rFonts w:hint="eastAsia" w:ascii="仿宋_GB2312" w:hAnsi="仿宋_GB2312" w:eastAsia="仿宋_GB2312" w:cs="仿宋_GB2312"/>
          <w:color w:val="auto"/>
          <w:sz w:val="32"/>
          <w:szCs w:val="32"/>
          <w:highlight w:val="none"/>
          <w:lang w:val="en-US" w:eastAsia="zh-CN"/>
        </w:rPr>
        <w:t>750米；小区内雨落管线维修及更换，居民楼井盖、雨水篦子应急维修等，有效解决群众急难愁盼问题，保障了小区居民居住环境。</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通过对曹园小区36处居民楼外墙及窗外框漏雨点位的修补，保障了居民居住环境，有效解决群众诉求；优化</w:t>
      </w:r>
      <w:r>
        <w:rPr>
          <w:rFonts w:hint="eastAsia" w:ascii="仿宋_GB2312" w:hAnsi="仿宋_GB2312" w:eastAsia="仿宋_GB2312" w:cs="仿宋_GB2312"/>
          <w:color w:val="auto"/>
          <w:kern w:val="0"/>
          <w:sz w:val="32"/>
          <w:szCs w:val="32"/>
          <w:highlight w:val="none"/>
          <w:lang w:eastAsia="zh-CN" w:bidi="ar"/>
        </w:rPr>
        <w:t>智慧门禁平台和电动自行车管理平台，</w:t>
      </w:r>
      <w:r>
        <w:rPr>
          <w:rFonts w:hint="eastAsia" w:ascii="仿宋_GB2312" w:hAnsi="仿宋_GB2312" w:eastAsia="仿宋_GB2312" w:cs="仿宋_GB2312"/>
          <w:color w:val="auto"/>
          <w:kern w:val="0"/>
          <w:sz w:val="32"/>
          <w:szCs w:val="32"/>
          <w:highlight w:val="none"/>
          <w:lang w:val="en-US" w:eastAsia="zh-CN" w:bidi="ar"/>
        </w:rPr>
        <w:t>购置133个监测芯片、40张物联网卡，</w:t>
      </w:r>
      <w:r>
        <w:rPr>
          <w:rFonts w:hint="eastAsia" w:ascii="仿宋_GB2312" w:hAnsi="仿宋_GB2312" w:eastAsia="仿宋_GB2312" w:cs="仿宋_GB2312"/>
          <w:color w:val="auto"/>
          <w:kern w:val="0"/>
          <w:sz w:val="32"/>
          <w:szCs w:val="32"/>
          <w:highlight w:val="none"/>
          <w:lang w:eastAsia="zh-CN" w:bidi="ar"/>
        </w:rPr>
        <w:t>确保平台网络畅通，系统正常运行，</w:t>
      </w:r>
      <w:r>
        <w:rPr>
          <w:rFonts w:hint="eastAsia" w:ascii="仿宋_GB2312" w:hAnsi="仿宋_GB2312" w:eastAsia="仿宋_GB2312" w:cs="仿宋_GB2312"/>
          <w:color w:val="auto"/>
          <w:kern w:val="0"/>
          <w:sz w:val="32"/>
          <w:szCs w:val="32"/>
          <w:highlight w:val="none"/>
          <w:lang w:val="en-US" w:eastAsia="zh-CN" w:bidi="ar"/>
        </w:rPr>
        <w:t>并</w:t>
      </w:r>
      <w:r>
        <w:rPr>
          <w:rFonts w:hint="eastAsia" w:ascii="仿宋_GB2312" w:hAnsi="仿宋_GB2312" w:eastAsia="仿宋_GB2312" w:cs="仿宋_GB2312"/>
          <w:color w:val="auto"/>
          <w:kern w:val="0"/>
          <w:sz w:val="32"/>
          <w:szCs w:val="32"/>
          <w:highlight w:val="none"/>
          <w:lang w:eastAsia="zh-CN" w:bidi="ar"/>
        </w:rPr>
        <w:t>提供持续的软件更新、数据安全保障及技术支持，同时提供硬件设施的维修及更换，</w:t>
      </w:r>
      <w:r>
        <w:rPr>
          <w:rFonts w:hint="eastAsia" w:ascii="仿宋_GB2312" w:hAnsi="仿宋_GB2312" w:eastAsia="仿宋_GB2312" w:cs="仿宋_GB2312"/>
          <w:color w:val="auto"/>
          <w:kern w:val="0"/>
          <w:sz w:val="32"/>
          <w:szCs w:val="32"/>
          <w:highlight w:val="none"/>
          <w:lang w:val="en-US" w:eastAsia="zh-CN" w:bidi="ar"/>
        </w:rPr>
        <w:t>一方面降低了居民相关诉求，另一方面提升了社区管理的智慧化程度，提高了社区居住的安全指数。</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在辖区运粮引河路两侧安装25个监控摄像探头，采取道路两侧交替安装的形式，通过地下布设光纤连接前终端设备，将监控摄像探头连接至指挥中心平台，提高了突发情况发现处置效率，为突发事件提供可视化证据，辖区安全指数持续提升。该路段未再发生电缆丢失情况，同时降低了因九棵树中路修路导致的运粮引河路交通压力激增带来的事故风险，保障了居民日常出行安全。</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文化旅游区战略留白地块临时绿化工程建设资金82.58万元：按照第121期区政府专题会精神以及原文旅区管委会的相关授权批复，由北京建工国通建设工程有限责任公司（以下简称建工国通公司）作为建设主体，实施文化旅游区战略留白地块临时绿化工程。包括文化旅游区环球南侧战略留白临时绿化工程总投资767.63万元、2021年战略留白临时绿化工程总投资187.52万元。两项工程已分别于2021年11月、2022年3月完成竣工验收，并由第三方审计出具竣工决算审核报告。两项工程已分别收到区财政拨款712.83万元和159.74万元，由原文旅区管委会拨付至建工国通公司。两项工程剩余款项合计82.58万元，其中文化旅游区环球南侧战略留白临时绿化工程54.8万元，2021年战略留白临时绿化工程27.77万元。</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2021战略留白项目完成园林绿化面积约39154平方米，园路1787平方米灌溉给水管线总长度1100米。南侧战略留白项目绿化总面积约175000平方米，建设内容为文化旅游区环球南侧战略留白地块临时绿化工程、给排水工程。美化文旅区环境。</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）“文心筑梦景绘家苑”文化活动项目</w:t>
      </w:r>
      <w:r>
        <w:rPr>
          <w:rFonts w:hint="eastAsia" w:ascii="仿宋_GB2312" w:hAnsi="仿宋_GB2312" w:eastAsia="仿宋_GB2312" w:cs="仿宋_GB2312"/>
          <w:color w:val="auto"/>
          <w:sz w:val="32"/>
          <w:szCs w:val="32"/>
          <w:highlight w:val="none"/>
          <w:lang w:val="en-US" w:eastAsia="zh-CN"/>
        </w:rPr>
        <w:t>38.88万元：在文景辖区举办了12场基层传统文化传承活动，包括书法、篆刻、面塑等传统文化体验课堂；通过培训、孵化等形式，培育3支具有区域特色的文化队伍以及以汉服文化为核心的“国潮FANS团”；结合重要传统节日和中心工作，成功举办4场文化主题活动，并根据地区特色举办“光影无界 文化交融”主题摄影展。进一步增进中外文化以及传统和潮流文化的结合，丰富辖区居民的文化生活，提升地区文化品牌影响力。</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）区委组织部2023年党群服务中心建设经费</w:t>
      </w:r>
      <w:r>
        <w:rPr>
          <w:rFonts w:hint="eastAsia" w:ascii="仿宋_GB2312" w:hAnsi="仿宋_GB2312" w:eastAsia="仿宋_GB2312" w:cs="仿宋_GB2312"/>
          <w:color w:val="auto"/>
          <w:sz w:val="32"/>
          <w:szCs w:val="32"/>
          <w:highlight w:val="none"/>
          <w:lang w:val="en-US" w:eastAsia="zh-CN"/>
        </w:rPr>
        <w:t>20万元：通过购置文景街道党群服务中心智慧化设备，使街道党群服务中心智慧化水平迈上了新台阶。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color w:val="auto"/>
          <w:sz w:val="32"/>
          <w:szCs w:val="32"/>
          <w:highlight w:val="none"/>
          <w:lang w:val="en-US" w:eastAsia="zh-CN"/>
        </w:rPr>
        <w:t>（11）“基层治理+村居融合”基层工作经费26.05万元：</w:t>
      </w:r>
      <w:r>
        <w:rPr>
          <w:rFonts w:hint="eastAsia" w:ascii="仿宋_GB2312" w:hAnsi="仿宋_GB2312" w:eastAsia="仿宋_GB2312" w:cs="仿宋_GB2312"/>
          <w:color w:val="auto"/>
          <w:kern w:val="0"/>
          <w:sz w:val="32"/>
          <w:szCs w:val="32"/>
          <w:highlight w:val="none"/>
          <w:lang w:val="en-US" w:eastAsia="zh-CN" w:bidi="ar-SA"/>
        </w:rPr>
        <w:t>为永丰里小区购置安装100套防腐木公园长椅、15套不锈钢象棋桌、一处宣传栏，通过对社区公共基础设施进行改造，保障居民日常生活，使小区居民拥有更舒适的生活环境。对德邑新时空小区内部及小区配套锅炉房、燃气站、泵房周边管线进行测量并绘制CAD图纸形成《德邑新时空管先测量技术报告》，对小区内部及配套区域地下雨水管线、污水管线、电力线路、化粪池等进行精确标绘，填补数据空白，便于今后专班筹备组及小区物业开展管道维护、抢修、疏通、更换等作业，减少人工及机械设备误触造成不必要损失。</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（1</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）文化旅游区智慧园区建设项目进度款</w:t>
      </w:r>
      <w:r>
        <w:rPr>
          <w:rFonts w:hint="eastAsia" w:ascii="仿宋_GB2312" w:hAnsi="仿宋_GB2312" w:eastAsia="仿宋_GB2312" w:cs="仿宋_GB2312"/>
          <w:b w:val="0"/>
          <w:bCs w:val="0"/>
          <w:color w:val="auto"/>
          <w:sz w:val="32"/>
          <w:szCs w:val="32"/>
          <w:highlight w:val="none"/>
          <w:lang w:val="en-US" w:eastAsia="zh-CN"/>
        </w:rPr>
        <w:t>2614.6万元。依托互联网大数据和前端感知设施，搭建“1+4”整体框架：建设AICC综合指挥中心，包括智能交通、公共安全、文旅服务、城市管理四大业务体系，为辖区交通调度、安全应急、秩序管控、游客服务等提供信息支撑，有效保障了环球主题公园顺利开园和平稳运行。</w:t>
      </w:r>
    </w:p>
    <w:p>
      <w:pPr>
        <w:widowControl w:val="0"/>
        <w:ind w:left="0" w:leftChars="0" w:firstLine="640" w:firstLineChars="200"/>
        <w:jc w:val="both"/>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社会部-社会建设资金10万元：完成辖区社工60个小时专业督导、3场外出交流学习活动，拓展基层社区工作人员服务能力；2次社区志愿者动员活动、4场志愿服务活动；面向社区鳏寡孤独及特殊疾病11户、重点诉求对象7户、问题家庭2户等特殊群体等重点服务对象，开展有针对性的个案服务20个；开展2个小组活动，分别为老年健康小组和青少年成长小组组织相应小组活动共12次。</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）2024年协管员工资项目</w:t>
      </w:r>
      <w:r>
        <w:rPr>
          <w:rFonts w:hint="eastAsia" w:ascii="仿宋_GB2312" w:hAnsi="仿宋_GB2312" w:eastAsia="仿宋_GB2312" w:cs="仿宋_GB2312"/>
          <w:color w:val="auto"/>
          <w:sz w:val="32"/>
          <w:szCs w:val="32"/>
          <w:highlight w:val="none"/>
          <w:lang w:val="en-US" w:eastAsia="zh-CN"/>
        </w:rPr>
        <w:t>769.2万元</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年度有效辅助完成街道辖区治安检查、城市管理、环境检查、辖区</w:t>
      </w:r>
      <w:r>
        <w:rPr>
          <w:rFonts w:hint="eastAsia" w:ascii="仿宋_GB2312" w:hAnsi="仿宋_GB2312" w:eastAsia="仿宋_GB2312" w:cs="仿宋_GB2312"/>
          <w:color w:val="auto"/>
          <w:sz w:val="32"/>
          <w:szCs w:val="32"/>
          <w:highlight w:val="none"/>
          <w:lang w:eastAsia="zh-CN"/>
        </w:rPr>
        <w:t>基层治理等</w:t>
      </w:r>
      <w:r>
        <w:rPr>
          <w:rFonts w:hint="eastAsia" w:ascii="仿宋_GB2312" w:hAnsi="仿宋_GB2312" w:eastAsia="仿宋_GB2312" w:cs="仿宋_GB2312"/>
          <w:color w:val="auto"/>
          <w:sz w:val="32"/>
          <w:szCs w:val="32"/>
          <w:highlight w:val="none"/>
        </w:rPr>
        <w:t>相关工作。</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eastAsia="宋体"/>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2024年对美术馆、公共图书馆、文化馆（站）免费开放补助资金（区级、市级）20万元：按照文旅局拨款明确要求支出，用于公共文化设施效能评估及提升、文化中心水电支出，提高了居民文化生活品质。</w:t>
      </w:r>
    </w:p>
    <w:p>
      <w:pPr>
        <w:pStyle w:val="3"/>
        <w:numPr>
          <w:ilvl w:val="3"/>
          <w:numId w:val="0"/>
        </w:numPr>
        <w:ind w:leftChars="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16</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结构性资金</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rPr>
        <w:t>通州区图书馆文景街道分馆装修改造项目57.73万元：充分发挥图书馆街道分馆功能，统筹辖区文化用地，对永丰里C区公共文化用房进行装修改造，完成约625平米建筑的室内局部改造等基础装修及部分家具配备，建成街道级通州区图书馆文景街道分馆。</w:t>
      </w:r>
    </w:p>
    <w:p>
      <w:pPr>
        <w:pStyle w:val="2"/>
        <w:ind w:left="0" w:leftChars="0" w:firstLine="640" w:firstLineChars="200"/>
        <w:rPr>
          <w:rFonts w:hint="eastAsia"/>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bidi="ar-SA"/>
        </w:rPr>
        <w:t>（17）财源建设工作专项-“以文塑旅绘新景”文景街道财源建设及文旅活动季项目48.16万元：开展3场招商推介会，邀请80余家餐饮品牌、主理人品牌负责人到文旅区深入了解湾里、通马路等TOD项目情况，增进多方合作；开展一次企业交流会活动，了解辖区企业情况，优化服务保障工作；开展一次自然摄影展，千余名市民、游客参与活动。</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）基层统计站经费</w:t>
      </w:r>
      <w:r>
        <w:rPr>
          <w:rFonts w:hint="eastAsia" w:ascii="仿宋_GB2312" w:hAnsi="仿宋_GB2312" w:eastAsia="仿宋_GB2312" w:cs="仿宋_GB2312"/>
          <w:color w:val="auto"/>
          <w:sz w:val="32"/>
          <w:szCs w:val="32"/>
          <w:highlight w:val="none"/>
          <w:lang w:val="en-US" w:eastAsia="zh-CN"/>
        </w:rPr>
        <w:t>0.4万元</w:t>
      </w:r>
      <w:r>
        <w:rPr>
          <w:rFonts w:hint="eastAsia" w:ascii="仿宋_GB2312" w:hAnsi="仿宋_GB2312" w:eastAsia="仿宋_GB2312" w:cs="仿宋_GB2312"/>
          <w:color w:val="auto"/>
          <w:sz w:val="32"/>
          <w:szCs w:val="32"/>
          <w:highlight w:val="none"/>
        </w:rPr>
        <w:t>：保障曹园村统计站的正常运转，顺利完成基层统计调查相关工作。</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）2023年通州区文景街道重点区域精细化管控项目</w:t>
      </w:r>
      <w:r>
        <w:rPr>
          <w:rFonts w:hint="eastAsia" w:ascii="仿宋_GB2312" w:hAnsi="仿宋_GB2312" w:eastAsia="仿宋_GB2312" w:cs="仿宋_GB2312"/>
          <w:color w:val="auto"/>
          <w:sz w:val="32"/>
          <w:szCs w:val="32"/>
          <w:highlight w:val="none"/>
          <w:lang w:val="en-US" w:eastAsia="zh-CN"/>
        </w:rPr>
        <w:t>32.78万元</w:t>
      </w:r>
      <w:r>
        <w:rPr>
          <w:rFonts w:hint="eastAsia" w:ascii="仿宋_GB2312" w:hAnsi="仿宋_GB2312" w:eastAsia="仿宋_GB2312" w:cs="仿宋_GB2312"/>
          <w:color w:val="auto"/>
          <w:sz w:val="32"/>
          <w:szCs w:val="32"/>
          <w:highlight w:val="none"/>
        </w:rPr>
        <w:t>：通过采取7×12小时方式对重点区域内污染源进行精细化巡查；对重点区域内的裸地、裸露树坑进行精确管控，对重点区域进行常态化降尘作业和对小区内部、单位院内积尘、遗撒等区域进行精细化清洁方式，在通州区整体气象条件不利的情况下，PM2.5区级监测数值排名全区第1</w:t>
      </w:r>
      <w:r>
        <w:rPr>
          <w:rFonts w:hint="eastAsia" w:ascii="仿宋_GB2312" w:hAnsi="仿宋_GB2312" w:eastAsia="仿宋_GB2312" w:cs="仿宋_GB2312"/>
          <w:color w:val="auto"/>
          <w:sz w:val="32"/>
          <w:szCs w:val="32"/>
          <w:highlight w:val="none"/>
          <w:lang w:eastAsia="zh-CN"/>
        </w:rPr>
        <w:t>名</w:t>
      </w:r>
      <w:r>
        <w:rPr>
          <w:rFonts w:hint="eastAsia" w:ascii="仿宋_GB2312" w:hAnsi="仿宋_GB2312" w:eastAsia="仿宋_GB2312" w:cs="仿宋_GB2312"/>
          <w:color w:val="auto"/>
          <w:sz w:val="32"/>
          <w:szCs w:val="32"/>
          <w:highlight w:val="none"/>
        </w:rPr>
        <w:t>。</w:t>
      </w:r>
    </w:p>
    <w:p>
      <w:pPr>
        <w:pStyle w:val="2"/>
        <w:numPr>
          <w:ilvl w:val="0"/>
          <w:numId w:val="4"/>
        </w:numPr>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区委组织部党群服务中心建设经费</w:t>
      </w:r>
      <w:r>
        <w:rPr>
          <w:rFonts w:hint="eastAsia" w:ascii="仿宋_GB2312" w:hAnsi="仿宋_GB2312" w:eastAsia="仿宋_GB2312" w:cs="仿宋_GB2312"/>
          <w:color w:val="auto"/>
          <w:sz w:val="32"/>
          <w:szCs w:val="32"/>
          <w:highlight w:val="none"/>
          <w:lang w:val="en-US" w:eastAsia="zh-CN"/>
        </w:rPr>
        <w:t>17.9万元：增设AR智慧党建沙盘1台，XR党建工作站1台，VR骑行1套，PICO一体机4台，提升了党员群众对党群服务中心活动的参与度。</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）统计员临时人员聘用经费</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劳务派遣</w:t>
      </w:r>
      <w:r>
        <w:rPr>
          <w:rFonts w:hint="eastAsia" w:ascii="仿宋_GB2312" w:hAnsi="仿宋_GB2312" w:eastAsia="仿宋_GB2312" w:cs="仿宋_GB2312"/>
          <w:color w:val="auto"/>
          <w:sz w:val="32"/>
          <w:szCs w:val="32"/>
          <w:highlight w:val="none"/>
        </w:rPr>
        <w:t>统计</w:t>
      </w:r>
      <w:r>
        <w:rPr>
          <w:rFonts w:hint="eastAsia" w:ascii="仿宋_GB2312" w:hAnsi="仿宋_GB2312" w:eastAsia="仿宋_GB2312" w:cs="仿宋_GB2312"/>
          <w:color w:val="auto"/>
          <w:sz w:val="32"/>
          <w:szCs w:val="32"/>
          <w:highlight w:val="none"/>
          <w:lang w:eastAsia="zh-CN"/>
        </w:rPr>
        <w:t>专员</w:t>
      </w:r>
      <w:r>
        <w:rPr>
          <w:rFonts w:hint="eastAsia" w:ascii="仿宋_GB2312" w:hAnsi="仿宋_GB2312" w:eastAsia="仿宋_GB2312" w:cs="仿宋_GB2312"/>
          <w:color w:val="auto"/>
          <w:sz w:val="32"/>
          <w:szCs w:val="32"/>
          <w:highlight w:val="none"/>
        </w:rPr>
        <w:t>1名，202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年度完成服务业、商业等各行业统计月度、季度、年度</w:t>
      </w:r>
      <w:r>
        <w:rPr>
          <w:rFonts w:hint="eastAsia" w:ascii="仿宋_GB2312" w:hAnsi="仿宋_GB2312" w:eastAsia="仿宋_GB2312" w:cs="仿宋_GB2312"/>
          <w:color w:val="auto"/>
          <w:sz w:val="32"/>
          <w:szCs w:val="32"/>
          <w:highlight w:val="none"/>
          <w:lang w:eastAsia="zh-CN"/>
        </w:rPr>
        <w:t>业务报表任务并</w:t>
      </w:r>
      <w:r>
        <w:rPr>
          <w:rFonts w:hint="eastAsia" w:ascii="仿宋_GB2312" w:hAnsi="仿宋_GB2312" w:eastAsia="仿宋_GB2312" w:cs="仿宋_GB2312"/>
          <w:color w:val="auto"/>
          <w:sz w:val="32"/>
          <w:szCs w:val="32"/>
          <w:highlight w:val="none"/>
        </w:rPr>
        <w:t>平稳推进各项临时性调查工作。</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（22）文景街道2024年度人口抽样调查0.</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36万元：2名调查人员补贴完成发放。</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rPr>
      </w:pPr>
      <w:r>
        <w:rPr>
          <w:rFonts w:hint="eastAsia" w:ascii="仿宋_GB2312" w:hAnsi="仿宋_GB2312" w:eastAsia="仿宋_GB2312" w:cs="仿宋_GB2312"/>
          <w:color w:val="auto"/>
          <w:sz w:val="32"/>
          <w:szCs w:val="32"/>
          <w:highlight w:val="none"/>
          <w:lang w:val="en-US" w:eastAsia="zh-CN"/>
        </w:rPr>
        <w:t>（23）2024-2025年重点区域精细化管控项目106.82万元：通过环境问题专项分析及精准调度进行空气质量综合分析研判；环境问题溯源及管护、常态化开展整个辖区重点问题的溯源工作；环境污染应急保障，在污染来临前、污染过程中和污染结束后分别采取对应的降尘清理服务，每日开展精细化降尘和除尘服务；重点裸地治理苫盖处置、精细化治理等措施。2024年全年，街道PM2.5浓度值排名全区并列第二；TSP浓度值排名全区第四。实现环境问题精准治理，提升辖区空气水平。</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年生活垃圾日常管理经费</w:t>
      </w:r>
      <w:r>
        <w:rPr>
          <w:rFonts w:hint="eastAsia" w:ascii="仿宋_GB2312" w:hAnsi="仿宋_GB2312" w:eastAsia="仿宋_GB2312" w:cs="仿宋_GB2312"/>
          <w:color w:val="auto"/>
          <w:sz w:val="32"/>
          <w:szCs w:val="32"/>
          <w:highlight w:val="none"/>
          <w:lang w:val="en-US" w:eastAsia="zh-CN"/>
        </w:rPr>
        <w:t>20.82万元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该项目</w:t>
      </w:r>
      <w:r>
        <w:rPr>
          <w:rFonts w:hint="eastAsia" w:ascii="仿宋_GB2312" w:hAnsi="仿宋_GB2312" w:eastAsia="仿宋_GB2312" w:cs="仿宋_GB2312"/>
          <w:color w:val="auto"/>
          <w:sz w:val="32"/>
          <w:szCs w:val="32"/>
          <w:highlight w:val="none"/>
          <w:lang w:val="en-US" w:eastAsia="zh-CN"/>
        </w:rPr>
        <w:t>在曹园逸家、德邑新时空、永丰里3个小区的34处投放点位</w:t>
      </w:r>
      <w:r>
        <w:rPr>
          <w:rFonts w:hint="eastAsia" w:ascii="仿宋_GB2312" w:hAnsi="仿宋_GB2312" w:eastAsia="仿宋_GB2312" w:cs="仿宋_GB2312"/>
          <w:color w:val="auto"/>
          <w:sz w:val="32"/>
          <w:szCs w:val="32"/>
          <w:highlight w:val="none"/>
        </w:rPr>
        <w:t>安排专业值守力量，落实桶前值守工作，</w:t>
      </w:r>
      <w:r>
        <w:rPr>
          <w:rFonts w:hint="eastAsia" w:ascii="仿宋_GB2312" w:hAnsi="仿宋_GB2312" w:eastAsia="仿宋_GB2312" w:cs="仿宋_GB2312"/>
          <w:color w:val="auto"/>
          <w:sz w:val="32"/>
          <w:szCs w:val="32"/>
          <w:highlight w:val="none"/>
          <w:lang w:eastAsia="zh-CN"/>
        </w:rPr>
        <w:t>并完成</w:t>
      </w:r>
      <w:r>
        <w:rPr>
          <w:rFonts w:hint="eastAsia" w:ascii="仿宋_GB2312" w:hAnsi="仿宋_GB2312" w:eastAsia="仿宋_GB2312" w:cs="仿宋_GB2312"/>
          <w:color w:val="auto"/>
          <w:sz w:val="32"/>
          <w:szCs w:val="32"/>
          <w:highlight w:val="none"/>
          <w:lang w:val="en-US" w:eastAsia="zh-CN"/>
        </w:rPr>
        <w:t>3400</w:t>
      </w:r>
      <w:r>
        <w:rPr>
          <w:rFonts w:hint="eastAsia" w:ascii="仿宋_GB2312" w:hAnsi="仿宋_GB2312" w:eastAsia="仿宋_GB2312" w:cs="仿宋_GB2312"/>
          <w:color w:val="auto"/>
          <w:sz w:val="32"/>
          <w:szCs w:val="32"/>
          <w:highlight w:val="none"/>
        </w:rPr>
        <w:t>余</w:t>
      </w:r>
      <w:r>
        <w:rPr>
          <w:rFonts w:hint="eastAsia" w:ascii="仿宋_GB2312" w:hAnsi="仿宋_GB2312" w:eastAsia="仿宋_GB2312" w:cs="仿宋_GB2312"/>
          <w:color w:val="auto"/>
          <w:sz w:val="32"/>
          <w:szCs w:val="32"/>
          <w:highlight w:val="none"/>
          <w:lang w:eastAsia="zh-CN"/>
        </w:rPr>
        <w:t>户</w:t>
      </w:r>
      <w:r>
        <w:rPr>
          <w:rFonts w:hint="eastAsia" w:ascii="仿宋_GB2312" w:hAnsi="仿宋_GB2312" w:eastAsia="仿宋_GB2312" w:cs="仿宋_GB2312"/>
          <w:color w:val="auto"/>
          <w:sz w:val="32"/>
          <w:szCs w:val="32"/>
          <w:highlight w:val="none"/>
        </w:rPr>
        <w:t>入户宣传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2024年全年</w:t>
      </w:r>
      <w:r>
        <w:rPr>
          <w:rFonts w:hint="eastAsia" w:ascii="仿宋_GB2312" w:hAnsi="仿宋_GB2312" w:eastAsia="仿宋_GB2312" w:cs="仿宋_GB2312"/>
          <w:color w:val="auto"/>
          <w:sz w:val="32"/>
          <w:szCs w:val="32"/>
          <w:highlight w:val="none"/>
        </w:rPr>
        <w:t>在环球启梦苑、居民小区、</w:t>
      </w:r>
      <w:r>
        <w:rPr>
          <w:rFonts w:hint="eastAsia" w:ascii="仿宋_GB2312" w:hAnsi="仿宋_GB2312" w:eastAsia="仿宋_GB2312" w:cs="仿宋_GB2312"/>
          <w:color w:val="auto"/>
          <w:sz w:val="32"/>
          <w:szCs w:val="32"/>
          <w:highlight w:val="none"/>
          <w:lang w:eastAsia="zh-CN"/>
        </w:rPr>
        <w:t>在施工地等</w:t>
      </w:r>
      <w:r>
        <w:rPr>
          <w:rFonts w:hint="eastAsia" w:ascii="仿宋_GB2312" w:hAnsi="仿宋_GB2312" w:eastAsia="仿宋_GB2312" w:cs="仿宋_GB2312"/>
          <w:color w:val="auto"/>
          <w:sz w:val="32"/>
          <w:szCs w:val="32"/>
          <w:highlight w:val="none"/>
        </w:rPr>
        <w:t>先后开展了</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场“分类有我 携手同行”等主题垃圾分类宣传活动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根据实际情况，及时完成对</w:t>
      </w:r>
      <w:r>
        <w:rPr>
          <w:rFonts w:hint="eastAsia" w:ascii="仿宋_GB2312" w:hAnsi="仿宋_GB2312" w:eastAsia="仿宋_GB2312" w:cs="仿宋_GB2312"/>
          <w:color w:val="auto"/>
          <w:sz w:val="32"/>
          <w:szCs w:val="32"/>
          <w:highlight w:val="none"/>
          <w:lang w:val="en-US" w:eastAsia="zh-CN"/>
        </w:rPr>
        <w:t>3个小区多处桶站维修、公示牌更新等工作</w:t>
      </w:r>
      <w:r>
        <w:rPr>
          <w:rFonts w:hint="eastAsia" w:ascii="仿宋_GB2312" w:hAnsi="仿宋_GB2312" w:eastAsia="仿宋_GB2312" w:cs="仿宋_GB2312"/>
          <w:color w:val="auto"/>
          <w:sz w:val="32"/>
          <w:szCs w:val="32"/>
          <w:highlight w:val="none"/>
        </w:rPr>
        <w:t>。加强垃圾分类宣传及垃圾分类指导员桶前值守，提升辖区居民垃圾分类水平</w:t>
      </w:r>
      <w:r>
        <w:rPr>
          <w:rFonts w:hint="eastAsia" w:ascii="仿宋_GB2312" w:hAnsi="仿宋_GB2312" w:eastAsia="仿宋_GB2312" w:cs="仿宋_GB2312"/>
          <w:color w:val="auto"/>
          <w:sz w:val="32"/>
          <w:szCs w:val="32"/>
          <w:highlight w:val="none"/>
          <w:lang w:eastAsia="zh-CN"/>
        </w:rPr>
        <w:t>，营造良好垃圾分类环境</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）统计专网租赁费</w:t>
      </w:r>
      <w:r>
        <w:rPr>
          <w:rFonts w:hint="eastAsia" w:ascii="仿宋_GB2312" w:hAnsi="仿宋_GB2312" w:eastAsia="仿宋_GB2312" w:cs="仿宋_GB2312"/>
          <w:color w:val="auto"/>
          <w:sz w:val="32"/>
          <w:szCs w:val="32"/>
          <w:highlight w:val="none"/>
          <w:lang w:val="en-US" w:eastAsia="zh-CN"/>
        </w:rPr>
        <w:t>3.06万元</w:t>
      </w:r>
      <w:r>
        <w:rPr>
          <w:rFonts w:hint="eastAsia" w:ascii="仿宋_GB2312" w:hAnsi="仿宋_GB2312" w:eastAsia="仿宋_GB2312" w:cs="仿宋_GB2312"/>
          <w:color w:val="auto"/>
          <w:sz w:val="32"/>
          <w:szCs w:val="32"/>
          <w:highlight w:val="none"/>
        </w:rPr>
        <w:t>：接入统计专网1条光纤，202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年度完成保障统计专网正常使用，加强信息数据交流，提高审核验收效率，确保</w:t>
      </w:r>
      <w:r>
        <w:rPr>
          <w:rFonts w:hint="eastAsia" w:ascii="仿宋_GB2312" w:hAnsi="仿宋_GB2312" w:eastAsia="仿宋_GB2312" w:cs="仿宋_GB2312"/>
          <w:color w:val="auto"/>
          <w:sz w:val="32"/>
          <w:szCs w:val="32"/>
          <w:highlight w:val="none"/>
          <w:lang w:eastAsia="zh-CN"/>
        </w:rPr>
        <w:t>基层统计</w:t>
      </w:r>
      <w:r>
        <w:rPr>
          <w:rFonts w:hint="eastAsia" w:ascii="仿宋_GB2312" w:hAnsi="仿宋_GB2312" w:eastAsia="仿宋_GB2312" w:cs="仿宋_GB2312"/>
          <w:color w:val="auto"/>
          <w:sz w:val="32"/>
          <w:szCs w:val="32"/>
          <w:highlight w:val="none"/>
        </w:rPr>
        <w:t>数据质量。</w:t>
      </w:r>
    </w:p>
    <w:p>
      <w:pPr>
        <w:ind w:firstLine="640" w:firstLineChars="200"/>
        <w:rPr>
          <w:rFonts w:hint="eastAsi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lang w:eastAsia="zh-CN"/>
        </w:rPr>
        <w:t>）区委组织部2023年基层党建扶持资金</w:t>
      </w:r>
      <w:r>
        <w:rPr>
          <w:rFonts w:hint="eastAsia" w:ascii="仿宋_GB2312" w:hAnsi="仿宋_GB2312" w:eastAsia="仿宋_GB2312" w:cs="仿宋_GB2312"/>
          <w:color w:val="auto"/>
          <w:sz w:val="32"/>
          <w:szCs w:val="32"/>
          <w:highlight w:val="none"/>
          <w:lang w:val="en-US" w:eastAsia="zh-CN"/>
        </w:rPr>
        <w:t>19.88万元：通过邀请党校教授、高校教师、专家学者等开展党员培训，不断丰富文景大讲堂的内涵，提升了街道党员干部的理论素养水平；通过订购党报党刊，为广大党员提供了学习的资料；通过设计建设街道党建文化墙，进一步宣传了党的理论知识，营造了良好的党建氛围。</w:t>
      </w:r>
    </w:p>
    <w:p>
      <w:pPr>
        <w:pStyle w:val="2"/>
        <w:ind w:left="0" w:lef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7）文化旅游区基础设施管理费2000万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：根据第三方审计机构出具的阶段性审计报告，截至2023年06月30日，建工国通公司累计支付工程资金约69.66亿元，合计应计取管理费3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53</w:t>
      </w:r>
      <w:r>
        <w:rPr>
          <w:rFonts w:hint="eastAsia" w:ascii="仿宋_GB2312" w:hAnsi="仿宋_GB2312" w:eastAsia="仿宋_GB2312" w:cs="仿宋_GB2312"/>
          <w:color w:val="auto"/>
          <w:sz w:val="32"/>
          <w:szCs w:val="32"/>
          <w:highlight w:val="none"/>
          <w:lang w:eastAsia="zh-CN"/>
        </w:rPr>
        <w:t>亿</w:t>
      </w:r>
      <w:r>
        <w:rPr>
          <w:rFonts w:hint="eastAsia" w:ascii="仿宋_GB2312" w:hAnsi="仿宋_GB2312" w:eastAsia="仿宋_GB2312" w:cs="仿宋_GB2312"/>
          <w:color w:val="auto"/>
          <w:sz w:val="32"/>
          <w:szCs w:val="32"/>
          <w:highlight w:val="none"/>
        </w:rPr>
        <w:t>元，已拨付管费1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92</w:t>
      </w:r>
      <w:r>
        <w:rPr>
          <w:rFonts w:hint="eastAsia" w:ascii="仿宋_GB2312" w:hAnsi="仿宋_GB2312" w:eastAsia="仿宋_GB2312" w:cs="仿宋_GB2312"/>
          <w:color w:val="auto"/>
          <w:sz w:val="32"/>
          <w:szCs w:val="32"/>
          <w:highlight w:val="none"/>
          <w:lang w:eastAsia="zh-CN"/>
        </w:rPr>
        <w:t>亿</w:t>
      </w:r>
      <w:r>
        <w:rPr>
          <w:rFonts w:hint="eastAsia" w:ascii="仿宋_GB2312" w:hAnsi="仿宋_GB2312" w:eastAsia="仿宋_GB2312" w:cs="仿宋_GB2312"/>
          <w:color w:val="auto"/>
          <w:sz w:val="32"/>
          <w:szCs w:val="32"/>
          <w:highlight w:val="none"/>
        </w:rPr>
        <w:t>元，未拨付管理费共计1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1亿</w:t>
      </w:r>
      <w:r>
        <w:rPr>
          <w:rFonts w:hint="eastAsia" w:ascii="仿宋_GB2312" w:hAnsi="仿宋_GB2312" w:eastAsia="仿宋_GB2312" w:cs="仿宋_GB2312"/>
          <w:color w:val="auto"/>
          <w:sz w:val="32"/>
          <w:szCs w:val="32"/>
          <w:highlight w:val="none"/>
        </w:rPr>
        <w:t>元。对通州文化旅游区市政基础设施项目，包括保护综合管廊20条，市政道路53条，进行项目建设管理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仿宋_GB2312" w:hAnsi="仿宋_GB2312" w:eastAsia="仿宋_GB2312" w:cs="仿宋_GB2312"/>
          <w:color w:val="auto"/>
          <w:kern w:val="0"/>
          <w:sz w:val="32"/>
          <w:szCs w:val="32"/>
          <w:highlight w:val="none"/>
          <w:lang w:val="en-US" w:eastAsia="zh-CN" w:bidi="ar-SA"/>
        </w:rPr>
        <w:t>（28）“基层治理+村居融合”保障经费</w:t>
      </w:r>
      <w:r>
        <w:rPr>
          <w:rFonts w:hint="eastAsia" w:ascii="仿宋_GB2312" w:hAnsi="仿宋_GB2312" w:eastAsia="仿宋_GB2312" w:cs="仿宋_GB2312"/>
          <w:color w:val="auto"/>
          <w:kern w:val="0"/>
          <w:sz w:val="32"/>
          <w:szCs w:val="32"/>
          <w:highlight w:val="none"/>
          <w:lang w:val="en-US" w:eastAsia="zh-CN" w:bidi="ar-SA"/>
        </w:rPr>
        <w:tab/>
      </w:r>
      <w:r>
        <w:rPr>
          <w:rFonts w:hint="eastAsia" w:ascii="仿宋_GB2312" w:hAnsi="仿宋_GB2312" w:eastAsia="仿宋_GB2312" w:cs="仿宋_GB2312"/>
          <w:color w:val="auto"/>
          <w:kern w:val="0"/>
          <w:sz w:val="32"/>
          <w:szCs w:val="32"/>
          <w:highlight w:val="none"/>
          <w:lang w:val="en-US" w:eastAsia="zh-CN" w:bidi="ar-SA"/>
        </w:rPr>
        <w:t>85.18万元：文景街道社区居委会筹备组服务站7名工作人员工资、保险、住房公积金、餐费；为社区居委会筹备组服务站购置电脑、打印机、碎</w:t>
      </w:r>
      <w:r>
        <w:rPr>
          <w:rFonts w:hint="eastAsia" w:ascii="仿宋_GB2312" w:hAnsi="仿宋_GB2312" w:eastAsia="仿宋_GB2312" w:cs="仿宋_GB2312"/>
          <w:color w:val="auto"/>
          <w:sz w:val="32"/>
          <w:szCs w:val="32"/>
          <w:highlight w:val="none"/>
          <w:lang w:val="en-US" w:eastAsia="zh-CN"/>
        </w:rPr>
        <w:t>纸机等办公设备以及办公桌、办公椅、文件柜等家具，完善了服务站的办公条件；购入笔记本、文件夹、订书机等办公用品，提高了服务站工作人员的办事效率；对服务站进行办公环境装修改造，修建办事大厅、调解室、档案室及活动室等功能区域，并进行电路改造，门窗暖气更换，墙面修补及墙体文化，改善了服务站的服务环境，能为居民提供更优质的服务。</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三四轮车工作经费</w:t>
      </w:r>
      <w:r>
        <w:rPr>
          <w:rFonts w:hint="eastAsia" w:ascii="仿宋_GB2312" w:hAnsi="仿宋_GB2312" w:eastAsia="仿宋_GB2312" w:cs="仿宋_GB2312"/>
          <w:color w:val="auto"/>
          <w:sz w:val="32"/>
          <w:szCs w:val="32"/>
          <w:highlight w:val="none"/>
          <w:lang w:val="en-US" w:eastAsia="zh-CN"/>
        </w:rPr>
        <w:t>4.72万元</w:t>
      </w:r>
      <w:r>
        <w:rPr>
          <w:rFonts w:hint="eastAsia" w:ascii="仿宋_GB2312" w:hAnsi="仿宋_GB2312" w:eastAsia="仿宋_GB2312" w:cs="仿宋_GB2312"/>
          <w:color w:val="auto"/>
          <w:sz w:val="32"/>
          <w:szCs w:val="32"/>
          <w:highlight w:val="none"/>
        </w:rPr>
        <w:t>：通过官方渠道回收违规电动三四轮车，实现应回收尽回收，完成支付对</w:t>
      </w:r>
      <w:r>
        <w:rPr>
          <w:rFonts w:hint="eastAsia" w:ascii="仿宋_GB2312" w:hAnsi="仿宋_GB2312" w:eastAsia="仿宋_GB2312" w:cs="仿宋_GB2312"/>
          <w:color w:val="auto"/>
          <w:sz w:val="32"/>
          <w:szCs w:val="32"/>
          <w:highlight w:val="none"/>
          <w:lang w:val="en-US" w:eastAsia="zh-CN"/>
        </w:rPr>
        <w:t>59人次</w:t>
      </w:r>
      <w:r>
        <w:rPr>
          <w:rFonts w:hint="eastAsia" w:ascii="仿宋_GB2312" w:hAnsi="仿宋_GB2312" w:eastAsia="仿宋_GB2312" w:cs="仿宋_GB2312"/>
          <w:color w:val="auto"/>
          <w:sz w:val="32"/>
          <w:szCs w:val="32"/>
          <w:highlight w:val="none"/>
        </w:rPr>
        <w:t>个人违规电动三四轮车回收奖励资金，营造辖区良好的交通安全环境和秩序。</w:t>
      </w:r>
    </w:p>
    <w:p>
      <w:pPr>
        <w:pStyle w:val="2"/>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bidi="ar-SA"/>
        </w:rPr>
        <w:t>（30）财源建设工作专项-文旅会客厅启动仪式暨招商推介会服务项目4.82万元：推动开展文旅会客厅启动仪式，邀请30余家企事业单位共同见证财源工作阵地化建设工作。</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全民健身示范街道创建项目48.84万元：为全面贯彻落实《北京市全民健身条例》《北京市全民健身实施计划（2021—2025年）》和《北京市2024年办好重要民生实事项目分工方案》（京政办发〔2024〕1号）的目标任务，实施北京市全民健身示范街道创建项目，利用文化活动中心、永丰里B区文体用房、周边水系、步道、空地等场地，完成体质测评200人次、组织冰雪项目及传统项目等特色体育赛事活动4场、传统体育项目培训及健身指导培训22场、发掘培训社会体育指导员16名。</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年基层党组织党建活动经费</w:t>
      </w:r>
      <w:r>
        <w:rPr>
          <w:rFonts w:hint="eastAsia" w:ascii="仿宋_GB2312" w:hAnsi="仿宋_GB2312" w:eastAsia="仿宋_GB2312" w:cs="仿宋_GB2312"/>
          <w:color w:val="auto"/>
          <w:sz w:val="32"/>
          <w:szCs w:val="32"/>
          <w:highlight w:val="none"/>
          <w:lang w:val="en-US" w:eastAsia="zh-CN"/>
        </w:rPr>
        <w:t>10.52万元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街道</w:t>
      </w:r>
      <w:r>
        <w:rPr>
          <w:rFonts w:hint="eastAsia" w:ascii="仿宋_GB2312" w:hAnsi="仿宋_GB2312" w:eastAsia="仿宋_GB2312" w:cs="仿宋_GB2312"/>
          <w:color w:val="auto"/>
          <w:sz w:val="32"/>
          <w:szCs w:val="32"/>
          <w:highlight w:val="none"/>
        </w:rPr>
        <w:t>各基层党</w:t>
      </w:r>
      <w:r>
        <w:rPr>
          <w:rFonts w:hint="eastAsia" w:ascii="仿宋_GB2312" w:hAnsi="仿宋_GB2312" w:eastAsia="仿宋_GB2312" w:cs="仿宋_GB2312"/>
          <w:color w:val="auto"/>
          <w:sz w:val="32"/>
          <w:szCs w:val="32"/>
          <w:highlight w:val="none"/>
          <w:lang w:eastAsia="zh-CN"/>
        </w:rPr>
        <w:t>组织按照“立足支部、服务基层、统筹安排、专款专用”的原则，开展外出学习</w:t>
      </w:r>
      <w:r>
        <w:rPr>
          <w:rFonts w:hint="eastAsia" w:ascii="仿宋_GB2312" w:hAnsi="仿宋_GB2312" w:eastAsia="仿宋_GB2312" w:cs="仿宋_GB2312"/>
          <w:color w:val="auto"/>
          <w:sz w:val="32"/>
          <w:szCs w:val="32"/>
          <w:highlight w:val="none"/>
          <w:lang w:val="en-US" w:eastAsia="zh-CN"/>
        </w:rPr>
        <w:t>7次，观看红色电影3场，购买配发党建书籍584本，制作</w:t>
      </w:r>
      <w:r>
        <w:rPr>
          <w:rFonts w:hint="eastAsia" w:ascii="仿宋_GB2312" w:hAnsi="仿宋_GB2312" w:eastAsia="仿宋_GB2312" w:cs="仿宋_GB2312"/>
          <w:color w:val="auto"/>
          <w:kern w:val="0"/>
          <w:sz w:val="32"/>
          <w:szCs w:val="32"/>
          <w:highlight w:val="none"/>
          <w:lang w:eastAsia="zh-CN"/>
        </w:rPr>
        <w:t>党建宣传栏</w:t>
      </w:r>
      <w:r>
        <w:rPr>
          <w:rFonts w:hint="eastAsia" w:ascii="仿宋_GB2312" w:hAnsi="仿宋_GB2312" w:eastAsia="仿宋_GB2312" w:cs="仿宋_GB2312"/>
          <w:color w:val="auto"/>
          <w:kern w:val="0"/>
          <w:sz w:val="32"/>
          <w:szCs w:val="32"/>
          <w:highlight w:val="none"/>
          <w:lang w:val="en-US" w:eastAsia="zh-CN"/>
        </w:rPr>
        <w:t>45组，使党员党性修养得到进一步提升，党组织活动进一步丰富，党建活动效果进一步显现。</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（33）2024年水务改革发展专项转移支付资金</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48.41万元：对三条河的河道、河坡开展垃圾、杂物、漂浮物等集中清理，清理河坡杂草，整顿提升河道环境秩序。清理各类垃圾600余袋。按要求处理河长制派单170余个。在河长办开展的每月水环境问题整改中排名第一。推进文化旅游区河道治理管护工作，妥善处理河道管护范围内的环境秩序问题，有效提升文化旅游区水环境水平。</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四</w:t>
      </w:r>
      <w:r>
        <w:rPr>
          <w:rFonts w:ascii="黑体" w:hAnsi="黑体" w:eastAsia="黑体" w:cs="宋体"/>
          <w:b w:val="0"/>
          <w:bCs w:val="0"/>
          <w:color w:val="000000"/>
          <w:kern w:val="0"/>
          <w:sz w:val="32"/>
          <w:szCs w:val="32"/>
        </w:rPr>
        <w:t>、预算管理</w:t>
      </w:r>
      <w:r>
        <w:rPr>
          <w:rFonts w:hint="eastAsia" w:ascii="黑体" w:hAnsi="黑体" w:eastAsia="黑体" w:cs="宋体"/>
          <w:b w:val="0"/>
          <w:bCs w:val="0"/>
          <w:color w:val="000000"/>
          <w:kern w:val="0"/>
          <w:sz w:val="32"/>
          <w:szCs w:val="32"/>
        </w:rPr>
        <w:t>情况分</w:t>
      </w:r>
      <w:r>
        <w:rPr>
          <w:rFonts w:ascii="黑体" w:hAnsi="黑体" w:eastAsia="黑体" w:cs="宋体"/>
          <w:b w:val="0"/>
          <w:bCs w:val="0"/>
          <w:color w:val="000000"/>
          <w:kern w:val="0"/>
          <w:sz w:val="32"/>
          <w:szCs w:val="32"/>
        </w:rPr>
        <w:t>析</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楷体_GB2312" w:eastAsia="楷体_GB2312"/>
          <w:b w:val="0"/>
          <w:bCs w:val="0"/>
          <w:sz w:val="32"/>
          <w:szCs w:val="32"/>
        </w:rPr>
      </w:pPr>
      <w:r>
        <w:rPr>
          <w:rFonts w:hint="eastAsia" w:ascii="楷体_GB2312" w:eastAsia="楷体_GB2312"/>
          <w:b w:val="0"/>
          <w:bCs w:val="0"/>
          <w:sz w:val="32"/>
          <w:szCs w:val="32"/>
        </w:rPr>
        <w:t>（一）财务管理</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1.财务</w:t>
      </w:r>
      <w:r>
        <w:rPr>
          <w:rFonts w:ascii="仿宋_GB2312" w:hAnsi="宋体" w:eastAsia="仿宋_GB2312" w:cs="宋体"/>
          <w:b w:val="0"/>
          <w:bCs w:val="0"/>
          <w:color w:val="000000"/>
          <w:kern w:val="0"/>
          <w:sz w:val="32"/>
          <w:szCs w:val="32"/>
        </w:rPr>
        <w:t>管理制度健全性</w:t>
      </w:r>
      <w:r>
        <w:rPr>
          <w:rFonts w:hint="eastAsia" w:ascii="仿宋_GB2312" w:hAnsi="宋体" w:eastAsia="仿宋_GB2312" w:cs="宋体"/>
          <w:b w:val="0"/>
          <w:bCs w:val="0"/>
          <w:color w:val="000000"/>
          <w:kern w:val="0"/>
          <w:sz w:val="32"/>
          <w:szCs w:val="32"/>
          <w:lang w:eastAsia="zh-CN"/>
        </w:rPr>
        <w:t>：</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预算管理、收支管理、资产管理等方面的规定，确保财务活动的合规性和规范性。</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仿宋_GB2312" w:hAnsi="宋体" w:eastAsia="仿宋_GB2312" w:cs="宋体"/>
          <w:b w:val="0"/>
          <w:bCs w:val="0"/>
          <w:color w:val="000000"/>
          <w:kern w:val="0"/>
          <w:sz w:val="32"/>
          <w:szCs w:val="32"/>
          <w:lang w:eastAsia="zh-CN"/>
        </w:rPr>
      </w:pPr>
      <w:r>
        <w:rPr>
          <w:rFonts w:hint="eastAsia" w:ascii="仿宋_GB2312" w:hAnsi="宋体" w:eastAsia="仿宋_GB2312" w:cs="宋体"/>
          <w:b w:val="0"/>
          <w:bCs w:val="0"/>
          <w:color w:val="000000"/>
          <w:kern w:val="0"/>
          <w:sz w:val="32"/>
          <w:szCs w:val="32"/>
        </w:rPr>
        <w:t>2.资金使用合规性</w:t>
      </w:r>
      <w:r>
        <w:rPr>
          <w:rFonts w:ascii="仿宋_GB2312" w:hAnsi="宋体" w:eastAsia="仿宋_GB2312" w:cs="宋体"/>
          <w:b w:val="0"/>
          <w:bCs w:val="0"/>
          <w:color w:val="000000"/>
          <w:kern w:val="0"/>
          <w:sz w:val="32"/>
          <w:szCs w:val="32"/>
        </w:rPr>
        <w:t>和安全性</w:t>
      </w:r>
      <w:r>
        <w:rPr>
          <w:rFonts w:hint="eastAsia" w:ascii="仿宋_GB2312" w:hAnsi="宋体" w:eastAsia="仿宋_GB2312" w:cs="宋体"/>
          <w:b w:val="0"/>
          <w:bCs w:val="0"/>
          <w:color w:val="000000"/>
          <w:kern w:val="0"/>
          <w:sz w:val="32"/>
          <w:szCs w:val="32"/>
          <w:lang w:eastAsia="zh-CN"/>
        </w:rPr>
        <w:t>：</w:t>
      </w:r>
      <w:r>
        <w:rPr>
          <w:rFonts w:hint="eastAsia" w:ascii="仿宋_GB2312" w:hAnsi="仿宋_GB2312" w:eastAsia="仿宋_GB2312" w:cs="仿宋_GB2312"/>
          <w:color w:val="auto"/>
          <w:sz w:val="32"/>
          <w:szCs w:val="32"/>
        </w:rPr>
        <w:t>加强资金监管、严格审批流程，确保资金使用的合规性和安全性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通过定期审计和内部检查，及时发现并纠正存在的问题。</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仿宋_GB2312" w:hAnsi="宋体" w:eastAsia="仿宋_GB2312" w:cs="宋体"/>
          <w:b w:val="0"/>
          <w:bCs w:val="0"/>
          <w:color w:val="000000"/>
          <w:kern w:val="0"/>
          <w:sz w:val="32"/>
          <w:szCs w:val="32"/>
          <w:lang w:eastAsia="zh-CN"/>
        </w:rPr>
      </w:pPr>
      <w:r>
        <w:rPr>
          <w:rFonts w:ascii="仿宋_GB2312" w:hAnsi="宋体" w:eastAsia="仿宋_GB2312" w:cs="宋体"/>
          <w:b w:val="0"/>
          <w:bCs w:val="0"/>
          <w:color w:val="000000"/>
          <w:kern w:val="0"/>
          <w:sz w:val="32"/>
          <w:szCs w:val="32"/>
        </w:rPr>
        <w:t>3.</w:t>
      </w:r>
      <w:r>
        <w:rPr>
          <w:rFonts w:hint="eastAsia" w:ascii="仿宋_GB2312" w:hAnsi="宋体" w:eastAsia="仿宋_GB2312" w:cs="宋体"/>
          <w:b w:val="0"/>
          <w:bCs w:val="0"/>
          <w:color w:val="000000"/>
          <w:kern w:val="0"/>
          <w:sz w:val="32"/>
          <w:szCs w:val="32"/>
        </w:rPr>
        <w:t>会计</w:t>
      </w:r>
      <w:r>
        <w:rPr>
          <w:rFonts w:ascii="仿宋_GB2312" w:hAnsi="宋体" w:eastAsia="仿宋_GB2312" w:cs="宋体"/>
          <w:b w:val="0"/>
          <w:bCs w:val="0"/>
          <w:color w:val="000000"/>
          <w:kern w:val="0"/>
          <w:sz w:val="32"/>
          <w:szCs w:val="32"/>
        </w:rPr>
        <w:t>基础信息完善性</w:t>
      </w:r>
      <w:r>
        <w:rPr>
          <w:rFonts w:hint="eastAsia" w:ascii="仿宋_GB2312" w:hAnsi="宋体" w:eastAsia="仿宋_GB2312" w:cs="宋体"/>
          <w:b w:val="0"/>
          <w:bCs w:val="0"/>
          <w:color w:val="000000"/>
          <w:kern w:val="0"/>
          <w:sz w:val="32"/>
          <w:szCs w:val="32"/>
          <w:lang w:eastAsia="zh-CN"/>
        </w:rPr>
        <w:t>：</w:t>
      </w:r>
      <w:r>
        <w:rPr>
          <w:rFonts w:hint="eastAsia" w:ascii="仿宋_GB2312" w:hAnsi="仿宋_GB2312" w:eastAsia="仿宋_GB2312" w:cs="仿宋_GB2312"/>
          <w:color w:val="auto"/>
          <w:sz w:val="32"/>
          <w:szCs w:val="32"/>
        </w:rPr>
        <w:t>凭证、账簿、报表等记录</w:t>
      </w:r>
      <w:r>
        <w:rPr>
          <w:rFonts w:hint="eastAsia" w:ascii="仿宋_GB2312" w:hAnsi="仿宋_GB2312" w:eastAsia="仿宋_GB2312" w:cs="仿宋_GB2312"/>
          <w:color w:val="auto"/>
          <w:sz w:val="32"/>
          <w:szCs w:val="32"/>
          <w:lang w:eastAsia="zh-CN"/>
        </w:rPr>
        <w:t>清晰</w:t>
      </w:r>
      <w:r>
        <w:rPr>
          <w:rFonts w:hint="eastAsia" w:ascii="仿宋_GB2312" w:hAnsi="仿宋_GB2312" w:eastAsia="仿宋_GB2312" w:cs="仿宋_GB2312"/>
          <w:color w:val="auto"/>
          <w:sz w:val="32"/>
          <w:szCs w:val="32"/>
        </w:rPr>
        <w:t>，确保财务信息的准确性和可追溯性。</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b w:val="0"/>
          <w:bCs w:val="0"/>
          <w:sz w:val="32"/>
          <w:szCs w:val="32"/>
        </w:rPr>
      </w:pPr>
      <w:r>
        <w:rPr>
          <w:rFonts w:hint="eastAsia" w:ascii="楷体_GB2312" w:eastAsia="楷体_GB2312"/>
          <w:b w:val="0"/>
          <w:bCs w:val="0"/>
          <w:sz w:val="32"/>
          <w:szCs w:val="32"/>
        </w:rPr>
        <w:t>（二）资产管理</w:t>
      </w:r>
    </w:p>
    <w:p>
      <w:pPr>
        <w:pStyle w:val="4"/>
        <w:keepNext w:val="0"/>
        <w:keepLines w:val="0"/>
        <w:pageBreakBefore w:val="0"/>
        <w:widowControl w:val="0"/>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color w:val="auto"/>
          <w:sz w:val="32"/>
          <w:szCs w:val="32"/>
        </w:rPr>
        <w:t>对资产进行全面清查和登记，建立资产管理制度，确保资产的安全和有效利用</w:t>
      </w:r>
      <w:r>
        <w:rPr>
          <w:rFonts w:hint="eastAsia" w:ascii="仿宋_GB2312" w:hAnsi="仿宋_GB2312" w:eastAsia="仿宋_GB2312" w:cs="仿宋_GB2312"/>
          <w:color w:val="auto"/>
          <w:sz w:val="32"/>
          <w:szCs w:val="32"/>
          <w:lang w:eastAsia="zh-CN"/>
        </w:rPr>
        <w:t>；日常</w:t>
      </w:r>
      <w:r>
        <w:rPr>
          <w:rFonts w:hint="eastAsia" w:ascii="仿宋_GB2312" w:hAnsi="仿宋_GB2312" w:eastAsia="仿宋_GB2312" w:cs="仿宋_GB2312"/>
          <w:color w:val="auto"/>
          <w:sz w:val="32"/>
          <w:szCs w:val="32"/>
        </w:rPr>
        <w:t>加强资产维护和管理，延长资产使用寿命，提高资产使用效率。</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105" w:leftChars="50" w:firstLine="480" w:firstLineChars="150"/>
        <w:textAlignment w:val="auto"/>
        <w:rPr>
          <w:rFonts w:ascii="楷体_GB2312" w:eastAsia="楷体_GB2312"/>
          <w:b w:val="0"/>
          <w:bCs w:val="0"/>
          <w:sz w:val="32"/>
          <w:szCs w:val="32"/>
        </w:rPr>
      </w:pPr>
      <w:r>
        <w:rPr>
          <w:rFonts w:hint="eastAsia" w:ascii="楷体_GB2312" w:eastAsia="楷体_GB2312"/>
          <w:b w:val="0"/>
          <w:bCs w:val="0"/>
          <w:sz w:val="32"/>
          <w:szCs w:val="32"/>
        </w:rPr>
        <w:t>绩效</w:t>
      </w:r>
      <w:r>
        <w:rPr>
          <w:rFonts w:ascii="楷体_GB2312" w:eastAsia="楷体_GB2312"/>
          <w:b w:val="0"/>
          <w:bCs w:val="0"/>
          <w:sz w:val="32"/>
          <w:szCs w:val="32"/>
        </w:rPr>
        <w:t>管理</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建立绩效管理体系，包括绩效目标设定、绩效监控、绩效评价等方面的规定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加强绩效监控和评价，及时发现并纠正工作中存在的问题，确保绩效目标的实现。</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b w:val="0"/>
          <w:bCs w:val="0"/>
          <w:sz w:val="32"/>
          <w:szCs w:val="32"/>
        </w:rPr>
      </w:pPr>
      <w:r>
        <w:rPr>
          <w:rFonts w:hint="eastAsia" w:ascii="楷体_GB2312" w:eastAsia="楷体_GB2312"/>
          <w:b w:val="0"/>
          <w:bCs w:val="0"/>
          <w:sz w:val="32"/>
          <w:szCs w:val="32"/>
        </w:rPr>
        <w:t>结转结余率</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pPr>
      <w:r>
        <w:rPr>
          <w:rFonts w:hint="eastAsia" w:ascii="仿宋_GB2312" w:hAnsi="仿宋" w:eastAsia="仿宋_GB2312"/>
          <w:color w:val="auto"/>
          <w:sz w:val="32"/>
          <w:szCs w:val="32"/>
          <w:highlight w:val="none"/>
          <w:lang w:val="en-US" w:eastAsia="zh-CN"/>
        </w:rPr>
        <w:t>2024年街道</w:t>
      </w:r>
      <w:r>
        <w:rPr>
          <w:rFonts w:hint="eastAsia" w:ascii="仿宋_GB2312" w:hAnsi="仿宋" w:eastAsia="仿宋_GB2312"/>
          <w:color w:val="auto"/>
          <w:sz w:val="32"/>
          <w:szCs w:val="32"/>
          <w:highlight w:val="none"/>
        </w:rPr>
        <w:t>无财政拨款结转结余。</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105" w:leftChars="50" w:firstLine="480" w:firstLineChars="150"/>
        <w:textAlignment w:val="auto"/>
        <w:rPr>
          <w:rFonts w:ascii="楷体_GB2312" w:eastAsia="楷体_GB2312"/>
          <w:b w:val="0"/>
          <w:bCs w:val="0"/>
          <w:sz w:val="32"/>
          <w:szCs w:val="32"/>
        </w:rPr>
      </w:pPr>
      <w:r>
        <w:rPr>
          <w:rFonts w:hint="eastAsia" w:ascii="楷体_GB2312" w:eastAsia="楷体_GB2312"/>
          <w:b w:val="0"/>
          <w:bCs w:val="0"/>
          <w:sz w:val="32"/>
          <w:szCs w:val="32"/>
        </w:rPr>
        <w:t>部门</w:t>
      </w:r>
      <w:r>
        <w:rPr>
          <w:rFonts w:ascii="楷体_GB2312" w:eastAsia="楷体_GB2312"/>
          <w:b w:val="0"/>
          <w:bCs w:val="0"/>
          <w:sz w:val="32"/>
          <w:szCs w:val="32"/>
        </w:rPr>
        <w:t>预决算差异率</w:t>
      </w:r>
    </w:p>
    <w:p>
      <w:pPr>
        <w:pStyle w:val="4"/>
        <w:keepNext w:val="0"/>
        <w:keepLines w:val="0"/>
        <w:pageBreakBefore w:val="0"/>
        <w:widowControl w:val="0"/>
        <w:kinsoku/>
        <w:wordWrap/>
        <w:overflowPunct/>
        <w:topLinePunct w:val="0"/>
        <w:autoSpaceDE/>
        <w:autoSpaceDN/>
        <w:bidi w:val="0"/>
        <w:adjustRightInd/>
        <w:spacing w:line="560" w:lineRule="exact"/>
        <w:textAlignment w:val="auto"/>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预</w:t>
      </w:r>
      <w:r>
        <w:rPr>
          <w:rFonts w:hint="eastAsia" w:ascii="仿宋_GB2312" w:hAnsi="仿宋_GB2312" w:eastAsia="仿宋_GB2312" w:cs="仿宋_GB2312"/>
          <w:color w:val="auto"/>
          <w:sz w:val="32"/>
          <w:szCs w:val="32"/>
          <w:lang w:eastAsia="zh-CN"/>
        </w:rPr>
        <w:t>算数与</w:t>
      </w:r>
      <w:r>
        <w:rPr>
          <w:rFonts w:hint="eastAsia" w:ascii="仿宋_GB2312" w:hAnsi="仿宋_GB2312" w:eastAsia="仿宋_GB2312" w:cs="仿宋_GB2312"/>
          <w:color w:val="auto"/>
          <w:sz w:val="32"/>
          <w:szCs w:val="32"/>
        </w:rPr>
        <w:t>决算</w:t>
      </w:r>
      <w:r>
        <w:rPr>
          <w:rFonts w:hint="eastAsia" w:ascii="仿宋_GB2312" w:hAnsi="仿宋_GB2312" w:eastAsia="仿宋_GB2312" w:cs="仿宋_GB2312"/>
          <w:color w:val="auto"/>
          <w:sz w:val="32"/>
          <w:szCs w:val="32"/>
          <w:lang w:eastAsia="zh-CN"/>
        </w:rPr>
        <w:t>数无差异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rPr>
        <w:t>5091.95</w:t>
      </w:r>
      <w:r>
        <w:rPr>
          <w:rFonts w:hint="eastAsia" w:ascii="仿宋_GB2312" w:hAnsi="仿宋_GB2312" w:eastAsia="仿宋_GB2312" w:cs="仿宋_GB2312"/>
          <w:color w:val="auto"/>
          <w:sz w:val="32"/>
          <w:szCs w:val="32"/>
          <w:lang w:eastAsia="zh-CN"/>
        </w:rPr>
        <w:t>万元，</w:t>
      </w:r>
      <w:r>
        <w:rPr>
          <w:rFonts w:hint="eastAsia" w:ascii="仿宋_GB2312" w:hAnsi="仿宋_GB2312" w:eastAsia="仿宋_GB2312" w:cs="仿宋_GB2312"/>
          <w:color w:val="auto"/>
          <w:sz w:val="32"/>
          <w:szCs w:val="32"/>
        </w:rPr>
        <w:t>与决算数</w:t>
      </w:r>
      <w:r>
        <w:rPr>
          <w:rFonts w:hint="eastAsia" w:ascii="仿宋_GB2312" w:hAnsi="仿宋" w:eastAsia="仿宋_GB2312"/>
          <w:color w:val="auto"/>
          <w:sz w:val="32"/>
          <w:szCs w:val="32"/>
          <w:highlight w:val="none"/>
          <w:lang w:val="en-US" w:eastAsia="zh-CN"/>
        </w:rPr>
        <w:t>11542.23万元</w:t>
      </w:r>
      <w:r>
        <w:rPr>
          <w:rFonts w:hint="eastAsia" w:ascii="仿宋_GB2312" w:hAnsi="仿宋_GB2312" w:eastAsia="仿宋_GB2312" w:cs="仿宋_GB2312"/>
          <w:color w:val="auto"/>
          <w:sz w:val="32"/>
          <w:szCs w:val="32"/>
        </w:rPr>
        <w:t>存在差异</w:t>
      </w:r>
      <w:r>
        <w:rPr>
          <w:rFonts w:hint="eastAsia" w:ascii="仿宋_GB2312" w:hAnsi="仿宋_GB2312" w:eastAsia="仿宋_GB2312" w:cs="仿宋_GB2312"/>
          <w:color w:val="auto"/>
          <w:sz w:val="32"/>
          <w:szCs w:val="32"/>
          <w:lang w:eastAsia="zh-CN"/>
        </w:rPr>
        <w:t>。差异原因为，</w:t>
      </w:r>
      <w:r>
        <w:rPr>
          <w:rFonts w:hint="eastAsia" w:ascii="仿宋_GB2312" w:hAnsi="仿宋_GB2312" w:eastAsia="仿宋_GB2312" w:cs="仿宋_GB2312"/>
          <w:color w:val="auto"/>
          <w:sz w:val="32"/>
          <w:szCs w:val="32"/>
          <w:lang w:val="en-US" w:eastAsia="zh-CN"/>
        </w:rPr>
        <w:t>2024年内新增</w:t>
      </w:r>
      <w:r>
        <w:rPr>
          <w:rFonts w:hint="eastAsia" w:ascii="仿宋_GB2312" w:hAnsi="仿宋_GB2312" w:eastAsia="仿宋_GB2312" w:cs="仿宋_GB2312"/>
          <w:color w:val="auto"/>
          <w:sz w:val="32"/>
          <w:szCs w:val="32"/>
        </w:rPr>
        <w:t>文化旅游区智慧园区建设项目2614.6万元、文化旅游区基础设施管理费2000万元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2024年通州区接诉即办专项经费246.06万元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文化旅游区战略留白地块临时绿化工程建设资金82.58万元</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ascii="黑体" w:hAnsi="黑体" w:eastAsia="黑体"/>
          <w:b w:val="0"/>
          <w:bCs w:val="0"/>
          <w:sz w:val="32"/>
          <w:szCs w:val="32"/>
        </w:rPr>
      </w:pPr>
      <w:r>
        <w:rPr>
          <w:rFonts w:hint="eastAsia" w:ascii="黑体" w:hAnsi="黑体" w:eastAsia="黑体"/>
          <w:b w:val="0"/>
          <w:bCs w:val="0"/>
          <w:sz w:val="32"/>
          <w:szCs w:val="32"/>
        </w:rPr>
        <w:t>五、总体</w:t>
      </w:r>
      <w:r>
        <w:rPr>
          <w:rFonts w:ascii="黑体" w:hAnsi="黑体" w:eastAsia="黑体"/>
          <w:b w:val="0"/>
          <w:bCs w:val="0"/>
          <w:sz w:val="32"/>
          <w:szCs w:val="32"/>
        </w:rPr>
        <w:t>评价结论</w:t>
      </w:r>
    </w:p>
    <w:p>
      <w:pPr>
        <w:keepNext w:val="0"/>
        <w:keepLines w:val="0"/>
        <w:pageBreakBefore w:val="0"/>
        <w:widowControl w:val="0"/>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b w:val="0"/>
          <w:bCs w:val="0"/>
          <w:sz w:val="32"/>
          <w:szCs w:val="32"/>
        </w:rPr>
      </w:pPr>
      <w:r>
        <w:rPr>
          <w:rFonts w:hint="eastAsia" w:ascii="楷体_GB2312" w:eastAsia="楷体_GB2312"/>
          <w:b w:val="0"/>
          <w:bCs w:val="0"/>
          <w:sz w:val="32"/>
          <w:szCs w:val="32"/>
        </w:rPr>
        <w:t>（一）评价</w:t>
      </w:r>
      <w:r>
        <w:rPr>
          <w:rFonts w:ascii="楷体_GB2312" w:eastAsia="楷体_GB2312"/>
          <w:b w:val="0"/>
          <w:bCs w:val="0"/>
          <w:sz w:val="32"/>
          <w:szCs w:val="32"/>
        </w:rPr>
        <w:t>得分</w:t>
      </w:r>
      <w:r>
        <w:rPr>
          <w:rFonts w:hint="eastAsia" w:ascii="楷体_GB2312" w:eastAsia="楷体_GB2312"/>
          <w:b w:val="0"/>
          <w:bCs w:val="0"/>
          <w:sz w:val="32"/>
          <w:szCs w:val="32"/>
        </w:rPr>
        <w:t>情况</w:t>
      </w:r>
    </w:p>
    <w:p>
      <w:pPr>
        <w:pStyle w:val="2"/>
        <w:ind w:left="0" w:leftChars="0" w:firstLine="640" w:firstLineChars="200"/>
      </w:pPr>
      <w:r>
        <w:rPr>
          <w:rFonts w:hint="eastAsia" w:ascii="仿宋_GB2312" w:hAnsi="仿宋_GB2312" w:eastAsia="仿宋_GB2312" w:cs="仿宋_GB2312"/>
          <w:color w:val="auto"/>
          <w:sz w:val="32"/>
          <w:szCs w:val="32"/>
        </w:rPr>
        <w:t>根据绩效评价体系和指标，街道在2024年的整体绩效表现良好，各项指标均达到了预期目标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辖区环境治理</w:t>
      </w:r>
      <w:r>
        <w:rPr>
          <w:rFonts w:hint="eastAsia" w:ascii="仿宋_GB2312" w:hAnsi="仿宋_GB2312" w:eastAsia="仿宋_GB2312" w:cs="仿宋_GB2312"/>
          <w:color w:val="auto"/>
          <w:sz w:val="32"/>
          <w:szCs w:val="32"/>
        </w:rPr>
        <w:t>、增进民生福祉等方面取得了显著成效。</w:t>
      </w:r>
    </w:p>
    <w:p>
      <w:pPr>
        <w:keepNext w:val="0"/>
        <w:keepLines w:val="0"/>
        <w:pageBreakBefore w:val="0"/>
        <w:widowControl w:val="0"/>
        <w:numPr>
          <w:ilvl w:val="0"/>
          <w:numId w:val="5"/>
        </w:numPr>
        <w:kinsoku/>
        <w:wordWrap/>
        <w:overflowPunct/>
        <w:topLinePunct w:val="0"/>
        <w:autoSpaceDE/>
        <w:autoSpaceDN/>
        <w:bidi w:val="0"/>
        <w:adjustRightInd/>
        <w:spacing w:line="560" w:lineRule="exact"/>
        <w:ind w:left="105" w:leftChars="50" w:firstLine="480" w:firstLineChars="150"/>
        <w:textAlignment w:val="auto"/>
        <w:rPr>
          <w:rFonts w:hint="eastAsia" w:ascii="楷体_GB2312" w:eastAsia="楷体_GB2312"/>
          <w:b w:val="0"/>
          <w:bCs w:val="0"/>
          <w:sz w:val="32"/>
          <w:szCs w:val="32"/>
        </w:rPr>
      </w:pPr>
      <w:r>
        <w:rPr>
          <w:rFonts w:hint="eastAsia" w:ascii="楷体_GB2312" w:eastAsia="楷体_GB2312"/>
          <w:b w:val="0"/>
          <w:bCs w:val="0"/>
          <w:sz w:val="32"/>
          <w:szCs w:val="32"/>
        </w:rPr>
        <w:t>存在的问题</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思想认识深化不足：尽管对绩效管理的意义有所认识，但对其深入理解和实践仍显不足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部分人员对绩效评价的方式方法掌握不够全面，对绩效管理的运用仍停留在表面。</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开展活动形式不够丰富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当前开展的各类文化活动和社区活动形式相对传统、单一，活动种类和创意仍有待拓展，导致部分居民参与积极性不高，活动影响力有限</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宋体"/>
          <w:b w:val="0"/>
          <w:bCs w:val="0"/>
          <w:color w:val="000000"/>
          <w:kern w:val="0"/>
          <w:sz w:val="32"/>
          <w:szCs w:val="32"/>
        </w:rPr>
        <w:t>六、措施建议</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深化思想认识，加强学习培训：以党建为引领，将绩效管理理念深入人心，形成全员参与、共同推进的良好氛围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组织定期学习和培训，深入学习各级预算管理制度及资金管理办法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通过集中研讨、专题讲座等多种形式，提升整体预算执行能力和绩效评价专业能力。</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2.建立居民活动策划参与及活动效果评估机制：鼓励居民提出活动建议，活动后收集反馈，及时调整优化活动方案，确保活动形式和内容持续创新，更好增强辖区居民的归属感和参与感。 </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3.进一步加强项目跟踪管理：加强</w:t>
      </w:r>
      <w:r>
        <w:rPr>
          <w:rFonts w:hint="eastAsia" w:ascii="仿宋_GB2312" w:hAnsi="仿宋_GB2312" w:eastAsia="仿宋_GB2312" w:cs="仿宋_GB2312"/>
          <w:color w:val="auto"/>
          <w:sz w:val="32"/>
          <w:szCs w:val="32"/>
        </w:rPr>
        <w:t>采购、供应商遴选、执行、验收等环节</w:t>
      </w:r>
      <w:r>
        <w:rPr>
          <w:rFonts w:hint="eastAsia" w:ascii="仿宋_GB2312" w:hAnsi="仿宋_GB2312" w:eastAsia="仿宋_GB2312" w:cs="仿宋_GB2312"/>
          <w:color w:val="auto"/>
          <w:sz w:val="32"/>
          <w:szCs w:val="32"/>
          <w:lang w:eastAsia="zh-CN"/>
        </w:rPr>
        <w:t>全过程管理</w:t>
      </w:r>
      <w:r>
        <w:rPr>
          <w:rFonts w:hint="eastAsia" w:ascii="仿宋_GB2312" w:hAnsi="仿宋_GB2312" w:eastAsia="仿宋_GB2312" w:cs="仿宋_GB2312"/>
          <w:color w:val="auto"/>
          <w:sz w:val="32"/>
          <w:szCs w:val="32"/>
        </w:rPr>
        <w:t>，确保项目</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规范、合理、高效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及时跟踪项目进度、执行情况、存在问题，对重点项目开展</w:t>
      </w:r>
      <w:r>
        <w:rPr>
          <w:rFonts w:hint="eastAsia" w:ascii="仿宋_GB2312" w:hAnsi="仿宋_GB2312" w:eastAsia="仿宋_GB2312" w:cs="仿宋_GB2312"/>
          <w:color w:val="auto"/>
          <w:sz w:val="32"/>
          <w:szCs w:val="32"/>
          <w:lang w:eastAsia="zh-CN"/>
        </w:rPr>
        <w:t>过程性</w:t>
      </w:r>
      <w:r>
        <w:rPr>
          <w:rFonts w:hint="eastAsia" w:ascii="仿宋_GB2312" w:hAnsi="仿宋_GB2312" w:eastAsia="仿宋_GB2312" w:cs="仿宋_GB2312"/>
          <w:color w:val="auto"/>
          <w:sz w:val="32"/>
          <w:szCs w:val="32"/>
        </w:rPr>
        <w:t>绩效评价。</w:t>
      </w:r>
    </w:p>
    <w:p>
      <w:pPr>
        <w:ind w:firstLine="640" w:firstLineChars="200"/>
        <w:rPr>
          <w:rFonts w:hint="eastAsia" w:eastAsia="仿宋_GB2312"/>
          <w:lang w:eastAsia="zh-CN"/>
        </w:rPr>
      </w:pPr>
      <w:r>
        <w:rPr>
          <w:rFonts w:hint="eastAsia" w:ascii="仿宋_GB2312" w:hAnsi="仿宋_GB2312" w:eastAsia="仿宋_GB2312" w:cs="仿宋_GB2312"/>
          <w:color w:val="auto"/>
          <w:sz w:val="32"/>
          <w:szCs w:val="32"/>
        </w:rPr>
        <w:t>通过实施以上措施，街道将进一步提升绩效管理水平，确保财政资金的有效配置和高效使用，为辖区人民群众提供更加优质、高效的服务</w:t>
      </w:r>
      <w:r>
        <w:rPr>
          <w:rFonts w:hint="eastAsia" w:ascii="仿宋_GB2312" w:hAnsi="仿宋_GB2312" w:eastAsia="仿宋_GB2312" w:cs="仿宋_GB2312"/>
          <w:color w:val="auto"/>
          <w:sz w:val="32"/>
          <w:szCs w:val="32"/>
          <w:lang w:eastAsia="zh-CN"/>
        </w:rPr>
        <w:t>。</w:t>
      </w:r>
    </w:p>
    <w:sectPr>
      <w:footerReference r:id="rId3" w:type="default"/>
      <w:pgSz w:w="11906" w:h="16838"/>
      <w:pgMar w:top="2098"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DDBF"/>
    <w:multiLevelType w:val="singleLevel"/>
    <w:tmpl w:val="BFFFDDBF"/>
    <w:lvl w:ilvl="0" w:tentative="0">
      <w:start w:val="20"/>
      <w:numFmt w:val="decimal"/>
      <w:suff w:val="nothing"/>
      <w:lvlText w:val="（%1）"/>
      <w:lvlJc w:val="left"/>
    </w:lvl>
  </w:abstractNum>
  <w:abstractNum w:abstractNumId="1">
    <w:nsid w:val="DFA313E5"/>
    <w:multiLevelType w:val="singleLevel"/>
    <w:tmpl w:val="DFA313E5"/>
    <w:lvl w:ilvl="0" w:tentative="0">
      <w:start w:val="2"/>
      <w:numFmt w:val="chineseCounting"/>
      <w:suff w:val="nothing"/>
      <w:lvlText w:val="（%1）"/>
      <w:lvlJc w:val="left"/>
      <w:rPr>
        <w:rFonts w:hint="eastAsia"/>
      </w:rPr>
    </w:lvl>
  </w:abstractNum>
  <w:abstractNum w:abstractNumId="2">
    <w:nsid w:val="17ED3EAD"/>
    <w:multiLevelType w:val="singleLevel"/>
    <w:tmpl w:val="17ED3EAD"/>
    <w:lvl w:ilvl="0" w:tentative="0">
      <w:start w:val="2"/>
      <w:numFmt w:val="decimal"/>
      <w:suff w:val="nothing"/>
      <w:lvlText w:val="（%1）"/>
      <w:lvlJc w:val="left"/>
    </w:lvl>
  </w:abstractNum>
  <w:abstractNum w:abstractNumId="3">
    <w:nsid w:val="3BFCA8B5"/>
    <w:multiLevelType w:val="singleLevel"/>
    <w:tmpl w:val="3BFCA8B5"/>
    <w:lvl w:ilvl="0" w:tentative="0">
      <w:start w:val="2"/>
      <w:numFmt w:val="chineseCounting"/>
      <w:suff w:val="nothing"/>
      <w:lvlText w:val="（%1）"/>
      <w:lvlJc w:val="left"/>
      <w:rPr>
        <w:rFonts w:hint="eastAsia"/>
      </w:rPr>
    </w:lvl>
  </w:abstractNum>
  <w:abstractNum w:abstractNumId="4">
    <w:nsid w:val="3C7932A9"/>
    <w:multiLevelType w:val="multilevel"/>
    <w:tmpl w:val="3C7932A9"/>
    <w:lvl w:ilvl="0" w:tentative="0">
      <w:start w:val="1"/>
      <w:numFmt w:val="decimal"/>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lvlText w:val="%1.%2.%3"/>
      <w:lvlJc w:val="left"/>
      <w:pPr>
        <w:ind w:left="720" w:hanging="720"/>
      </w:pPr>
      <w:rPr>
        <w:rFonts w:cs="Times New Roman"/>
        <w:color w:val="auto"/>
      </w:rPr>
    </w:lvl>
    <w:lvl w:ilvl="3" w:tentative="0">
      <w:start w:val="1"/>
      <w:numFmt w:val="decimal"/>
      <w:pStyle w:val="3"/>
      <w:lvlText w:val="%1.%2.%3.%4"/>
      <w:lvlJc w:val="left"/>
      <w:pPr>
        <w:ind w:left="1431" w:hanging="864"/>
      </w:pPr>
      <w:rPr>
        <w:rFonts w:cs="Times New Roman"/>
      </w:rPr>
    </w:lvl>
    <w:lvl w:ilvl="4" w:tentative="0">
      <w:start w:val="1"/>
      <w:numFmt w:val="decimal"/>
      <w:lvlText w:val="%1.%2.%3.%4.%5"/>
      <w:lvlJc w:val="left"/>
      <w:pPr>
        <w:ind w:left="171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E0DD3"/>
    <w:rsid w:val="3EAB0813"/>
    <w:rsid w:val="7FB16877"/>
    <w:rsid w:val="FFB92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numPr>
        <w:ilvl w:val="3"/>
        <w:numId w:val="1"/>
      </w:numPr>
      <w:ind w:left="864" w:hanging="864"/>
      <w:outlineLvl w:val="3"/>
    </w:pPr>
    <w:rPr>
      <w:rFonts w:ascii="Cambria" w:hAnsi="Cambria"/>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4">
    <w:name w:val="Normal Indent"/>
    <w:basedOn w:val="1"/>
    <w:next w:val="3"/>
    <w:qFormat/>
    <w:uiPriority w:val="0"/>
    <w:pPr>
      <w:ind w:firstLine="20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uos</cp:lastModifiedBy>
  <dcterms:modified xsi:type="dcterms:W3CDTF">2025-09-26T09:23:06Z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