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895F8">
      <w:pPr>
        <w:ind w:firstLine="640" w:firstLineChars="200"/>
        <w:jc w:val="center"/>
        <w:rPr>
          <w:rFonts w:ascii="黑体" w:eastAsia="黑体"/>
          <w:sz w:val="32"/>
          <w:szCs w:val="32"/>
        </w:rPr>
      </w:pPr>
      <w:r>
        <w:rPr>
          <w:rFonts w:hint="eastAsia" w:ascii="黑体" w:eastAsia="黑体"/>
          <w:sz w:val="32"/>
          <w:szCs w:val="32"/>
        </w:rPr>
        <w:t>第四部分  202</w:t>
      </w:r>
      <w:r>
        <w:rPr>
          <w:rFonts w:ascii="黑体" w:eastAsia="黑体"/>
          <w:sz w:val="32"/>
          <w:szCs w:val="32"/>
          <w:lang w:val="en"/>
        </w:rPr>
        <w:t>4</w:t>
      </w:r>
      <w:r>
        <w:rPr>
          <w:rFonts w:hint="eastAsia" w:ascii="黑体" w:eastAsia="黑体"/>
          <w:sz w:val="32"/>
          <w:szCs w:val="32"/>
        </w:rPr>
        <w:t>年度部门绩效评价情况</w:t>
      </w:r>
    </w:p>
    <w:p w14:paraId="6A779C55">
      <w:pPr>
        <w:ind w:firstLine="560" w:firstLineChars="200"/>
        <w:rPr>
          <w:rFonts w:ascii="黑体" w:eastAsia="黑体"/>
          <w:sz w:val="28"/>
          <w:szCs w:val="28"/>
          <w:highlight w:val="yellow"/>
        </w:rPr>
      </w:pPr>
    </w:p>
    <w:p w14:paraId="48EFBB0A">
      <w:pPr>
        <w:numPr>
          <w:ilvl w:val="0"/>
          <w:numId w:val="1"/>
        </w:numPr>
        <w:spacing w:line="580" w:lineRule="exact"/>
        <w:ind w:firstLine="560" w:firstLineChars="200"/>
        <w:rPr>
          <w:rFonts w:hint="eastAsia" w:ascii="黑体" w:eastAsia="黑体"/>
          <w:sz w:val="28"/>
          <w:szCs w:val="28"/>
          <w:lang w:val="en"/>
        </w:rPr>
      </w:pPr>
      <w:r>
        <w:rPr>
          <w:rFonts w:hint="eastAsia" w:ascii="黑体" w:eastAsia="黑体"/>
          <w:sz w:val="28"/>
          <w:szCs w:val="28"/>
          <w:lang w:val="en"/>
        </w:rPr>
        <w:t>部门整体绩效评价报告</w:t>
      </w:r>
    </w:p>
    <w:p w14:paraId="04EBEDB6">
      <w:pPr>
        <w:numPr>
          <w:ilvl w:val="0"/>
          <w:numId w:val="0"/>
        </w:numPr>
        <w:spacing w:line="58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（一）部门概况</w:t>
      </w:r>
    </w:p>
    <w:p w14:paraId="3B2BBA95">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14:paraId="69A4D10A">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本单位下设7个办公室：</w:t>
      </w:r>
    </w:p>
    <w:p w14:paraId="5F9D783D">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（1）综合办公室</w:t>
      </w:r>
    </w:p>
    <w:p w14:paraId="7DA489E5">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负责机关日常运转工作，承担文电、会务、机要、档案等工作；承担机关重要文件的起草、审核和调查研究工作；承担信息、建议议案提案办理、保密、外事、政府信息公开、绩效管理等工作；承担机关重要事项的组织和督查工作；承担“12345”市民服务热线等交办事件的统筹工作；负责固定资产管理工作；负责机关安全保卫、应急值守、后勤服务工作。</w:t>
      </w:r>
    </w:p>
    <w:p w14:paraId="2361264F">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（2）党群工作办公室（加挂人大工作办公室牌子）</w:t>
      </w:r>
    </w:p>
    <w:p w14:paraId="0A81171F">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负责党内监督，加强党风建设和反腐败协调工作；负责村（社区）、社会组织、农村经济组织及机关和所属事业单位党建工作；负责村民委员会的设立、撤销、范围调整报批、农村集体经济组织的换届选举、辖区村务监督工作；负责意识形态工作，加强思想政治和精神文明建设；负责统战、宣传、选举等工作；负责党员教育、管理、监督和服务，加强党员队伍建设；按照权限，负责干部人事、机构编制和老干部工作，统筹编制外人员管理；承担人大、政协等相关具体工作；负责总工会、共青团、妇联、残联、红十字等群团组织工作。</w:t>
      </w:r>
    </w:p>
    <w:p w14:paraId="75764325">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（3）平安建设办公室（加挂司法所、人民武装部牌子）</w:t>
      </w:r>
    </w:p>
    <w:p w14:paraId="593137EB">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负责维护辖区社会稳定，加强群防群治组织建设，推动辖区内的社会治安综合治理各项措施的落实；负责信访、人民调解、具体实施社区戒毒和康复、民兵、征兵、人民防空、地下空间治理、防震减灾、突发事件应对等相关工作；承担法制相关工作；负责依法行政、组织开展法治宣传等工作；承担社区矫正日常工作；承担辖区安全生产、消防安全等工作；配合有关部门做好流动人口和出租房屋的综合管理、国家安全、反恐、防范处理邪教、烟花爆竹的安全管理等相关工作；协同开展辖区“疏解整治促提升”专项行动；做好辖区“扫黄打非”工作。</w:t>
      </w:r>
    </w:p>
    <w:p w14:paraId="7D85314C">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（4）城乡建设办公室</w:t>
      </w:r>
    </w:p>
    <w:p w14:paraId="2B1F7F58">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负责区域内城乡规划工作；组织农村基础设施建设，受理农村地区住宅建设的申请工作；负责控制和查处辖区内违法建设；负责征地补偿安置、乡村道路建设养护、地质灾害群测群防、摸排无证无照经营和“开墙打洞”等工作；负责市容环境卫生和生活垃圾日常管理，开展背街小巷环境整治提升工作和爱国卫生运动；负责统筹辖区内机动车、非机动车停车管理工作；负责植树护林、森林防火、防汛抗洪和河长制等相关工作；负责镇域生态环境保护及生态环境质量监管工作，重点做好大气、水、土壤污染防治等工作；负责协助开展老旧小区综合整治，综合协调城市服务管理网格工作；承担协管员管理职责。</w:t>
      </w:r>
    </w:p>
    <w:p w14:paraId="1A37938C">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（5）经济发展办公室（加挂统计所牌子）</w:t>
      </w:r>
    </w:p>
    <w:p w14:paraId="5E7A060B">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负责全镇经济发展、经济指标统计分析等工作；负责企业服务和引进、高新技术认定、项目扶持、人才服务和引进、知识产权保护等工作；负责全镇农业和农村经济发展工作；负责农村土地承包经营及承包经营合同管理，指导和监督农村集体资产管理工作；负责农民负担监督管理工作；负责全镇预算内（外）资金、自筹资金的年度预决算编报、收支核算及各类上报工作，按镇财政预算核拨各类资金及镇机关的日常财务核算工作；负责属于审计监督范围财务收支情况的审计监督等工作；负责做好食品安全日常工作；依法管理、开展统计工作。</w:t>
      </w:r>
    </w:p>
    <w:p w14:paraId="792B62CD">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（6）农业农村办公室</w:t>
      </w:r>
    </w:p>
    <w:p w14:paraId="70CC6ED4">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负责编制实施农业发展规划、美丽乡村建设、村级基础设施管护、煤改清洁能源、农业补贴等工作；负责基本农田保护管理、农业机械化、农业技术推广、农业植物疫情、动物防疫、农产品监管和农民专业合作社等工作。</w:t>
      </w:r>
    </w:p>
    <w:p w14:paraId="6E74E1EB">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（7）社区建设和民生保障办公室</w:t>
      </w:r>
    </w:p>
    <w:p w14:paraId="255DC450">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负责推动基层民主政治建设和群众自治等工作；负责指导村（居）民委员会、村（居）务监督委员会、社区规范化建设、业主委员会工作；负责管理社会组织、社区工作者、社区志愿者工作；协助做好未成年人保护、社区科普、全民健身、家庭教育、学前教育、义务教育实施等工作；协助做好公共文化设施建设；负责组织开展基层就业服务，协调劳动关系、调解劳动争议等与居民生活密切相关的服务保障工作；负责城市最低生活保障、低收入家庭救助的受理调查工作；承担企业退休人员社会化管理等工作；按权限做好养老助残、社会保障、医疗保障、卫生计生、社会救助、拥军优属、伤残抚恤、丧葬补贴、住房保障、征收补偿、便民服务、政务服务等领域相关工作。</w:t>
      </w:r>
    </w:p>
    <w:p w14:paraId="6DD0ED01">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2.部门整体绩效目标设立情况（包括绩效目标设立依据、目标与职责任务匹配情况、目标合理性等）。</w:t>
      </w:r>
    </w:p>
    <w:p w14:paraId="09EE4275">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1.部门整体绩效目标</w:t>
      </w:r>
    </w:p>
    <w:p w14:paraId="6C31074E">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lang w:val="en-US" w:eastAsia="zh-CN"/>
        </w:rPr>
        <w:t>2024年是新中国成立75周年，是实现“十四五”规划目标任务的关键一年，是京津冀协同发展战略实施十周年。一年来，永乐店镇在以习近平同志为核心的党中央坚强领导下，深入贯彻党的二十大和二十届二中、三中全会精神，深入贯彻习近平总书记对北京重要讲话精神，认真落实市委、区委工作部署要求，经过全镇上下努力奋斗，各项事业取得长足发展。</w:t>
      </w:r>
    </w:p>
    <w:p w14:paraId="41E95844">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2．年度目标分解</w:t>
      </w:r>
    </w:p>
    <w:p w14:paraId="40F5A914">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 产出数量指标</w:t>
      </w:r>
    </w:p>
    <w:p w14:paraId="052E5DFC">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产出数量指标：根据我单位2024年度工作要点，做好重大任务服务保障、推进永乐店镇新市镇建设、把党的政治建设摆在首位、强化思想理论武装、加强班子和干部队伍建设、严密党的组织体系、提升基层党组织运行质量、严肃纪律作风建设、扎实推进接诉即办、兜牢基础民生保障底线、提升综合治理效能、强化矛盾排查化解、注重日常管理制度建设和执行、提升整体运行水平等重点工作。</w:t>
      </w:r>
    </w:p>
    <w:p w14:paraId="561923A9">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（2）产出质量指标</w:t>
      </w:r>
    </w:p>
    <w:p w14:paraId="611AA1F2">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所有重大事项经过事前评估，坚持民主集中制原则，凡涉及重大项目、政策法规、改革措施、重大活动、重要会议等重大事项决策，涉及事项5万元以上提请镇长办公会研究审议，50万元以上提请镇党委会研究审议，涉及资金支付10万元以上提请镇长办公会研究审议，20万元以上提请党委会研究审议。</w:t>
      </w:r>
    </w:p>
    <w:p w14:paraId="62D96209">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（3）产出时效指标</w:t>
      </w:r>
    </w:p>
    <w:p w14:paraId="0C66835E">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按具体时间要求，2024年12月底前全部完成。</w:t>
      </w:r>
    </w:p>
    <w:p w14:paraId="3C7A000F">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（4）成本指标</w:t>
      </w:r>
    </w:p>
    <w:p w14:paraId="5E1356D9">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本着厉行节约和过紧日子的要求，所有项目支出均执行相关规定，并按照规定严格控制支出成本。</w:t>
      </w:r>
    </w:p>
    <w:p w14:paraId="2501F50F">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（5）经济效益指标</w:t>
      </w:r>
    </w:p>
    <w:p w14:paraId="0179C9C6">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通过2024年工作要点的实施和具体培训、活动等工作开展，切实提高广大居民安全感、幸福感和增加社会认同感，</w:t>
      </w:r>
      <w:r>
        <w:rPr>
          <w:rFonts w:hint="eastAsia" w:ascii="仿宋_GB2312" w:hAnsi="Times New Roman" w:eastAsia="仿宋_GB2312" w:cs="Times New Roman"/>
          <w:kern w:val="0"/>
          <w:sz w:val="28"/>
          <w:szCs w:val="28"/>
          <w:lang w:val="en-US" w:eastAsia="zh-CN"/>
        </w:rPr>
        <w:t>耕地保护体系更加完善，基础设施项目加快落地，财税指标平稳增长，企业服务精准高效，重大项目加速推进，绿色低碳发展转型加快，深入推动从“接诉即办”到“未诉先办”，</w:t>
      </w:r>
      <w:r>
        <w:rPr>
          <w:rFonts w:hint="eastAsia" w:ascii="仿宋_GB2312" w:hAnsi="Times New Roman" w:eastAsia="仿宋_GB2312" w:cs="Times New Roman"/>
          <w:kern w:val="0"/>
          <w:sz w:val="28"/>
          <w:szCs w:val="28"/>
        </w:rPr>
        <w:t>社会保障兜底增效</w:t>
      </w:r>
      <w:r>
        <w:rPr>
          <w:rFonts w:hint="eastAsia" w:ascii="仿宋_GB2312" w:hAnsi="Times New Roman" w:eastAsia="仿宋_GB2312" w:cs="Times New Roman"/>
          <w:kern w:val="0"/>
          <w:sz w:val="28"/>
          <w:szCs w:val="28"/>
          <w:lang w:eastAsia="zh-CN"/>
        </w:rPr>
        <w:t>，</w:t>
      </w:r>
      <w:r>
        <w:rPr>
          <w:rFonts w:hint="eastAsia" w:ascii="仿宋_GB2312" w:hAnsi="Times New Roman" w:eastAsia="仿宋_GB2312" w:cs="Times New Roman"/>
          <w:kern w:val="0"/>
          <w:sz w:val="28"/>
          <w:szCs w:val="28"/>
        </w:rPr>
        <w:t>公共服务优化升级</w:t>
      </w:r>
      <w:r>
        <w:rPr>
          <w:rFonts w:hint="eastAsia" w:ascii="仿宋_GB2312" w:hAnsi="Times New Roman" w:eastAsia="仿宋_GB2312" w:cs="Times New Roman"/>
          <w:kern w:val="0"/>
          <w:sz w:val="28"/>
          <w:szCs w:val="28"/>
          <w:lang w:eastAsia="zh-CN"/>
        </w:rPr>
        <w:t>，</w:t>
      </w:r>
      <w:r>
        <w:rPr>
          <w:rFonts w:hint="eastAsia" w:ascii="仿宋_GB2312" w:hAnsi="Times New Roman" w:eastAsia="仿宋_GB2312" w:cs="Times New Roman"/>
          <w:kern w:val="0"/>
          <w:sz w:val="28"/>
          <w:szCs w:val="28"/>
          <w:lang w:val="en-US" w:eastAsia="zh-CN"/>
        </w:rPr>
        <w:t>安全体系更加完善。</w:t>
      </w:r>
    </w:p>
    <w:p w14:paraId="5D8B3261">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（6）社会效益指标</w:t>
      </w:r>
    </w:p>
    <w:p w14:paraId="1184AD80">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弘扬人道主义思想，通过促进镇域内各项事业发展、充分参与社会生活，提升镇域内居民获得感及满足感，让居民共享社会物质文化成果。</w:t>
      </w:r>
    </w:p>
    <w:p w14:paraId="7C6E8325">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（7）可持续效益</w:t>
      </w:r>
    </w:p>
    <w:p w14:paraId="324EBC4B">
      <w:pPr>
        <w:tabs>
          <w:tab w:val="center" w:pos="6979"/>
        </w:tabs>
        <w:spacing w:line="580" w:lineRule="exact"/>
        <w:ind w:firstLine="560" w:firstLineChars="200"/>
        <w:rPr>
          <w:rFonts w:hint="eastAsia"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进一步推进我镇各项事业稳步发展，解放思想、更新观念，坚持科学发展，推动辖区各项事业可持续发展。</w:t>
      </w:r>
    </w:p>
    <w:p w14:paraId="5794ADFC">
      <w:pPr>
        <w:spacing w:line="5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（二）当年预算执行情况</w:t>
      </w:r>
    </w:p>
    <w:p w14:paraId="75DBDE2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2024年全年资金总体支出</w:t>
      </w:r>
      <w:r>
        <w:rPr>
          <w:rFonts w:ascii="仿宋_GB2312" w:eastAsia="仿宋_GB2312"/>
          <w:sz w:val="28"/>
          <w:szCs w:val="28"/>
        </w:rPr>
        <w:t>112848.45</w:t>
      </w:r>
      <w:r>
        <w:rPr>
          <w:rFonts w:hint="eastAsia" w:ascii="仿宋_GB2312" w:hAnsi="仿宋_GB2312" w:eastAsia="仿宋_GB2312" w:cs="仿宋_GB2312"/>
          <w:sz w:val="28"/>
          <w:szCs w:val="28"/>
        </w:rPr>
        <w:t>万元，其中，基本支出</w:t>
      </w:r>
      <w:r>
        <w:rPr>
          <w:rFonts w:ascii="仿宋_GB2312" w:eastAsia="仿宋_GB2312"/>
          <w:sz w:val="28"/>
          <w:szCs w:val="28"/>
        </w:rPr>
        <w:t>5267.7</w:t>
      </w:r>
      <w:r>
        <w:rPr>
          <w:rFonts w:hint="eastAsia" w:ascii="仿宋_GB2312" w:hAnsi="仿宋_GB2312" w:eastAsia="仿宋_GB2312" w:cs="仿宋_GB2312"/>
          <w:sz w:val="28"/>
          <w:szCs w:val="28"/>
        </w:rPr>
        <w:t>万元，项目支出</w:t>
      </w:r>
      <w:r>
        <w:rPr>
          <w:rFonts w:ascii="仿宋_GB2312" w:eastAsia="仿宋_GB2312"/>
          <w:sz w:val="28"/>
          <w:szCs w:val="28"/>
        </w:rPr>
        <w:t>107580.75</w:t>
      </w:r>
      <w:r>
        <w:rPr>
          <w:rFonts w:hint="eastAsia" w:ascii="仿宋_GB2312" w:hAnsi="仿宋_GB2312" w:eastAsia="仿宋_GB2312" w:cs="仿宋_GB2312"/>
          <w:sz w:val="28"/>
          <w:szCs w:val="28"/>
        </w:rPr>
        <w:t>万元，其他支出</w:t>
      </w:r>
      <w:r>
        <w:rPr>
          <w:rFonts w:ascii="仿宋_GB2312" w:eastAsia="仿宋_GB2312"/>
          <w:sz w:val="28"/>
          <w:szCs w:val="28"/>
        </w:rPr>
        <w:t>0</w:t>
      </w:r>
      <w:r>
        <w:rPr>
          <w:rFonts w:hint="eastAsia" w:ascii="仿宋_GB2312" w:hAnsi="仿宋_GB2312" w:eastAsia="仿宋_GB2312" w:cs="仿宋_GB2312"/>
          <w:sz w:val="28"/>
          <w:szCs w:val="28"/>
        </w:rPr>
        <w:t>万元。</w:t>
      </w:r>
    </w:p>
    <w:p w14:paraId="51A900B6">
      <w:pPr>
        <w:spacing w:line="5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（三）整体绩效目标实现情况</w:t>
      </w:r>
    </w:p>
    <w:p w14:paraId="12CB3A5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14:paraId="4B0EE16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（1）产出数量</w:t>
      </w:r>
    </w:p>
    <w:p w14:paraId="39A66237">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围绕区委“11311”工作体系，奋力答好“二十年之问”。发起设立北京城市副中心新市镇研究院，深化通武廊毗邻地区一体化，新市镇发展框架加快成型，完成《通州区永乐店镇国土空间规划及控制性详细规划（街区层面）（2021年—2035年）》的修编完善工作，已报送市级审查。耕地保护体系更加完善。圆满完成了2024年度我镇拆违任务12万平方米。抓好国家历年督查图斑14宗、粮食“二考”图斑整改并通过验收，积极处置市、区级卫片图斑及巩固“基本无违法建设区”图斑，办结率稳步提升。基础设施项目加快落地。永乐店镇第二水厂项目加快办理前期手续。“北三县”供水工程（永乐店段）项目实现开工。永开110千伏输变电工程（永乐店段）主体工程已基本完工。市级第三批南区污水管线工程进展顺利，区级管渠整治工程有序推进，20处污水处理厂站整体进度达82%。完成各类道路修缮工程4.98公里，小务小学项目主体工程完工，正加快推进征地手续。</w:t>
      </w:r>
    </w:p>
    <w:p w14:paraId="1EB2BAA9">
      <w:pPr>
        <w:spacing w:line="5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2024年我镇实现税收收入9.83亿元，同比增加0.04亿元，增幅0.4%。在11个乡镇中，税收总额排名第7，增速排名第4，完成固定资产投资2.95亿元，完成率120.9%。企业服务精准高效。常态化维护112个“找我就行”精准服务群，走访企业191次，解决企业诉求60件，满意率100%。新增注册企业1027户，累计注册资金超38亿元，其中注册资金500万元及以上企业93户。重大项目加速推进。电投工业互联网数据安全信息港一期配电工程竣工，配套道路永开西一路、恒业北七街完成70%工程量，已达到通车条件。中建海龙新型建筑工业化项目完成地上物拆迁及文物勘探。绿色循环经济产业园智慧租洗项目、金隅商砼站项目已完成框架协议签订和公司迁址，并通过区级产促会。</w:t>
      </w:r>
    </w:p>
    <w:p w14:paraId="44FF3977">
      <w:pPr>
        <w:numPr>
          <w:ilvl w:val="0"/>
          <w:numId w:val="2"/>
        </w:numPr>
        <w:spacing w:line="5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空气质量改善取得积极进展，在月度工作点评会中三次获得通州区空气质量最优街道乡镇评价。2024年PM2.5平均浓度35微克/立方米，TSP平均浓度98微克/立方米。其中2024年度4月、5月、7月、8月、9月、10月、11月PM2.5浓度排名退出全市倒十，7月至11月连续5个月跃居全区前列。水环境治理成效持续巩固。水环境保持稳定，柏凤沟应寺桥市考断面水质均达到Ⅳ类以上。保障镇村两级河长巡河率100%，确保55处小微水体问题不反弹。2024年度清理河道130公里，清除垃圾860吨，整改问题点位1100余处，黑臭水体全面动态清零。绿色低碳发展转型加快。依托全镇4.6万亩林地，启动林业碳汇交易。加快引进绿电，成为全区首家100%使用绿电的乡镇政府机关，年度减排二氧化碳达748吨。在德仁务片区规划建设绿色循环经济产业园，以“资源循环、产业协同、生态反哺”为核心，推动市政保障与绿色产业深度融合。</w:t>
      </w:r>
    </w:p>
    <w:p w14:paraId="59E37904">
      <w:pPr>
        <w:pageBreakBefore w:val="0"/>
        <w:numPr>
          <w:ilvl w:val="0"/>
          <w:numId w:val="2"/>
        </w:numPr>
        <w:kinsoku/>
        <w:wordWrap/>
        <w:overflowPunct/>
        <w:topLinePunct w:val="0"/>
        <w:autoSpaceDE/>
        <w:autoSpaceDN/>
        <w:bidi w:val="0"/>
        <w:adjustRightIn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今年稳产保供粮食任务，全年完成粮食播种面积4.02万亩，超标完成率62.5%，产量完成1.59万吨，超标完成67.3%。提升耕地质量，新增建设高标准农田共计5604.03亩。林业宜居底色持续擦亮。充分利用4.6万余亩平原造林成果，积极构建“林下经济+林下文旅+林下研学+林下科技”复合型模式，促进生态效益与经济效益双赢。定期巡护古树名木，做好平原造林43494亩、“五河十路”3014.4亩林地的管护工作。强化农业产业赋能。依托中国农业大学西槐庄科技小院，推广“吨半粮”绿色高产模式，西槐庄萝卜远近闻名，科技赋能解决永乐店镇粮食生产瓶颈，探索超大城市近郊区“高产高效+低碳可持续”农业路径。</w:t>
      </w:r>
    </w:p>
    <w:p w14:paraId="1CF17C16">
      <w:pPr>
        <w:pageBreakBefore w:val="0"/>
        <w:kinsoku/>
        <w:wordWrap/>
        <w:overflowPunct/>
        <w:topLinePunct w:val="0"/>
        <w:autoSpaceDE/>
        <w:autoSpaceDN/>
        <w:bidi w:val="0"/>
        <w:adjustRightInd/>
        <w:spacing w:line="560" w:lineRule="exact"/>
        <w:ind w:firstLine="560" w:firstLineChars="200"/>
        <w:jc w:val="both"/>
        <w:textAlignment w:val="auto"/>
        <w:rPr>
          <w:rFonts w:hint="default" w:ascii="仿宋_GB2312" w:hAnsi="仿宋_GB2312" w:eastAsia="仿宋_GB2312" w:cs="仿宋_GB2312"/>
          <w:sz w:val="36"/>
          <w:szCs w:val="36"/>
          <w:lang w:val="en-US"/>
        </w:rPr>
      </w:pPr>
      <w:r>
        <w:rPr>
          <w:rFonts w:hint="eastAsia" w:ascii="仿宋_GB2312" w:hAnsi="仿宋_GB2312" w:eastAsia="仿宋_GB2312" w:cs="仿宋_GB2312"/>
          <w:sz w:val="28"/>
          <w:szCs w:val="28"/>
          <w:lang w:val="en-US" w:eastAsia="zh-CN"/>
        </w:rPr>
        <w:t>5）把解决群众问题的关口前移，变“被动办理”为“主动治理”。严格落实“镇党委九条措施”，以“红色网格”为基础，深化“热线+网格”，推动接诉即办工作降量提质，2024年全年工单总量5782件，同比下降36.17%，办理情况综合排名街乡镇第13名，成绩总体稳步提升。社会保障兜底增效。发放各类救助金2391万元，惠及群众1万余人，完成新建2家养老驿站，全镇现有养老驿站14家，签约保障基本养老服务对象381人，镇九康养老照料中心正式投入使用。公共服务优化升级。开展“永乐书香季”阅读活动5场，公益电影放映744场，观影达5579人次。完成永乐生态公园的提升改造，新增体育场地面积达42216平方米。推动镇中心小学纳入中山街小学教育集团，助力永乐店镇基础教育质量快速提升。组织北京朝阳医院、北京潞河医院开展义诊活动4次，与通州区中西医结合医院合作在大务村新设残疾等级鉴定点，真正实现让群众在家门口“看得上病，看得好病”。安全体系更加完善。2024年接火警97起，同比减少了13%，联合运河灯塔应急救援中心举办应急培训，涉及各村人员1000多人次。发放安装燃气报警器1万余个，完成了28个村液化气用户的入户安检。</w:t>
      </w:r>
    </w:p>
    <w:p w14:paraId="569E8BCC">
      <w:pPr>
        <w:pStyle w:val="9"/>
        <w:numPr>
          <w:ilvl w:val="0"/>
          <w:numId w:val="0"/>
        </w:numPr>
        <w:rPr>
          <w:rFonts w:hint="default"/>
          <w:lang w:val="en-US" w:eastAsia="zh-CN"/>
        </w:rPr>
      </w:pPr>
    </w:p>
    <w:p w14:paraId="293067A9">
      <w:pPr>
        <w:pageBreakBefore w:val="0"/>
        <w:kinsoku/>
        <w:wordWrap/>
        <w:overflowPunct/>
        <w:topLinePunct w:val="0"/>
        <w:autoSpaceDE/>
        <w:autoSpaceDN/>
        <w:bidi w:val="0"/>
        <w:adjustRightIn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2）产出质量</w:t>
      </w:r>
    </w:p>
    <w:p w14:paraId="78F24C4E">
      <w:pPr>
        <w:pageBreakBefore w:val="0"/>
        <w:kinsoku/>
        <w:wordWrap/>
        <w:overflowPunct/>
        <w:topLinePunct w:val="0"/>
        <w:autoSpaceDE/>
        <w:autoSpaceDN/>
        <w:bidi w:val="0"/>
        <w:adjustRightIn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通过永乐店镇“三重一大”议事规则实施细则的实施办法相关规定对当年项目决策和执行效果进行审议。2024年度部门产出质量得到有效的机制保障，效果达到预期。</w:t>
      </w:r>
    </w:p>
    <w:p w14:paraId="1BDDF00E">
      <w:pPr>
        <w:pageBreakBefore w:val="0"/>
        <w:kinsoku/>
        <w:wordWrap/>
        <w:overflowPunct/>
        <w:topLinePunct w:val="0"/>
        <w:autoSpaceDE/>
        <w:autoSpaceDN/>
        <w:bidi w:val="0"/>
        <w:adjustRightIn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（3）产出进度</w:t>
      </w:r>
    </w:p>
    <w:p w14:paraId="6AEB57DD">
      <w:pPr>
        <w:pageBreakBefore w:val="0"/>
        <w:kinsoku/>
        <w:wordWrap/>
        <w:overflowPunct/>
        <w:topLinePunct w:val="0"/>
        <w:autoSpaceDE/>
        <w:autoSpaceDN/>
        <w:bidi w:val="0"/>
        <w:adjustRightIn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2024年按照年初预算情况，全部预算于2024年12月底前完成，同时对于本年度新增项目也已全部完成，进度执行情况良好。</w:t>
      </w:r>
    </w:p>
    <w:p w14:paraId="1EDA1373">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（4）产出成本 </w:t>
      </w:r>
    </w:p>
    <w:p w14:paraId="196B7C89">
      <w:pPr>
        <w:spacing w:line="58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2024年度本年支出合计</w:t>
      </w:r>
      <w:r>
        <w:rPr>
          <w:rFonts w:ascii="仿宋_GB2312" w:eastAsia="仿宋_GB2312"/>
          <w:sz w:val="28"/>
          <w:szCs w:val="28"/>
        </w:rPr>
        <w:t>112848.45</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减少5623.85万元，下降4.74%，其中：基本支出</w:t>
      </w:r>
      <w:r>
        <w:rPr>
          <w:rFonts w:ascii="仿宋_GB2312" w:eastAsia="仿宋_GB2312"/>
          <w:sz w:val="28"/>
          <w:szCs w:val="28"/>
        </w:rPr>
        <w:t>5267.7</w:t>
      </w:r>
      <w:r>
        <w:rPr>
          <w:rFonts w:hint="eastAsia" w:ascii="仿宋_GB2312" w:eastAsia="仿宋_GB2312"/>
          <w:sz w:val="28"/>
          <w:szCs w:val="28"/>
        </w:rPr>
        <w:t>0万元，占支出合计的4.67%；项目支出</w:t>
      </w:r>
      <w:r>
        <w:rPr>
          <w:rFonts w:ascii="仿宋_GB2312" w:eastAsia="仿宋_GB2312"/>
          <w:sz w:val="28"/>
          <w:szCs w:val="28"/>
        </w:rPr>
        <w:t>107580.75</w:t>
      </w:r>
      <w:r>
        <w:rPr>
          <w:rFonts w:hint="eastAsia" w:ascii="仿宋_GB2312" w:eastAsia="仿宋_GB2312"/>
          <w:sz w:val="28"/>
          <w:szCs w:val="28"/>
        </w:rPr>
        <w:t>万元，占支出合计的95.33%;</w:t>
      </w:r>
      <w:r>
        <w:rPr>
          <w:rFonts w:hint="eastAsia" w:ascii="仿宋_GB2312" w:hAnsi="仿宋_GB2312" w:eastAsia="仿宋_GB2312" w:cs="仿宋_GB2312"/>
          <w:sz w:val="28"/>
          <w:szCs w:val="28"/>
        </w:rPr>
        <w:t xml:space="preserve">                                   </w:t>
      </w:r>
    </w:p>
    <w:p w14:paraId="238CFC60">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14:paraId="0F1DA9B5">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（1）经济效益</w:t>
      </w:r>
    </w:p>
    <w:p w14:paraId="40E0E81B">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财税指标平稳增长，2024年我镇实现税收收入9.83亿元，同比增加0.04亿元，增幅0.4%。在11个乡镇中，税收总额排名第7，增速排名第4，完成固定资产投资2.95亿元，完成率120.9%。企业服务精准高效。常态化维护112个“找我就行”精准服务群，走访企业191次，解决企业诉求60件，满意率100%。新增注册企业1027户，累计注册资金超38亿元，其中注册资金500万元及以上企业93户。重大项目加速推进。电投工业互联网数据安全信息港一期配电工程竣工，配套道路永开西一路、恒业北七街完成70%工程量，已达到通车条件。中建海龙新型建筑工业化项目完成地上物拆迁及文物勘探。绿色循环经济产业园智慧租洗项目、金隅商砼站项目已完成框架协议签订和公司迁址，并通过区级产促会。</w:t>
      </w:r>
    </w:p>
    <w:p w14:paraId="7C9C94CF">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（2）社会效益</w:t>
      </w:r>
    </w:p>
    <w:p w14:paraId="4E80BD83">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深入推动从“接诉即办”到“未诉先办”。把解决群众问题的关口前移，变“被动办理”为“主动治理”。严格落实“镇党委九条措施”，以“红色网格”为基础，深化“热线+网格”，推动接诉即办工作降量提质，2024年全年工单总量5782件，同比下降36.17%，办理情况综合排名街乡镇第13名，成绩总体稳步提升。社会保障兜底增效。发放各类救助金2391万元，惠及群众1万余人，完成新建2家养老驿站，全镇现有养老驿站14家，签约保障基本养老服务对象381人，镇九康养老照料中心正式投入使用。公共服务优化升级。开展“永乐书香季”阅读活动5场，公益电影放映744场，观影达5579人次。完成永乐生态公园的提升改造，新增体育场地面积达42216平方米。推动镇中心小学纳入中山街小学教育集团，助力永乐店镇基础教育质量快速提升。组织北京朝阳医院、北京潞河医院开展义诊活动4次，与通州区中西医结合医院合作在大务村新设残疾等级鉴定点，真正实现让群众在家门口“看得上病，看得好病”。安全体系更加完善。2024年接火警97起，同比减少了13%，联合运河灯塔应急救援中心举办应急培训，涉及各村人员1000多人次。发放安装燃气报警器1万余个，完成了28个村液化气用户的入户安检。</w:t>
      </w:r>
    </w:p>
    <w:p w14:paraId="7148C79E">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（3）环境效益</w:t>
      </w:r>
    </w:p>
    <w:p w14:paraId="26DD4B27">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空气质量攻坚成效显著。空气质量改善取得积极进展，在月度工作点评会中三次获得通州区空气质量最优街道乡镇评价。2024年PM2.5平均浓度35微克/立方米，TSP平均浓度98微克/立方米。其中2024年度4月、5月、7月、8月、9月、10月、11月PM2.5浓度排名退出全市倒十，7月至11月连续5个月跃居全区前列。水环境治理成效持续巩固。水环境保持稳定，柏凤沟应寺桥市考断面水质均达到Ⅳ类以上。保障镇村两级河长巡河率100%，确保55处小微水体问题不反弹。2024年度清理河道130公里，清除垃圾860吨，整改问题点位1100余处，黑臭水体全面动态清零。绿色低碳发展转型加快。依托全镇4.6万亩林地，启动林业碳汇交易。加快引进绿电，成为全区首家100%使用绿电的乡镇政府机关，年度减排二氧化碳达748吨。在德仁务片区规划建设绿色循环经济产业园，以“资源循环、产业协同、生态反哺”为核心，推动市政保障与绿色产业深度融合。</w:t>
      </w:r>
    </w:p>
    <w:p w14:paraId="33A0A732">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（4）可持续性影响</w:t>
      </w:r>
    </w:p>
    <w:p w14:paraId="6F997C92">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进一步推进我镇系统机制建设，解放思想、更新观念，坚持科学发展，推动辖区各项事业可持续发展。</w:t>
      </w:r>
    </w:p>
    <w:p w14:paraId="133DDF4B">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（5）服务对象满意度</w:t>
      </w:r>
    </w:p>
    <w:p w14:paraId="151C7AEC">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截止2024年12月底，我单位通过调查问卷、随机提问等多种形式进行受益人群及工作人员满意度调查，满意度调查均不低于90%。</w:t>
      </w:r>
    </w:p>
    <w:p w14:paraId="31E989E4">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（四）预算管理情况分析</w:t>
      </w:r>
    </w:p>
    <w:p w14:paraId="04065137">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1.财务管理</w:t>
      </w:r>
    </w:p>
    <w:p w14:paraId="348A9B9C">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（1）财务管理制度健全性</w:t>
      </w:r>
    </w:p>
    <w:p w14:paraId="407F53AB">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我单位制定了《永乐店镇“三重一大”议事规则实施细则》《永乐店镇财务管理制度》《永乐店镇工程类、服务类项目财务支出相关规定》《预算评审(清单控制价)、结算评审管理办法》、《永乐店镇合同管理办法》、《固定资产管理办法》、《永乐店镇印章管理使用制度》等，单位各项财务管理制度基本健全、完整、合规。</w:t>
      </w:r>
    </w:p>
    <w:p w14:paraId="74E213CC">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（2）资金使用合规性和安全性</w:t>
      </w:r>
    </w:p>
    <w:p w14:paraId="63A15EE1">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我单位明确了资金使用的审批流程及审批权限，明确了各部门在资金使用过程中的职责分工，根据</w:t>
      </w:r>
      <w:r>
        <w:rPr>
          <w:rFonts w:hint="eastAsia" w:ascii="仿宋_GB2312" w:eastAsia="仿宋_GB2312" w:cs="Times New Roman"/>
          <w:sz w:val="28"/>
          <w:szCs w:val="28"/>
          <w:lang w:val="en-US" w:eastAsia="zh-CN"/>
        </w:rPr>
        <w:t>我</w:t>
      </w:r>
      <w:r>
        <w:rPr>
          <w:rFonts w:hint="eastAsia" w:ascii="仿宋_GB2312" w:hAnsi="Times New Roman" w:eastAsia="仿宋_GB2312" w:cs="Times New Roman"/>
          <w:sz w:val="28"/>
          <w:szCs w:val="28"/>
          <w:lang w:val="en-US" w:eastAsia="zh-CN"/>
        </w:rPr>
        <w:t>单位“三重一大”和内控制度的有关规定，按照“分级负责、注重实效”的原则，资金审批权限具体为：10万元以下资金申请经科室负责人、分管业务领导、分管财务领导审核签字后即可办理结算；10万元（含）以上的资金申请经科室负责人、分管业务领导、分管财务领导、镇长审核签字后即可办理结算。</w:t>
      </w:r>
    </w:p>
    <w:p w14:paraId="6874AB66">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资金使用合理合规，执行中严格按照审批权限和流程，层层审批把关，确保资金使用过程的安全性。</w:t>
      </w:r>
    </w:p>
    <w:p w14:paraId="05DA21B4">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（3）会计基础信息完善性</w:t>
      </w:r>
    </w:p>
    <w:p w14:paraId="72C12176">
      <w:pPr>
        <w:spacing w:line="5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经查看我单位会计凭证资料及各项经费的使用情况，基础数据信息和会计信息资料真实、准确、完整、全面。</w:t>
      </w:r>
    </w:p>
    <w:p w14:paraId="36039D87">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2.资产管理</w:t>
      </w:r>
    </w:p>
    <w:p w14:paraId="0640B35B">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w:t>
      </w:r>
      <w:r>
        <w:rPr>
          <w:rFonts w:hint="eastAsia" w:ascii="仿宋_GB2312" w:hAnsi="仿宋_GB2312" w:eastAsia="仿宋_GB2312" w:cs="仿宋_GB2312"/>
          <w:sz w:val="28"/>
          <w:szCs w:val="28"/>
          <w:lang w:eastAsia="zh-CN"/>
        </w:rPr>
        <w:t>我</w:t>
      </w:r>
      <w:r>
        <w:rPr>
          <w:rFonts w:hint="eastAsia" w:ascii="仿宋_GB2312" w:hAnsi="仿宋_GB2312" w:eastAsia="仿宋_GB2312" w:cs="仿宋_GB2312"/>
          <w:sz w:val="28"/>
          <w:szCs w:val="28"/>
        </w:rPr>
        <w:t>单位固定资产净值</w:t>
      </w:r>
      <w:r>
        <w:rPr>
          <w:rFonts w:hint="eastAsia" w:ascii="仿宋_GB2312" w:hAnsi="仿宋_GB2312" w:eastAsia="仿宋_GB2312" w:cs="仿宋_GB2312"/>
          <w:sz w:val="28"/>
          <w:szCs w:val="28"/>
          <w:lang w:val="en-US" w:eastAsia="zh-CN"/>
        </w:rPr>
        <w:t>2319.96</w:t>
      </w:r>
      <w:r>
        <w:rPr>
          <w:rFonts w:hint="eastAsia" w:ascii="仿宋_GB2312" w:hAnsi="仿宋_GB2312" w:eastAsia="仿宋_GB2312" w:cs="仿宋_GB2312"/>
          <w:sz w:val="28"/>
          <w:szCs w:val="28"/>
        </w:rPr>
        <w:t>万元（不含无形资产），其中：土地房屋和建筑物</w:t>
      </w:r>
      <w:r>
        <w:rPr>
          <w:rFonts w:hint="eastAsia" w:ascii="仿宋_GB2312" w:hAnsi="仿宋_GB2312" w:eastAsia="仿宋_GB2312" w:cs="仿宋_GB2312"/>
          <w:sz w:val="28"/>
          <w:szCs w:val="28"/>
          <w:lang w:val="en-US" w:eastAsia="zh-CN"/>
        </w:rPr>
        <w:t>1044.85</w:t>
      </w:r>
      <w:r>
        <w:rPr>
          <w:rFonts w:hint="eastAsia" w:ascii="仿宋_GB2312" w:hAnsi="仿宋_GB2312" w:eastAsia="仿宋_GB2312" w:cs="仿宋_GB2312"/>
          <w:sz w:val="28"/>
          <w:szCs w:val="28"/>
        </w:rPr>
        <w:t>万元、家具</w:t>
      </w:r>
      <w:r>
        <w:rPr>
          <w:rFonts w:hint="eastAsia" w:ascii="仿宋_GB2312" w:hAnsi="仿宋_GB2312" w:eastAsia="仿宋_GB2312" w:cs="仿宋_GB2312"/>
          <w:sz w:val="28"/>
          <w:szCs w:val="28"/>
          <w:lang w:val="en-US" w:eastAsia="zh-CN"/>
        </w:rPr>
        <w:t>62.94</w:t>
      </w:r>
      <w:r>
        <w:rPr>
          <w:rFonts w:hint="eastAsia" w:ascii="仿宋_GB2312" w:hAnsi="仿宋_GB2312" w:eastAsia="仿宋_GB2312" w:cs="仿宋_GB2312"/>
          <w:sz w:val="28"/>
          <w:szCs w:val="28"/>
        </w:rPr>
        <w:t>万元、设备</w:t>
      </w:r>
      <w:r>
        <w:rPr>
          <w:rFonts w:hint="eastAsia" w:ascii="仿宋_GB2312" w:hAnsi="仿宋_GB2312" w:eastAsia="仿宋_GB2312" w:cs="仿宋_GB2312"/>
          <w:sz w:val="28"/>
          <w:szCs w:val="28"/>
          <w:lang w:val="en-US" w:eastAsia="zh-CN"/>
        </w:rPr>
        <w:t>962.03</w:t>
      </w:r>
      <w:r>
        <w:rPr>
          <w:rFonts w:hint="eastAsia" w:ascii="仿宋_GB2312" w:hAnsi="仿宋_GB2312" w:eastAsia="仿宋_GB2312" w:cs="仿宋_GB2312"/>
          <w:sz w:val="28"/>
          <w:szCs w:val="28"/>
        </w:rPr>
        <w:t>万元、图书档案</w:t>
      </w:r>
      <w:r>
        <w:rPr>
          <w:rFonts w:hint="eastAsia" w:ascii="仿宋_GB2312" w:hAnsi="仿宋_GB2312" w:eastAsia="仿宋_GB2312" w:cs="仿宋_GB2312"/>
          <w:sz w:val="28"/>
          <w:szCs w:val="28"/>
          <w:lang w:val="en-US" w:eastAsia="zh-CN"/>
        </w:rPr>
        <w:t>250.14</w:t>
      </w:r>
      <w:r>
        <w:rPr>
          <w:rFonts w:hint="eastAsia" w:ascii="仿宋_GB2312" w:hAnsi="仿宋_GB2312" w:eastAsia="仿宋_GB2312" w:cs="仿宋_GB2312"/>
          <w:sz w:val="28"/>
          <w:szCs w:val="28"/>
        </w:rPr>
        <w:t>万元。</w:t>
      </w:r>
    </w:p>
    <w:p w14:paraId="201BA1AE">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建立了《固定资产管理办法》按照上级相关规定进行使用管理固定资产，及时掌握固定资产情况，对新购入的固定资产，有着严格的事前采购审批流程和支出审批流程，按期对固定资产进行清查盘点，同时做好资产的日常维护工作。</w:t>
      </w:r>
    </w:p>
    <w:p w14:paraId="70C0A750">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综上所述，</w:t>
      </w:r>
      <w:r>
        <w:rPr>
          <w:rFonts w:hint="eastAsia" w:ascii="仿宋_GB2312" w:hAnsi="仿宋_GB2312" w:eastAsia="仿宋_GB2312" w:cs="仿宋_GB2312"/>
          <w:sz w:val="28"/>
          <w:szCs w:val="28"/>
          <w:lang w:eastAsia="zh-CN"/>
        </w:rPr>
        <w:t>我</w:t>
      </w:r>
      <w:r>
        <w:rPr>
          <w:rFonts w:hint="eastAsia" w:ascii="仿宋_GB2312" w:hAnsi="仿宋_GB2312" w:eastAsia="仿宋_GB2312" w:cs="仿宋_GB2312"/>
          <w:sz w:val="28"/>
          <w:szCs w:val="28"/>
        </w:rPr>
        <w:t>单位资产管理制度合法、合规、完整，资产的执行得到有效的管控，资产管理工作比较完善。</w:t>
      </w:r>
      <w:r>
        <w:rPr>
          <w:rFonts w:hint="eastAsia" w:ascii="仿宋_GB2312" w:hAnsi="仿宋_GB2312" w:eastAsia="仿宋_GB2312" w:cs="仿宋_GB2312"/>
          <w:sz w:val="28"/>
          <w:szCs w:val="28"/>
          <w:lang w:eastAsia="zh-CN"/>
        </w:rPr>
        <w:t>我</w:t>
      </w:r>
      <w:r>
        <w:rPr>
          <w:rFonts w:hint="eastAsia" w:ascii="仿宋_GB2312" w:hAnsi="仿宋_GB2312" w:eastAsia="仿宋_GB2312" w:cs="仿宋_GB2312"/>
          <w:sz w:val="28"/>
          <w:szCs w:val="28"/>
        </w:rPr>
        <w:t>单位无对外投资行为，不存在有因管理不当发生严重资产损失和丢失情况；不存在超标准配置资产的情况；资产使用规范，不存在未经批准擅自出租出借资产行为；不存在未按要求进行报批或资产不公开处置行为。</w:t>
      </w:r>
    </w:p>
    <w:p w14:paraId="2FE78D4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3.绩效管理</w:t>
      </w:r>
    </w:p>
    <w:p w14:paraId="2B945E8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2024年对年度预算执行情况及项目执行情况进行监控，及时对绩效信息进行汇总分析整理，未出现绩效目标偏离情况及时矫正，绩效管理情况基本较好。</w:t>
      </w:r>
    </w:p>
    <w:p w14:paraId="1186A1BD">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4.结转结余率</w:t>
      </w:r>
    </w:p>
    <w:p w14:paraId="79E5009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根据我单位2024年部门决算报表数据，2024年度我单位无结转结余资金，已全部支出完毕。</w:t>
      </w:r>
    </w:p>
    <w:p w14:paraId="7DE11358">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5.部门预决算差异率</w:t>
      </w:r>
    </w:p>
    <w:p w14:paraId="4F4E3370">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我单位2024年度预算批复项目为单位人员、公用经费，实际支出除人员、公用经费外还包含各类专项资金支出，故预决算差异率较大。</w:t>
      </w:r>
    </w:p>
    <w:p w14:paraId="78491FBF">
      <w:pPr>
        <w:spacing w:line="5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（五）总体评价结论</w:t>
      </w:r>
    </w:p>
    <w:p w14:paraId="390856A9">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p>
    <w:p w14:paraId="0977AF9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经部门自评，202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年部门整体绩效自评得分9</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分，绩效自评等级为“优”。其中当年预算执行情况权重20分，得分</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分，得分率</w:t>
      </w:r>
      <w:r>
        <w:rPr>
          <w:rFonts w:hint="eastAsia" w:ascii="仿宋_GB2312" w:hAnsi="仿宋_GB2312" w:eastAsia="仿宋_GB2312" w:cs="仿宋_GB2312"/>
          <w:sz w:val="28"/>
          <w:szCs w:val="28"/>
          <w:lang w:val="en-US" w:eastAsia="zh-CN"/>
        </w:rPr>
        <w:t>100.00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整体绩效目标实现情况，权重60分，得分5</w:t>
      </w:r>
      <w:r>
        <w:rPr>
          <w:rFonts w:hint="eastAsia" w:ascii="仿宋_GB2312" w:hAnsi="仿宋_GB2312" w:eastAsia="仿宋_GB2312" w:cs="仿宋_GB2312"/>
          <w:sz w:val="28"/>
          <w:szCs w:val="28"/>
          <w:lang w:val="en-US" w:eastAsia="zh-CN"/>
        </w:rPr>
        <w:t>2.00</w:t>
      </w:r>
      <w:r>
        <w:rPr>
          <w:rFonts w:hint="eastAsia" w:ascii="仿宋_GB2312" w:hAnsi="仿宋_GB2312" w:eastAsia="仿宋_GB2312" w:cs="仿宋_GB2312"/>
          <w:sz w:val="28"/>
          <w:szCs w:val="28"/>
        </w:rPr>
        <w:t>分，得分率8</w:t>
      </w:r>
      <w:r>
        <w:rPr>
          <w:rFonts w:hint="eastAsia" w:ascii="仿宋_GB2312" w:hAnsi="仿宋_GB2312" w:eastAsia="仿宋_GB2312" w:cs="仿宋_GB2312"/>
          <w:sz w:val="28"/>
          <w:szCs w:val="28"/>
          <w:lang w:val="en-US" w:eastAsia="zh-CN"/>
        </w:rPr>
        <w:t>6.66</w:t>
      </w:r>
      <w:r>
        <w:rPr>
          <w:rFonts w:hint="eastAsia" w:ascii="仿宋_GB2312" w:hAnsi="仿宋_GB2312" w:eastAsia="仿宋_GB2312" w:cs="仿宋_GB2312"/>
          <w:sz w:val="28"/>
          <w:szCs w:val="28"/>
        </w:rPr>
        <w:t>%，主要扣分原因为年初部门整体及各分项绩效指标满意度实际执行缺少支撑资料；预算管理情况，权重20分，得分19分，得分率95%，扣分主要原因为部门及各项目的满意度调查缺乏支撑性材料。具体评分结果见下表：</w:t>
      </w:r>
    </w:p>
    <w:p w14:paraId="53FA1A85">
      <w:pPr>
        <w:spacing w:line="580" w:lineRule="exact"/>
        <w:ind w:firstLine="560" w:firstLineChars="200"/>
        <w:rPr>
          <w:rFonts w:hint="eastAsia" w:ascii="仿宋_GB2312" w:hAnsi="仿宋_GB2312" w:eastAsia="仿宋_GB2312" w:cs="仿宋_GB2312"/>
          <w:sz w:val="28"/>
          <w:szCs w:val="28"/>
        </w:rPr>
      </w:pPr>
    </w:p>
    <w:p w14:paraId="70950E45">
      <w:pPr>
        <w:spacing w:line="580" w:lineRule="exact"/>
        <w:ind w:firstLine="560" w:firstLineChars="200"/>
        <w:rPr>
          <w:rFonts w:hint="eastAsia" w:ascii="仿宋_GB2312" w:hAnsi="仿宋_GB2312" w:eastAsia="仿宋_GB2312" w:cs="仿宋_GB2312"/>
          <w:sz w:val="28"/>
          <w:szCs w:val="28"/>
        </w:rPr>
      </w:pPr>
    </w:p>
    <w:p w14:paraId="02D730E5">
      <w:pPr>
        <w:spacing w:line="580" w:lineRule="exact"/>
        <w:ind w:firstLine="560" w:firstLineChars="200"/>
        <w:rPr>
          <w:rFonts w:hint="eastAsia" w:ascii="仿宋_GB2312" w:hAnsi="仿宋_GB2312" w:eastAsia="仿宋_GB2312" w:cs="仿宋_GB2312"/>
          <w:sz w:val="28"/>
          <w:szCs w:val="28"/>
        </w:rPr>
      </w:pPr>
    </w:p>
    <w:p w14:paraId="71066CA9">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部门整体支出绩效评分汇总表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65"/>
        <w:gridCol w:w="1696"/>
        <w:gridCol w:w="1696"/>
        <w:gridCol w:w="1626"/>
      </w:tblGrid>
      <w:tr w14:paraId="454A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34" w:type="dxa"/>
            <w:vAlign w:val="center"/>
          </w:tcPr>
          <w:p w14:paraId="77D8DCF0">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指标</w:t>
            </w:r>
          </w:p>
        </w:tc>
        <w:tc>
          <w:tcPr>
            <w:tcW w:w="1765" w:type="dxa"/>
            <w:vAlign w:val="center"/>
          </w:tcPr>
          <w:p w14:paraId="29FA120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当年预算</w:t>
            </w:r>
          </w:p>
          <w:p w14:paraId="15C8BC7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执行情况</w:t>
            </w:r>
          </w:p>
        </w:tc>
        <w:tc>
          <w:tcPr>
            <w:tcW w:w="1696" w:type="dxa"/>
            <w:vAlign w:val="center"/>
          </w:tcPr>
          <w:p w14:paraId="17B40CD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整体绩效目标实现情况</w:t>
            </w:r>
          </w:p>
        </w:tc>
        <w:tc>
          <w:tcPr>
            <w:tcW w:w="1696" w:type="dxa"/>
            <w:vAlign w:val="center"/>
          </w:tcPr>
          <w:p w14:paraId="48B2D5B0">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预算管理</w:t>
            </w:r>
          </w:p>
          <w:p w14:paraId="773240C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1626" w:type="dxa"/>
            <w:vAlign w:val="center"/>
          </w:tcPr>
          <w:p w14:paraId="4849CC26">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r>
      <w:tr w14:paraId="12CF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1723A088">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1765" w:type="dxa"/>
            <w:vAlign w:val="center"/>
          </w:tcPr>
          <w:p w14:paraId="4523215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696" w:type="dxa"/>
            <w:vAlign w:val="center"/>
          </w:tcPr>
          <w:p w14:paraId="39EA4D2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1696" w:type="dxa"/>
            <w:vAlign w:val="center"/>
          </w:tcPr>
          <w:p w14:paraId="53CF758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626" w:type="dxa"/>
            <w:vAlign w:val="center"/>
          </w:tcPr>
          <w:p w14:paraId="06AA5535">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6236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18146958">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得分</w:t>
            </w:r>
          </w:p>
        </w:tc>
        <w:tc>
          <w:tcPr>
            <w:tcW w:w="1765" w:type="dxa"/>
            <w:vAlign w:val="center"/>
          </w:tcPr>
          <w:p w14:paraId="51E7514D">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1696" w:type="dxa"/>
            <w:vAlign w:val="center"/>
          </w:tcPr>
          <w:p w14:paraId="61DCF797">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2</w:t>
            </w:r>
          </w:p>
        </w:tc>
        <w:tc>
          <w:tcPr>
            <w:tcW w:w="1696" w:type="dxa"/>
            <w:vAlign w:val="center"/>
          </w:tcPr>
          <w:p w14:paraId="24826B94">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626" w:type="dxa"/>
            <w:vAlign w:val="center"/>
          </w:tcPr>
          <w:p w14:paraId="35D39919">
            <w:pPr>
              <w:spacing w:line="5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1</w:t>
            </w:r>
          </w:p>
        </w:tc>
      </w:tr>
      <w:tr w14:paraId="0343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Align w:val="center"/>
          </w:tcPr>
          <w:p w14:paraId="13AEA500">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得分率</w:t>
            </w:r>
          </w:p>
        </w:tc>
        <w:tc>
          <w:tcPr>
            <w:tcW w:w="1765" w:type="dxa"/>
            <w:vAlign w:val="center"/>
          </w:tcPr>
          <w:p w14:paraId="2201568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100.00</w:t>
            </w:r>
            <w:r>
              <w:rPr>
                <w:rFonts w:hint="eastAsia" w:ascii="仿宋_GB2312" w:hAnsi="仿宋_GB2312" w:eastAsia="仿宋_GB2312" w:cs="仿宋_GB2312"/>
                <w:sz w:val="28"/>
                <w:szCs w:val="28"/>
              </w:rPr>
              <w:t>%</w:t>
            </w:r>
          </w:p>
        </w:tc>
        <w:tc>
          <w:tcPr>
            <w:tcW w:w="1696" w:type="dxa"/>
            <w:vAlign w:val="center"/>
          </w:tcPr>
          <w:p w14:paraId="119253C7">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86.66</w:t>
            </w:r>
            <w:r>
              <w:rPr>
                <w:rFonts w:hint="eastAsia" w:ascii="仿宋_GB2312" w:hAnsi="仿宋_GB2312" w:eastAsia="仿宋_GB2312" w:cs="仿宋_GB2312"/>
                <w:sz w:val="28"/>
                <w:szCs w:val="28"/>
              </w:rPr>
              <w:t>%</w:t>
            </w:r>
          </w:p>
        </w:tc>
        <w:tc>
          <w:tcPr>
            <w:tcW w:w="1696" w:type="dxa"/>
            <w:vAlign w:val="center"/>
          </w:tcPr>
          <w:p w14:paraId="1DD18613">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1626" w:type="dxa"/>
            <w:vAlign w:val="center"/>
          </w:tcPr>
          <w:p w14:paraId="2DB09D0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p>
        </w:tc>
      </w:tr>
    </w:tbl>
    <w:p w14:paraId="35FAE1B9">
      <w:pPr>
        <w:spacing w:line="580" w:lineRule="exact"/>
        <w:ind w:firstLine="560" w:firstLineChars="200"/>
        <w:rPr>
          <w:rFonts w:hint="eastAsia" w:ascii="仿宋_GB2312" w:hAnsi="仿宋_GB2312" w:eastAsia="仿宋_GB2312" w:cs="仿宋_GB2312"/>
          <w:sz w:val="28"/>
          <w:szCs w:val="28"/>
        </w:rPr>
      </w:pPr>
    </w:p>
    <w:p w14:paraId="02F6AD0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14:paraId="28201A97">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1.部门整体绩效指标细化量化</w:t>
      </w:r>
      <w:r>
        <w:rPr>
          <w:rFonts w:hint="eastAsia" w:ascii="仿宋_GB2312" w:hAnsi="仿宋_GB2312" w:eastAsia="仿宋_GB2312" w:cs="仿宋_GB2312"/>
          <w:sz w:val="28"/>
          <w:szCs w:val="28"/>
          <w:lang w:val="en-US" w:eastAsia="zh-CN"/>
        </w:rPr>
        <w:t>不清晰</w:t>
      </w:r>
    </w:p>
    <w:p w14:paraId="789D7B83">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2024年我单位部门整体绩效指标细化</w:t>
      </w:r>
      <w:r>
        <w:rPr>
          <w:rFonts w:hint="eastAsia" w:ascii="仿宋_GB2312" w:hAnsi="仿宋_GB2312" w:eastAsia="仿宋_GB2312" w:cs="仿宋_GB2312"/>
          <w:sz w:val="28"/>
          <w:szCs w:val="28"/>
          <w:lang w:val="en-US" w:eastAsia="zh-CN"/>
        </w:rPr>
        <w:t>不清晰</w:t>
      </w:r>
      <w:r>
        <w:rPr>
          <w:rFonts w:hint="eastAsia" w:ascii="仿宋_GB2312" w:hAnsi="仿宋_GB2312" w:eastAsia="仿宋_GB2312" w:cs="仿宋_GB2312"/>
          <w:sz w:val="28"/>
          <w:szCs w:val="28"/>
        </w:rPr>
        <w:t>，根据2024年部门整体履职情况设定切实可行的产出指标、效益指标，部门整体的各项工作细化分析，对各项指标进行细化考核</w:t>
      </w:r>
      <w:r>
        <w:rPr>
          <w:rFonts w:hint="eastAsia" w:ascii="仿宋_GB2312" w:hAnsi="仿宋_GB2312" w:eastAsia="仿宋_GB2312" w:cs="仿宋_GB2312"/>
          <w:sz w:val="28"/>
          <w:szCs w:val="28"/>
          <w:lang w:val="en-US" w:eastAsia="zh-CN"/>
        </w:rPr>
        <w:t>不清晰</w:t>
      </w:r>
      <w:r>
        <w:rPr>
          <w:rFonts w:hint="eastAsia" w:ascii="仿宋_GB2312" w:hAnsi="仿宋_GB2312" w:eastAsia="仿宋_GB2312" w:cs="仿宋_GB2312"/>
          <w:sz w:val="28"/>
          <w:szCs w:val="28"/>
        </w:rPr>
        <w:t>。</w:t>
      </w:r>
    </w:p>
    <w:p w14:paraId="7F11510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2.部门履职满意度调查工作有待进一步加强</w:t>
      </w:r>
    </w:p>
    <w:p w14:paraId="0CBA89BC">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部分项目开展满意度调查缺乏支撑材料，如：调查问卷、电话回访记录、新闻媒体报道等。受益对象满意度调查工作的工作还需进一步提高。</w:t>
      </w:r>
    </w:p>
    <w:p w14:paraId="1C9DEC1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（六）措施建议（整改措施、下一步工作举措）</w:t>
      </w:r>
    </w:p>
    <w:p w14:paraId="0EB4BE5E">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加强项目预算绩效一体化管理，明确绩效目标、管理对象和内容，对绩效目标尽量进行定量表述，不能以量化形式表述的，采用定性分级分档形式表述，但应具有可衡量性，使绩效工作贯穿于预算编制、预算执行、预算监督、绩效评价、评价结果反馈、反馈结果应用的全过程。</w:t>
      </w:r>
    </w:p>
    <w:p w14:paraId="5F148DE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2.加强部门满意度调查的管理工作，明确满意度调查的范围、方式，将满意度调查的各项工作落到实处，并留存好工作的过程性支撑资料。</w:t>
      </w:r>
    </w:p>
    <w:p w14:paraId="68A96055">
      <w:pPr>
        <w:numPr>
          <w:ilvl w:val="0"/>
          <w:numId w:val="3"/>
        </w:numPr>
        <w:spacing w:line="580" w:lineRule="exact"/>
        <w:ind w:firstLine="560" w:firstLineChars="200"/>
        <w:rPr>
          <w:rFonts w:hint="eastAsia" w:ascii="黑体" w:eastAsia="黑体"/>
          <w:sz w:val="28"/>
          <w:szCs w:val="28"/>
        </w:rPr>
      </w:pPr>
      <w:r>
        <w:rPr>
          <w:rFonts w:hint="eastAsia" w:ascii="黑体" w:eastAsia="黑体"/>
          <w:sz w:val="28"/>
          <w:szCs w:val="28"/>
        </w:rPr>
        <w:t>重点项目支出绩效评价报告</w:t>
      </w:r>
    </w:p>
    <w:p w14:paraId="4FAD6F44">
      <w:pPr>
        <w:numPr>
          <w:ilvl w:val="0"/>
          <w:numId w:val="0"/>
        </w:numPr>
        <w:spacing w:line="580" w:lineRule="exact"/>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（一）基本情况</w:t>
      </w:r>
    </w:p>
    <w:p w14:paraId="4C2607E2">
      <w:pPr>
        <w:autoSpaceDE w:val="0"/>
        <w:autoSpaceDN w:val="0"/>
        <w:adjustRightInd w:val="0"/>
        <w:ind w:firstLine="560" w:firstLineChars="200"/>
        <w:outlineLvl w:val="2"/>
        <w:rPr>
          <w:rFonts w:ascii="仿宋_GB2312" w:eastAsia="仿宋_GB2312"/>
          <w:sz w:val="32"/>
          <w:szCs w:val="32"/>
        </w:rPr>
      </w:pPr>
      <w:r>
        <w:rPr>
          <w:rFonts w:hint="eastAsia" w:ascii="仿宋_GB2312" w:hAnsi="仿宋_GB2312" w:eastAsia="仿宋_GB2312" w:cs="仿宋_GB2312"/>
          <w:sz w:val="28"/>
          <w:szCs w:val="28"/>
        </w:rPr>
        <w:t>1.项目概况。</w:t>
      </w:r>
    </w:p>
    <w:p w14:paraId="60F46B5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项目的实施主体是永乐店镇人民政府；项目的实施内容是永乐店镇已建设的综合文化中心社会化运营项目。</w:t>
      </w:r>
    </w:p>
    <w:p w14:paraId="4E91E8C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永乐店镇综合文化中心（以下简称“综合文化中心”）位于永乐镇人民政府北500米，于 2012年11月19日开工建设，用地总规模9760平方米，总建筑面积5058平方米，总投资2283万元，于2016年12月建成。中心内设多功能演出厅、舞蹈室、宣教会议室、羽毛球馆、多功能健身娱乐室、台球室、电教培训室、图书阅览室、电子阅览室、多功能培训室、排练厅等设施，是集培训、阅览、健身、娱乐等功能于一体的文体活动中心，服务人口达4.5万人。</w:t>
      </w:r>
    </w:p>
    <w:p w14:paraId="3F895C20">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（1）多功能演出厅</w:t>
      </w:r>
    </w:p>
    <w:p w14:paraId="3D96D6B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举办报告会、文艺演出、召开大型会议等综合利用的活动场所，能容纳500人，使用面积736平米，目前室内灯光音响设备已全部安装到位。</w:t>
      </w:r>
    </w:p>
    <w:p w14:paraId="79F8D8E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（2）舞蹈室</w:t>
      </w:r>
    </w:p>
    <w:p w14:paraId="2C733A2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舞蹈室面积约120平方米，舞蹈教室配备了把杆4付，液晶电视一台，可同时容纳40多名群众进行舞蹈教学和排练。</w:t>
      </w:r>
    </w:p>
    <w:p w14:paraId="34C3901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（3）宣教会议室</w:t>
      </w:r>
    </w:p>
    <w:p w14:paraId="3679881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使用面积160平米，通过大屏幕介绍永乐店镇人民政府的党建工作。</w:t>
      </w:r>
    </w:p>
    <w:p w14:paraId="2B9AA17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（4）羽毛球馆</w:t>
      </w:r>
    </w:p>
    <w:p w14:paraId="01CD1F88">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使用面积470平米，这里建有3块标准化羽毛球场地和3张乒乓球台，可承担镇级羽毛球及乒乓球赛事活动。</w:t>
      </w:r>
    </w:p>
    <w:p w14:paraId="5CD4974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（5）多功能健身娱乐室</w:t>
      </w:r>
    </w:p>
    <w:p w14:paraId="5BBC85A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289平米，这里有商用电动跑步机、健骑机、手脚复合健身车、腿部伸展训练器、拉伸训练器等共27套组；另外，2017年设置了体质监测站，可对全镇不同人群在心率、握力、肺活量等十几项进行体质检测，截至目前已经对全镇各村、企事业单位等近千人进行了体质监测，这里将成为人们业余时间健身娱乐的好去处。</w:t>
      </w:r>
    </w:p>
    <w:p w14:paraId="2BB2488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（6）台球室</w:t>
      </w:r>
    </w:p>
    <w:p w14:paraId="644AD40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使用面积200平米，这里设有1张英式斯诺克台球桌、3张美式台球桌和2张花式台球桌。</w:t>
      </w:r>
    </w:p>
    <w:p w14:paraId="0D77264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（7）电教培训室</w:t>
      </w:r>
    </w:p>
    <w:p w14:paraId="0C69C32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使用面积100平米，将用于各种文艺、戏曲等方面的培训用房。</w:t>
      </w:r>
    </w:p>
    <w:p w14:paraId="5BF6772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（8）图书阅览室</w:t>
      </w:r>
    </w:p>
    <w:p w14:paraId="7F1A1B35">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380平米，这里不但可以进行各种图书阅览，还可以进行资源远程共享，信息存储电子书刊阅读、音乐歌曲欣赏、影视节目欣赏、Internet上网检索与浏览、邮件收发和网络即时通信电子化信息的仓储等，2024年图书阅览室正式投入使用后，与通州区图书馆进行通借通还，实现了资源共享。</w:t>
      </w:r>
    </w:p>
    <w:p w14:paraId="5F91CFE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（9）电子阅览室</w:t>
      </w:r>
    </w:p>
    <w:p w14:paraId="4290415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使用面积100平方米，利用电脑设备可以畅享网络互联网资源，拓展资源渠道，提供更加便捷的电子阅览服务。</w:t>
      </w:r>
    </w:p>
    <w:p w14:paraId="493859E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（10）多功能培训室</w:t>
      </w:r>
    </w:p>
    <w:p w14:paraId="6F8D3AD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使用面积100平方米，在这里可开展书法、绘画的培训与展示，定期邀请书画名家对永乐店镇人民政府书画爱好者进行现场指导与交流。</w:t>
      </w:r>
    </w:p>
    <w:p w14:paraId="45C5CED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（11）排练厅</w:t>
      </w:r>
    </w:p>
    <w:p w14:paraId="32FF153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使用面积120平米，可在此进行演出团队排练、民乐队演奏等基本活动。</w:t>
      </w:r>
    </w:p>
    <w:p w14:paraId="6D534AAF">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该项目起始时间为2024年1月1日至2024年12月31日，为新增项目。</w:t>
      </w:r>
    </w:p>
    <w:p w14:paraId="782B497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项目绩效目标。</w:t>
      </w:r>
    </w:p>
    <w:p w14:paraId="390014D8">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二十大报告提出：“健全现代公共文化服务体系，创新实施文化惠民工程”“统筹乡村基础设施和公共服务布局，建设宜居宜业和美乡村”。乡镇公共文化服务是文化治理的重要一环，是文化强国建设的重要组成部分，也是保障人民群众基本文化权益、满足群众基本文化需求的重要途径。为深入贯彻落实党的二十大精神，巩固提升通州区公共文化服务体系创建成果，进一步完善和提升公共文化服务体系建设，持续推动公共文化服务标准化、均等化，不断提升公共文化服务水平，切实保障人民群众基本文化权益，提升文化获得感、幸福感。</w:t>
      </w:r>
    </w:p>
    <w:p w14:paraId="62552C15">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该项目与国家、北京市、相关行业宏观政策相关。</w:t>
      </w:r>
    </w:p>
    <w:p w14:paraId="4001665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14:paraId="48D16D7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14:paraId="2F846B18">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永乐店镇人民政府综合文化中心社会化运营项目成本。</w:t>
      </w:r>
    </w:p>
    <w:p w14:paraId="1132F9E8">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14:paraId="312BDB0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由于该项目于2024年度初始，本次分析以2024年实际（预计）支出数据、2024年预算数据为参考。</w:t>
      </w:r>
    </w:p>
    <w:p w14:paraId="239D44C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该项目成本包括向运营提供方采购支出，由其承接永乐店镇政府综合文化中心的运营工作，并配备不低于合同约定的服务人员在岗服务保障，未包括政府工作人员工资支出。</w:t>
      </w:r>
    </w:p>
    <w:p w14:paraId="00BD5FC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通过对运营提供方提供的财务数据进行研究分析，该项目包括运营费用、活动策划和组织费用、宣传费用三部分。</w:t>
      </w:r>
    </w:p>
    <w:p w14:paraId="691C922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绩效评价工作过程。</w:t>
      </w:r>
    </w:p>
    <w:p w14:paraId="1621C050">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结合项目运营模式、服务内容等，对运营提供方账载成本进行分析，成本主要由运营费用支出、活动策划和组织费用支出、宣传费用支出构成，分类分析如下：</w:t>
      </w:r>
    </w:p>
    <w:p w14:paraId="6AEDB2E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（1）运营费用支出</w:t>
      </w:r>
    </w:p>
    <w:p w14:paraId="5320FEF2">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运营费用支出包括人员支出、日常运营支出、维修改造支出、其他支出等。</w:t>
      </w:r>
    </w:p>
    <w:p w14:paraId="0120F5A5">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1）人员支出</w:t>
      </w:r>
    </w:p>
    <w:p w14:paraId="1296282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人员支出主要包括运营提供方运营人员的工资、节日福利费、节假日三倍工资等支出，不含综合文化中心政府工作人员工资支出。</w:t>
      </w:r>
    </w:p>
    <w:p w14:paraId="5B11EBA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综合文化中心各活动室有工作人员流动值守，每个楼层安排1人巡回服务活动室，共3人。成人、儿童图书馆各安排1人负责办理借阅手续，共2人。服务台安排咨询预约和引导2人，办公室处理内勤工作2人，活动策划设计及宣传2人。综合文化中心计划配备7名工作人员，运营提供方计划派驻4名工作人员，共计11人，负责场馆的日常管理、安全巡视、文化活动策划等。</w:t>
      </w:r>
    </w:p>
    <w:p w14:paraId="789DC36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综合文化中心政府7名工作人员中，有1人岗位发生调整，且在2024年2月至3月期间，又有3人相继退休，截至2024年7月，政府实际工作人员数量为3人。运营提供方实际派驻各类人员10人（其中，7-8月延时开放至21:00增加1人），其中，一层前台服务人员3人（方便倒休），三层成人图书馆服务人员1人，三层儿童图书馆服务人员1人，宣传经理2人，项目负责人1人，后勤保障1人（司机），暑期（7-8月）延时开放至21:00服务人员1人。</w:t>
      </w:r>
    </w:p>
    <w:p w14:paraId="46FA122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2）日常运营支出</w:t>
      </w:r>
    </w:p>
    <w:p w14:paraId="48FDC8A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日常运营支出一般包含房租物业、通讯费支出、水电气暖费、购置办公用品、消防安全用品、其他运营所需耗材等。</w:t>
      </w:r>
    </w:p>
    <w:p w14:paraId="04DCD1D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3）维修改造支出</w:t>
      </w:r>
    </w:p>
    <w:p w14:paraId="5474421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维修改造支出一般包含硬件升级改造、修缮、维护等，如房屋修缮维护、办公设备维修、固定服务设施维修、养护支出、其他支出等。</w:t>
      </w:r>
    </w:p>
    <w:p w14:paraId="1C6AF35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（2）活动策划和组织费用</w:t>
      </w:r>
      <w:r>
        <w:rPr>
          <w:rFonts w:hint="eastAsia" w:ascii="仿宋_GB2312" w:hAnsi="仿宋_GB2312" w:eastAsia="仿宋_GB2312" w:cs="仿宋_GB2312"/>
          <w:sz w:val="28"/>
          <w:szCs w:val="28"/>
        </w:rPr>
        <w:tab/>
      </w:r>
    </w:p>
    <w:p w14:paraId="1651169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活动策划和组织费用1-7月举办活动100次，共计支出185,143.37元，8-12月预计组织各类活动 81次，预计活动策划和组织费用支出257,500.00元，活动策划和组织费用共计支出442,643.37元，占项目总支出的44.90%。</w:t>
      </w:r>
    </w:p>
    <w:p w14:paraId="2B5E10F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年组织各类活动181次，完成计划数量指标组织活动不少于98场的184.7%。截至2024年7月已举办文化活动达131场，其中，1-7月已组织文艺培训活动108次，完成计划组织文艺培训活动60次的238.30%，超额完成计划的原因：根据北京市公共文化服务效能考核相关指标中周周有活动的要求以及群众的需求。</w:t>
      </w:r>
    </w:p>
    <w:p w14:paraId="69C7C374">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宣传费用支出</w:t>
      </w:r>
    </w:p>
    <w:p w14:paraId="3C0683CF">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经费支出包含活动及宣传设计费，如活动背景板、现场易拉宝、宣传品、证书、奖品等设计制作以及在通州区级和北京市级媒体对永乐店镇公共文化服务和文化品牌进行全年不少于4次宣传的支出，1-7月宣传费用共计支出55,850.00元。</w:t>
      </w:r>
    </w:p>
    <w:p w14:paraId="6108C26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w:t>
      </w:r>
    </w:p>
    <w:p w14:paraId="0707E1F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1.成本变化趋势分析</w:t>
      </w:r>
    </w:p>
    <w:p w14:paraId="1B2E3D80">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以全成本为口径，采用权责发生制原则，由于该项目于2024年度初始，为保证满足分析需要，2024年成本数据取2023年12月15日签订的合同金额并参考本年预算。</w:t>
      </w:r>
    </w:p>
    <w:p w14:paraId="0405313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（2）横向比较分析</w:t>
      </w:r>
    </w:p>
    <w:p w14:paraId="6AF1A1C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根据文化站提供的投标评审文件进行横向比较分析，横向比较分析数据为运营提供方（中标单位）及其他投标单位分项报价金额。详见下表： </w:t>
      </w:r>
    </w:p>
    <w:p w14:paraId="56BA28F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图表比较分析：</w:t>
      </w:r>
    </w:p>
    <w:p w14:paraId="29500D80">
      <w:pPr>
        <w:autoSpaceDE w:val="0"/>
        <w:autoSpaceDN w:val="0"/>
        <w:adjustRightInd w:val="0"/>
        <w:ind w:firstLine="560" w:firstLineChars="200"/>
        <w:outlineLvl w:val="2"/>
        <w:rPr>
          <w:rFonts w:hint="eastAsia" w:ascii="仿宋_GB2312" w:hAnsi="仿宋_GB2312" w:eastAsia="仿宋_GB2312" w:cs="仿宋_GB2312"/>
          <w:sz w:val="28"/>
          <w:szCs w:val="28"/>
        </w:rPr>
      </w:pPr>
    </w:p>
    <w:p w14:paraId="6E6BE229">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4809490" cy="2609215"/>
            <wp:effectExtent l="0" t="0" r="10160" b="635"/>
            <wp:docPr id="1649204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0400" name="图片 1"/>
                    <pic:cNvPicPr>
                      <a:picLocks noChangeAspect="1"/>
                    </pic:cNvPicPr>
                  </pic:nvPicPr>
                  <pic:blipFill>
                    <a:blip r:embed="rId6"/>
                    <a:stretch>
                      <a:fillRect/>
                    </a:stretch>
                  </pic:blipFill>
                  <pic:spPr>
                    <a:xfrm>
                      <a:off x="0" y="0"/>
                      <a:ext cx="4809524" cy="2609524"/>
                    </a:xfrm>
                    <a:prstGeom prst="rect">
                      <a:avLst/>
                    </a:prstGeom>
                  </pic:spPr>
                </pic:pic>
              </a:graphicData>
            </a:graphic>
          </wp:inline>
        </w:drawing>
      </w:r>
    </w:p>
    <w:p w14:paraId="0990FD0F">
      <w:pPr>
        <w:autoSpaceDE w:val="0"/>
        <w:autoSpaceDN w:val="0"/>
        <w:adjustRightInd w:val="0"/>
        <w:ind w:firstLine="560" w:firstLineChars="200"/>
        <w:outlineLvl w:val="2"/>
        <w:rPr>
          <w:rFonts w:hint="eastAsia" w:ascii="仿宋_GB2312" w:hAnsi="仿宋_GB2312" w:eastAsia="仿宋_GB2312" w:cs="仿宋_GB2312"/>
          <w:sz w:val="28"/>
          <w:szCs w:val="28"/>
        </w:rPr>
      </w:pPr>
    </w:p>
    <w:p w14:paraId="0260233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综上分析，该项目运营费用、活动策划和组织费用、宣传费用均处于市场平均价格，项目总成本低于市场平均价格。</w:t>
      </w:r>
    </w:p>
    <w:p w14:paraId="33CC68B8">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14:paraId="4F9C524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w:t>
      </w:r>
    </w:p>
    <w:p w14:paraId="1662BE59">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项目依据本单位“三重一大”等相关制度执行。</w:t>
      </w:r>
    </w:p>
    <w:p w14:paraId="33815B9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w:t>
      </w:r>
    </w:p>
    <w:p w14:paraId="29CE180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1.定额标准分析</w:t>
      </w:r>
    </w:p>
    <w:p w14:paraId="017322F0">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通过对该项目2024年的财务、业务数据的综合分析，得出完成该项目所有作业活动所需的必要成本项目共3项，即运营人员费用、活动策划和组织费用和宣传费用。</w:t>
      </w:r>
    </w:p>
    <w:p w14:paraId="4359EC3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该项目2024年购买运营服务满足预期目标要求，本次分析主要采用工时分摊、平均工资等方法。</w:t>
      </w:r>
    </w:p>
    <w:p w14:paraId="04C47890">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w:t>
      </w:r>
    </w:p>
    <w:p w14:paraId="7EC0E56F">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（1）数量指标</w:t>
      </w:r>
    </w:p>
    <w:p w14:paraId="60AE0237">
      <w:pPr>
        <w:autoSpaceDE w:val="0"/>
        <w:autoSpaceDN w:val="0"/>
        <w:adjustRightInd w:val="0"/>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开展活动总场次（场次），全年各类文体活动不低于98场；其中，文艺培训活动60场；线上文化活动12场；非遗“ 六 进 ”活动4场；在职人员培训10场，每场不低于30人；文化志愿服务活动及文化服务宣传2场；各类群众文体活动10场，每场不低于50人。</w:t>
      </w:r>
    </w:p>
    <w:p w14:paraId="25CF0190">
      <w:pPr>
        <w:autoSpaceDE w:val="0"/>
        <w:autoSpaceDN w:val="0"/>
        <w:adjustRightInd w:val="0"/>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宣传总次数（次），在通州区级和北京市级媒体对永乐店镇公共文化服务和文化品牌进行宣传4次。</w:t>
      </w:r>
    </w:p>
    <w:p w14:paraId="2CCFD882">
      <w:pPr>
        <w:autoSpaceDE w:val="0"/>
        <w:autoSpaceDN w:val="0"/>
        <w:adjustRightInd w:val="0"/>
        <w:ind w:firstLine="560" w:firstLineChars="200"/>
        <w:outlineLvl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2024年1-7月到馆群众26,417（人次），日均到馆人次达126以上。</w:t>
      </w:r>
    </w:p>
    <w:p w14:paraId="68BE47C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（2）质量指标</w:t>
      </w:r>
    </w:p>
    <w:p w14:paraId="61FCD289">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文体活动完成率100%。活动形式多样，内容丰富，覆盖人群广泛。</w:t>
      </w:r>
    </w:p>
    <w:p w14:paraId="565D94C2">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根据北京市公共文化服务效能考核相关指标中周周有活动的要求，以及群众需求，增加文艺培训活动83次，全年组织文化活动达181次，文体活动完成率184.70%。</w:t>
      </w:r>
    </w:p>
    <w:p w14:paraId="569ED43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（3）时效指标</w:t>
      </w:r>
    </w:p>
    <w:p w14:paraId="16DD9C5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运营开放正常进度，活动举办按时完成。</w:t>
      </w:r>
    </w:p>
    <w:p w14:paraId="27D35622">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（4）效益指标</w:t>
      </w:r>
    </w:p>
    <w:p w14:paraId="6856CBE5">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经济效益指标：实行服务过程监督检查；</w:t>
      </w:r>
    </w:p>
    <w:p w14:paraId="6AC83812">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社会效益指标：丰富了全镇群众的文化生活，提升了公共文化服务效能；</w:t>
      </w:r>
    </w:p>
    <w:p w14:paraId="745DD3A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健身房、乒乓球室、羽毛球场地、台球场地、图书馆正常开放，每日都有群众前来活动，有效提升了综合文化中心的人气和场地使用率。</w:t>
      </w:r>
    </w:p>
    <w:p w14:paraId="2E6A11C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生态效益指标：无</w:t>
      </w:r>
    </w:p>
    <w:p w14:paraId="3F1499B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可持续影响指标：项目可复制性，实现全面免费开放目标，有利于提升群众的文化修养和文化鉴赏水平。</w:t>
      </w:r>
    </w:p>
    <w:p w14:paraId="0064603F">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（5）满意度指标</w:t>
      </w:r>
    </w:p>
    <w:p w14:paraId="26977939">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服务群众满意度指标是≥95%，根据问卷调查显示，群众对综合文化中心社会化运营项目的满意度98%，这充分彰显了项目的积极成果和广泛的社会认可。</w:t>
      </w:r>
    </w:p>
    <w:p w14:paraId="69585E4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3.成本、产出和效益效果指标完成情况（见附件1-1）</w:t>
      </w:r>
    </w:p>
    <w:p w14:paraId="003CD294">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w:t>
      </w:r>
    </w:p>
    <w:tbl>
      <w:tblPr>
        <w:tblStyle w:val="11"/>
        <w:tblW w:w="8526" w:type="dxa"/>
        <w:tblInd w:w="0" w:type="dxa"/>
        <w:tblLayout w:type="fixed"/>
        <w:tblCellMar>
          <w:top w:w="0" w:type="dxa"/>
          <w:left w:w="108" w:type="dxa"/>
          <w:bottom w:w="0" w:type="dxa"/>
          <w:right w:w="108" w:type="dxa"/>
        </w:tblCellMar>
      </w:tblPr>
      <w:tblGrid>
        <w:gridCol w:w="6306"/>
        <w:gridCol w:w="2220"/>
      </w:tblGrid>
      <w:tr w14:paraId="48B17CA3">
        <w:tblPrEx>
          <w:tblCellMar>
            <w:top w:w="0" w:type="dxa"/>
            <w:left w:w="108" w:type="dxa"/>
            <w:bottom w:w="0" w:type="dxa"/>
            <w:right w:w="108" w:type="dxa"/>
          </w:tblCellMar>
        </w:tblPrEx>
        <w:trPr>
          <w:trHeight w:val="454" w:hRule="exact"/>
          <w:tblHeader/>
        </w:trPr>
        <w:tc>
          <w:tcPr>
            <w:tcW w:w="6306" w:type="dxa"/>
            <w:tcBorders>
              <w:top w:val="single" w:color="auto" w:sz="4" w:space="0"/>
              <w:left w:val="single" w:color="auto" w:sz="4" w:space="0"/>
              <w:bottom w:val="single" w:color="auto" w:sz="4" w:space="0"/>
              <w:right w:val="single" w:color="auto" w:sz="4" w:space="0"/>
            </w:tcBorders>
            <w:noWrap/>
            <w:vAlign w:val="bottom"/>
          </w:tcPr>
          <w:p w14:paraId="11E226A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220" w:type="dxa"/>
            <w:tcBorders>
              <w:top w:val="single" w:color="auto" w:sz="4" w:space="0"/>
              <w:left w:val="nil"/>
              <w:bottom w:val="single" w:color="auto" w:sz="4" w:space="0"/>
              <w:right w:val="single" w:color="auto" w:sz="4" w:space="0"/>
            </w:tcBorders>
            <w:noWrap/>
            <w:vAlign w:val="bottom"/>
          </w:tcPr>
          <w:p w14:paraId="346E7369">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2024年度</w:t>
            </w:r>
          </w:p>
        </w:tc>
      </w:tr>
      <w:tr w14:paraId="6D50BADB">
        <w:tblPrEx>
          <w:tblCellMar>
            <w:top w:w="0" w:type="dxa"/>
            <w:left w:w="108" w:type="dxa"/>
            <w:bottom w:w="0" w:type="dxa"/>
            <w:right w:w="108" w:type="dxa"/>
          </w:tblCellMar>
        </w:tblPrEx>
        <w:trPr>
          <w:trHeight w:val="454" w:hRule="exact"/>
        </w:trPr>
        <w:tc>
          <w:tcPr>
            <w:tcW w:w="6306" w:type="dxa"/>
            <w:tcBorders>
              <w:top w:val="nil"/>
              <w:left w:val="single" w:color="auto" w:sz="4" w:space="0"/>
              <w:bottom w:val="single" w:color="auto" w:sz="4" w:space="0"/>
              <w:right w:val="single" w:color="auto" w:sz="4" w:space="0"/>
            </w:tcBorders>
            <w:noWrap/>
            <w:vAlign w:val="bottom"/>
          </w:tcPr>
          <w:p w14:paraId="492EEFF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运营人员（人）</w:t>
            </w:r>
          </w:p>
        </w:tc>
        <w:tc>
          <w:tcPr>
            <w:tcW w:w="2220" w:type="dxa"/>
            <w:tcBorders>
              <w:top w:val="nil"/>
              <w:left w:val="nil"/>
              <w:bottom w:val="single" w:color="auto" w:sz="4" w:space="0"/>
              <w:right w:val="single" w:color="auto" w:sz="4" w:space="0"/>
            </w:tcBorders>
            <w:noWrap/>
            <w:vAlign w:val="bottom"/>
          </w:tcPr>
          <w:p w14:paraId="4D23505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1396A218">
        <w:tblPrEx>
          <w:tblCellMar>
            <w:top w:w="0" w:type="dxa"/>
            <w:left w:w="108" w:type="dxa"/>
            <w:bottom w:w="0" w:type="dxa"/>
            <w:right w:w="108" w:type="dxa"/>
          </w:tblCellMar>
        </w:tblPrEx>
        <w:trPr>
          <w:trHeight w:val="454" w:hRule="exact"/>
        </w:trPr>
        <w:tc>
          <w:tcPr>
            <w:tcW w:w="6306" w:type="dxa"/>
            <w:tcBorders>
              <w:top w:val="nil"/>
              <w:left w:val="single" w:color="auto" w:sz="4" w:space="0"/>
              <w:bottom w:val="single" w:color="auto" w:sz="4" w:space="0"/>
              <w:right w:val="single" w:color="auto" w:sz="4" w:space="0"/>
            </w:tcBorders>
            <w:noWrap/>
            <w:vAlign w:val="bottom"/>
          </w:tcPr>
          <w:p w14:paraId="7072763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活动策划和组织费用（场）</w:t>
            </w:r>
          </w:p>
        </w:tc>
        <w:tc>
          <w:tcPr>
            <w:tcW w:w="2220" w:type="dxa"/>
            <w:tcBorders>
              <w:top w:val="nil"/>
              <w:left w:val="nil"/>
              <w:bottom w:val="single" w:color="auto" w:sz="4" w:space="0"/>
              <w:right w:val="single" w:color="auto" w:sz="4" w:space="0"/>
            </w:tcBorders>
            <w:noWrap/>
            <w:vAlign w:val="bottom"/>
          </w:tcPr>
          <w:p w14:paraId="1C545535">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181</w:t>
            </w:r>
          </w:p>
        </w:tc>
      </w:tr>
      <w:tr w14:paraId="7F810ACC">
        <w:tblPrEx>
          <w:tblCellMar>
            <w:top w:w="0" w:type="dxa"/>
            <w:left w:w="108" w:type="dxa"/>
            <w:bottom w:w="0" w:type="dxa"/>
            <w:right w:w="108" w:type="dxa"/>
          </w:tblCellMar>
        </w:tblPrEx>
        <w:trPr>
          <w:trHeight w:val="454" w:hRule="exact"/>
        </w:trPr>
        <w:tc>
          <w:tcPr>
            <w:tcW w:w="6306" w:type="dxa"/>
            <w:tcBorders>
              <w:top w:val="nil"/>
              <w:left w:val="single" w:color="auto" w:sz="4" w:space="0"/>
              <w:bottom w:val="single" w:color="auto" w:sz="4" w:space="0"/>
              <w:right w:val="single" w:color="auto" w:sz="4" w:space="0"/>
            </w:tcBorders>
            <w:noWrap/>
            <w:vAlign w:val="bottom"/>
          </w:tcPr>
          <w:p w14:paraId="64C6C7B5">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宣传费用（次）</w:t>
            </w:r>
          </w:p>
        </w:tc>
        <w:tc>
          <w:tcPr>
            <w:tcW w:w="2220" w:type="dxa"/>
            <w:tcBorders>
              <w:top w:val="nil"/>
              <w:left w:val="nil"/>
              <w:bottom w:val="single" w:color="auto" w:sz="4" w:space="0"/>
              <w:right w:val="single" w:color="auto" w:sz="4" w:space="0"/>
            </w:tcBorders>
            <w:noWrap/>
            <w:vAlign w:val="bottom"/>
          </w:tcPr>
          <w:p w14:paraId="6361149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14:paraId="6C2E76F3">
        <w:tblPrEx>
          <w:tblCellMar>
            <w:top w:w="0" w:type="dxa"/>
            <w:left w:w="108" w:type="dxa"/>
            <w:bottom w:w="0" w:type="dxa"/>
            <w:right w:w="108" w:type="dxa"/>
          </w:tblCellMar>
        </w:tblPrEx>
        <w:trPr>
          <w:trHeight w:val="454" w:hRule="exact"/>
        </w:trPr>
        <w:tc>
          <w:tcPr>
            <w:tcW w:w="6306" w:type="dxa"/>
            <w:tcBorders>
              <w:top w:val="nil"/>
              <w:left w:val="single" w:color="auto" w:sz="4" w:space="0"/>
              <w:bottom w:val="single" w:color="auto" w:sz="4" w:space="0"/>
              <w:right w:val="single" w:color="auto" w:sz="4" w:space="0"/>
            </w:tcBorders>
            <w:noWrap/>
            <w:vAlign w:val="bottom"/>
          </w:tcPr>
          <w:p w14:paraId="22681151">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服务过程监督检查</w:t>
            </w:r>
          </w:p>
        </w:tc>
        <w:tc>
          <w:tcPr>
            <w:tcW w:w="2220" w:type="dxa"/>
            <w:tcBorders>
              <w:top w:val="nil"/>
              <w:left w:val="nil"/>
              <w:bottom w:val="single" w:color="auto" w:sz="4" w:space="0"/>
              <w:right w:val="single" w:color="auto" w:sz="4" w:space="0"/>
            </w:tcBorders>
            <w:noWrap/>
            <w:vAlign w:val="bottom"/>
          </w:tcPr>
          <w:p w14:paraId="22F8236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长期</w:t>
            </w:r>
          </w:p>
        </w:tc>
      </w:tr>
      <w:tr w14:paraId="3BCBB028">
        <w:tblPrEx>
          <w:tblCellMar>
            <w:top w:w="0" w:type="dxa"/>
            <w:left w:w="108" w:type="dxa"/>
            <w:bottom w:w="0" w:type="dxa"/>
            <w:right w:w="108" w:type="dxa"/>
          </w:tblCellMar>
        </w:tblPrEx>
        <w:trPr>
          <w:trHeight w:val="1166" w:hRule="exact"/>
        </w:trPr>
        <w:tc>
          <w:tcPr>
            <w:tcW w:w="6306" w:type="dxa"/>
            <w:tcBorders>
              <w:top w:val="nil"/>
              <w:left w:val="single" w:color="auto" w:sz="4" w:space="0"/>
              <w:bottom w:val="single" w:color="auto" w:sz="4" w:space="0"/>
              <w:right w:val="single" w:color="auto" w:sz="4" w:space="0"/>
            </w:tcBorders>
            <w:noWrap/>
            <w:vAlign w:val="center"/>
          </w:tcPr>
          <w:p w14:paraId="369A2DE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保障政府工作的可持续性、健康发展，提高永乐店镇政府政务工作</w:t>
            </w:r>
          </w:p>
        </w:tc>
        <w:tc>
          <w:tcPr>
            <w:tcW w:w="2220" w:type="dxa"/>
            <w:tcBorders>
              <w:top w:val="nil"/>
              <w:left w:val="nil"/>
              <w:bottom w:val="single" w:color="auto" w:sz="4" w:space="0"/>
              <w:right w:val="single" w:color="auto" w:sz="4" w:space="0"/>
            </w:tcBorders>
            <w:noWrap/>
            <w:vAlign w:val="center"/>
          </w:tcPr>
          <w:p w14:paraId="6280962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长期</w:t>
            </w:r>
          </w:p>
        </w:tc>
      </w:tr>
    </w:tbl>
    <w:p w14:paraId="272AC6B2">
      <w:pPr>
        <w:autoSpaceDE w:val="0"/>
        <w:autoSpaceDN w:val="0"/>
        <w:adjustRightInd w:val="0"/>
        <w:ind w:firstLine="560" w:firstLineChars="200"/>
        <w:outlineLvl w:val="2"/>
        <w:rPr>
          <w:rFonts w:hint="eastAsia" w:ascii="仿宋_GB2312" w:hAnsi="仿宋_GB2312" w:eastAsia="仿宋_GB2312" w:cs="仿宋_GB2312"/>
          <w:sz w:val="28"/>
          <w:szCs w:val="28"/>
        </w:rPr>
      </w:pPr>
    </w:p>
    <w:p w14:paraId="1F23AC34">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14:paraId="0829BDD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主要问题</w:t>
      </w:r>
    </w:p>
    <w:p w14:paraId="0FF7BA6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1.成本管控方面</w:t>
      </w:r>
    </w:p>
    <w:p w14:paraId="0338D3B2">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资金预算与对应期间的实际（预计）成本（8月-12月为预计支出）存在较大差异，在全年活动完成181次（运营提供方招标文件约定组织活动98次）、运营提供方运营人数由4人增加到10人的情况下，2024年度运营提供方按照权责发生制分摊的账载成本共计81.05万元，比预算金额93.50万元节约12.45万元。</w:t>
      </w:r>
    </w:p>
    <w:p w14:paraId="03271366">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2024年度资金预算93.50万元是按运营人员数量11人（其中文化站配备工作人员7人，运营第三方服务机构派驻运营人员4人）、文化活动98次为依据编制的资金预算，从而导致成本与预算偏差较大，不利于成本的控制与管理。</w:t>
      </w:r>
    </w:p>
    <w:p w14:paraId="4B50661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（2）项目主管部门不应仅满足于产出、进度、质量等方面的指标的完成，应加强对第三方服务机构的监管，敦促其优化服务流程、提高服务效率，从而提高产出、降低成本。</w:t>
      </w:r>
    </w:p>
    <w:p w14:paraId="34217FD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2.产出和效益效果方面的问题</w:t>
      </w:r>
    </w:p>
    <w:p w14:paraId="087A129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（1）产出数量指标制定较为保守，未能满足北京市公共文化服务效能考核相关指标中周周有活动的要求。</w:t>
      </w:r>
    </w:p>
    <w:p w14:paraId="23952A9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（2）效益效果方面</w:t>
      </w:r>
    </w:p>
    <w:p w14:paraId="5FE4009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绩效产出资料收集和整理不够完善，中期支付运营提供方项目款时无中期验收报告。</w:t>
      </w:r>
    </w:p>
    <w:p w14:paraId="3C84873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3.其他方面的问题</w:t>
      </w:r>
    </w:p>
    <w:p w14:paraId="545A3BFA">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合同条款尚存不完善之处。与运营提供方所签订的合同未能详尽地载明项目实施方案及服务成果，缺少相应的验收标准。</w:t>
      </w:r>
    </w:p>
    <w:p w14:paraId="60721CE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（六）有关建议</w:t>
      </w:r>
    </w:p>
    <w:p w14:paraId="750AB97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1.加强成本管控的措施</w:t>
      </w:r>
    </w:p>
    <w:p w14:paraId="573BCC7B">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（1）加强预算管理</w:t>
      </w:r>
    </w:p>
    <w:p w14:paraId="3B13077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年初编制预算要依据项目实际需求，对运营人员支出、文化活动的策划与组织费用、宣传费用进行分项明细预算。在与运营服务提供方签订的合同中，应明确列出详细的预算明细及具体的目标指标。有助于预算的管理和成本的控制，也有利于项目的评估与考核。</w:t>
      </w:r>
    </w:p>
    <w:p w14:paraId="3809A5A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管理部门应制定运营人员/月活动最低标准和最高上限标准，可以文化活动频次、接待人员等指标进行设定，便于科学确定活动服务超出上限承载量应增加服务人员的数量和成本，同时保证对服务质量不下降。</w:t>
      </w:r>
    </w:p>
    <w:p w14:paraId="6BE588E7">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对运营提供方的服务标准与效率管理，要求其提高对人员要素的优化配置，加强对服务人员专业素质培养，制定服务标准化，优化服务流程、提高服务效率，科学制定服务方案，发挥方案预控在成本管理中的主要作用。做到服务方案先进，经济上合理，确保服务高效、操作可行、方案最优、成本最低。</w:t>
      </w:r>
    </w:p>
    <w:p w14:paraId="1CB4C2AC">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2.提高产出和效益效果方面的措施</w:t>
      </w:r>
    </w:p>
    <w:p w14:paraId="023CDD02">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（1）建立项目绩效目标管理指标体系，针对项目特点细化、量化各项指标数值。</w:t>
      </w:r>
    </w:p>
    <w:p w14:paraId="172EC679">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（2）加强项目管理，做好项目中期监控，及时调整，提高项目管理的精细化水平。重视过程及成果资料的收集整理，按期做好项目资料归集汇总，确保资料的连续性、完整性，提高项目的可追溯性。</w:t>
      </w:r>
    </w:p>
    <w:p w14:paraId="1C6DA403">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3.其他方面的措施</w:t>
      </w:r>
    </w:p>
    <w:p w14:paraId="340464ED">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为确保合同执行的严谨性与明确性，加强合同条款的签订流程，并将项目实施方案、验收指标纳入合同条款，以保障双方权益得到充分的维护。</w:t>
      </w:r>
    </w:p>
    <w:p w14:paraId="175D502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（七）其他需要说明的问题</w:t>
      </w:r>
    </w:p>
    <w:p w14:paraId="74DC05DE">
      <w:pPr>
        <w:autoSpaceDE w:val="0"/>
        <w:autoSpaceDN w:val="0"/>
        <w:adjustRightInd w:val="0"/>
        <w:ind w:firstLine="560" w:firstLineChars="200"/>
        <w:outlineLvl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14:paraId="1756AADB">
      <w:pPr>
        <w:spacing w:line="580" w:lineRule="exact"/>
        <w:rPr>
          <w:rFonts w:ascii="黑体" w:eastAsia="黑体"/>
          <w:sz w:val="28"/>
          <w:szCs w:val="28"/>
        </w:rPr>
      </w:pPr>
    </w:p>
    <w:p w14:paraId="60B5437D">
      <w:pPr>
        <w:spacing w:line="580" w:lineRule="exact"/>
        <w:ind w:firstLine="560" w:firstLineChars="200"/>
        <w:rPr>
          <w:rFonts w:ascii="黑体" w:eastAsia="黑体"/>
          <w:sz w:val="28"/>
          <w:szCs w:val="28"/>
        </w:rPr>
      </w:pPr>
      <w:bookmarkStart w:id="0" w:name="_GoBack"/>
      <w:bookmarkEnd w:id="0"/>
    </w:p>
    <w:p w14:paraId="787C0687">
      <w:pPr>
        <w:numPr>
          <w:ilvl w:val="0"/>
          <w:numId w:val="3"/>
        </w:numPr>
        <w:ind w:left="0" w:leftChars="0" w:firstLine="560" w:firstLineChars="200"/>
        <w:rPr>
          <w:rFonts w:ascii="黑体" w:eastAsia="黑体"/>
          <w:sz w:val="28"/>
          <w:szCs w:val="28"/>
          <w:highlight w:val="none"/>
        </w:rPr>
      </w:pPr>
      <w:r>
        <w:rPr>
          <w:rFonts w:hint="eastAsia" w:ascii="黑体" w:eastAsia="黑体"/>
          <w:sz w:val="28"/>
          <w:szCs w:val="28"/>
          <w:highlight w:val="none"/>
        </w:rPr>
        <w:t>项目</w:t>
      </w:r>
      <w:r>
        <w:rPr>
          <w:rFonts w:ascii="黑体" w:eastAsia="黑体"/>
          <w:sz w:val="28"/>
          <w:szCs w:val="28"/>
          <w:highlight w:val="none"/>
        </w:rPr>
        <w:t>支出绩效自评表</w:t>
      </w:r>
    </w:p>
    <w:p w14:paraId="24F1FDFD">
      <w:pPr>
        <w:numPr>
          <w:ilvl w:val="0"/>
          <w:numId w:val="0"/>
        </w:numPr>
        <w:ind w:leftChars="200"/>
        <w:rPr>
          <w:rFonts w:hint="default" w:ascii="黑体" w:eastAsia="黑体"/>
          <w:sz w:val="28"/>
          <w:szCs w:val="28"/>
          <w:highlight w:val="none"/>
          <w:lang w:val="en-US" w:eastAsia="zh-CN"/>
        </w:rPr>
      </w:pPr>
      <w:r>
        <w:rPr>
          <w:rFonts w:hint="eastAsia" w:ascii="黑体" w:eastAsia="黑体"/>
          <w:sz w:val="28"/>
          <w:szCs w:val="28"/>
          <w:highlight w:val="none"/>
          <w:lang w:val="en-US" w:eastAsia="zh-CN"/>
        </w:rPr>
        <w:t>见附件</w:t>
      </w:r>
    </w:p>
    <w:p w14:paraId="3DBFA1AB"/>
    <w:sectPr>
      <w:footerReference r:id="rId3" w:type="default"/>
      <w:footerReference r:id="rId4"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8785">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14:paraId="127BA79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2CED2">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14:paraId="4A8320AE">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AF701"/>
    <w:multiLevelType w:val="singleLevel"/>
    <w:tmpl w:val="0D8AF701"/>
    <w:lvl w:ilvl="0" w:tentative="0">
      <w:start w:val="2"/>
      <w:numFmt w:val="chineseCounting"/>
      <w:suff w:val="nothing"/>
      <w:lvlText w:val="%1、"/>
      <w:lvlJc w:val="left"/>
      <w:rPr>
        <w:rFonts w:hint="eastAsia"/>
      </w:rPr>
    </w:lvl>
  </w:abstractNum>
  <w:abstractNum w:abstractNumId="1">
    <w:nsid w:val="322CD578"/>
    <w:multiLevelType w:val="singleLevel"/>
    <w:tmpl w:val="322CD578"/>
    <w:lvl w:ilvl="0" w:tentative="0">
      <w:start w:val="3"/>
      <w:numFmt w:val="decimal"/>
      <w:suff w:val="nothing"/>
      <w:lvlText w:val="%1）"/>
      <w:lvlJc w:val="left"/>
    </w:lvl>
  </w:abstractNum>
  <w:abstractNum w:abstractNumId="2">
    <w:nsid w:val="675033BC"/>
    <w:multiLevelType w:val="singleLevel"/>
    <w:tmpl w:val="675033B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047E8"/>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23F8E"/>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4DD0"/>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1595"/>
    <w:rsid w:val="0055353D"/>
    <w:rsid w:val="0056187C"/>
    <w:rsid w:val="00576B03"/>
    <w:rsid w:val="00581E1A"/>
    <w:rsid w:val="00591655"/>
    <w:rsid w:val="00591BEC"/>
    <w:rsid w:val="005940EA"/>
    <w:rsid w:val="00594448"/>
    <w:rsid w:val="005A1D6F"/>
    <w:rsid w:val="005A4D82"/>
    <w:rsid w:val="005A52A6"/>
    <w:rsid w:val="005B0DEC"/>
    <w:rsid w:val="005B368E"/>
    <w:rsid w:val="005B4CA1"/>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36F21"/>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19F1"/>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56CD5"/>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4A3D"/>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08ED"/>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1EB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448CD"/>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0D14"/>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6E71690"/>
    <w:rsid w:val="079004AC"/>
    <w:rsid w:val="0BA148CA"/>
    <w:rsid w:val="0C1165C4"/>
    <w:rsid w:val="0D6D544B"/>
    <w:rsid w:val="0DD136FE"/>
    <w:rsid w:val="0EAC1773"/>
    <w:rsid w:val="0F8E2C57"/>
    <w:rsid w:val="1059665E"/>
    <w:rsid w:val="10AC13BA"/>
    <w:rsid w:val="145A6C1B"/>
    <w:rsid w:val="14B73493"/>
    <w:rsid w:val="167A2FF9"/>
    <w:rsid w:val="18581C69"/>
    <w:rsid w:val="1AEC0734"/>
    <w:rsid w:val="1DEF20B0"/>
    <w:rsid w:val="214243FA"/>
    <w:rsid w:val="21AD613C"/>
    <w:rsid w:val="22467189"/>
    <w:rsid w:val="257A14F5"/>
    <w:rsid w:val="27196C26"/>
    <w:rsid w:val="29EF086F"/>
    <w:rsid w:val="2C8D1973"/>
    <w:rsid w:val="2EFFE297"/>
    <w:rsid w:val="301437CA"/>
    <w:rsid w:val="349D1F0A"/>
    <w:rsid w:val="34DD0473"/>
    <w:rsid w:val="372D13BA"/>
    <w:rsid w:val="3A203842"/>
    <w:rsid w:val="3C684897"/>
    <w:rsid w:val="3CB34CB5"/>
    <w:rsid w:val="433E495C"/>
    <w:rsid w:val="44B06FEC"/>
    <w:rsid w:val="489F2FD7"/>
    <w:rsid w:val="4AC27CB3"/>
    <w:rsid w:val="4BF72BEF"/>
    <w:rsid w:val="4E014717"/>
    <w:rsid w:val="4E2A3FEB"/>
    <w:rsid w:val="4FA90297"/>
    <w:rsid w:val="4FC41A43"/>
    <w:rsid w:val="51DB3C59"/>
    <w:rsid w:val="520213CC"/>
    <w:rsid w:val="550C0952"/>
    <w:rsid w:val="55762E42"/>
    <w:rsid w:val="57A7B272"/>
    <w:rsid w:val="58470068"/>
    <w:rsid w:val="58747CAC"/>
    <w:rsid w:val="58AA15B5"/>
    <w:rsid w:val="5A1720F9"/>
    <w:rsid w:val="5B9C37C2"/>
    <w:rsid w:val="5BA7C654"/>
    <w:rsid w:val="5F2C7B90"/>
    <w:rsid w:val="60A54109"/>
    <w:rsid w:val="61D01CDF"/>
    <w:rsid w:val="64C0607C"/>
    <w:rsid w:val="65756C86"/>
    <w:rsid w:val="674D385B"/>
    <w:rsid w:val="676F09E1"/>
    <w:rsid w:val="6B1D653C"/>
    <w:rsid w:val="6BF0394F"/>
    <w:rsid w:val="71793A80"/>
    <w:rsid w:val="72A44BC2"/>
    <w:rsid w:val="7357290B"/>
    <w:rsid w:val="798524E4"/>
    <w:rsid w:val="7A7F1C49"/>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index 9"/>
    <w:basedOn w:val="1"/>
    <w:next w:val="1"/>
    <w:qFormat/>
    <w:uiPriority w:val="99"/>
    <w:pPr>
      <w:ind w:left="1600" w:leftChars="1600"/>
      <w:jc w:val="both"/>
    </w:pPr>
    <w:rPr>
      <w:rFonts w:ascii="Calibri" w:hAnsi="Calibri" w:eastAsia="宋体" w:cs="Times New Roman"/>
      <w:color w:val="auto"/>
      <w:kern w:val="2"/>
      <w:sz w:val="21"/>
      <w:lang w:eastAsia="zh-CN" w:bidi="ar-SA"/>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table" w:styleId="12">
    <w:name w:val="Table Grid"/>
    <w:basedOn w:val="11"/>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style>
  <w:style w:type="character" w:customStyle="1" w:styleId="16">
    <w:name w:val="页脚 字符"/>
    <w:link w:val="7"/>
    <w:qFormat/>
    <w:uiPriority w:val="99"/>
    <w:rPr>
      <w:rFonts w:eastAsia="宋体"/>
      <w:kern w:val="2"/>
      <w:sz w:val="18"/>
      <w:szCs w:val="18"/>
      <w:lang w:val="en-US" w:eastAsia="zh-CN" w:bidi="ar-SA"/>
    </w:rPr>
  </w:style>
  <w:style w:type="character" w:customStyle="1" w:styleId="17">
    <w:name w:val="页眉 字符"/>
    <w:link w:val="8"/>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styleId="22">
    <w:name w:val="List Paragraph"/>
    <w:basedOn w:val="1"/>
    <w:unhideWhenUsed/>
    <w:qFormat/>
    <w:uiPriority w:val="99"/>
    <w:pPr>
      <w:ind w:firstLine="420" w:firstLineChars="200"/>
    </w:pPr>
  </w:style>
  <w:style w:type="paragraph" w:customStyle="1" w:styleId="23">
    <w:name w:val="Table Text"/>
    <w:basedOn w:val="1"/>
    <w:semiHidden/>
    <w:qFormat/>
    <w:uiPriority w:val="0"/>
    <w:pPr>
      <w:widowControl/>
      <w:spacing w:after="160" w:line="278" w:lineRule="auto"/>
      <w:jc w:val="left"/>
    </w:pPr>
    <w:rPr>
      <w:rFonts w:ascii="宋体" w:hAnsi="宋体" w:cs="宋体"/>
      <w:kern w:val="0"/>
      <w:sz w:val="23"/>
      <w:szCs w:val="23"/>
      <w:lang w:eastAsia="en-US"/>
    </w:rPr>
  </w:style>
  <w:style w:type="table" w:customStyle="1" w:styleId="24">
    <w:name w:val="Table Normal"/>
    <w:unhideWhenUsed/>
    <w:qFormat/>
    <w:uiPriority w:val="0"/>
    <w:pPr>
      <w:spacing w:after="160" w:line="278"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12292</Words>
  <Characters>13087</Characters>
  <Lines>288</Lines>
  <Paragraphs>297</Paragraphs>
  <TotalTime>0</TotalTime>
  <ScaleCrop>false</ScaleCrop>
  <LinksUpToDate>false</LinksUpToDate>
  <CharactersWithSpaces>13135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cp:lastModifiedBy>
  <cp:lastPrinted>2025-09-22T06:00:00Z</cp:lastPrinted>
  <dcterms:modified xsi:type="dcterms:W3CDTF">2025-09-28T00:13:04Z</dcterms:modified>
  <dc:title>北京市财政局关于做好向市人大常委会报送2015年度市级部门决算（草案）</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435078ACFECC4A5A8A519EF4C3681114_13</vt:lpwstr>
  </property>
  <property fmtid="{D5CDD505-2E9C-101B-9397-08002B2CF9AE}" pid="4" name="KSOTemplateDocerSaveRecord">
    <vt:lpwstr>eyJoZGlkIjoiYmM2NDBmMGRjNTVjODkwYzk1OGRkMjg1YjVkYzMwMDEiLCJ1c2VySWQiOiI5OTA5NTIwNjcifQ==</vt:lpwstr>
  </property>
</Properties>
</file>