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台湖镇污水处理运营管理服务项目</w:t>
      </w:r>
    </w:p>
    <w:p>
      <w:pPr>
        <w:jc w:val="center"/>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rPr>
        <w:t>支出绩效评价报告</w:t>
      </w:r>
    </w:p>
    <w:p>
      <w:pPr>
        <w:jc w:val="center"/>
        <w:rPr>
          <w:rFonts w:ascii="仿宋_GB2312"/>
          <w:szCs w:val="30"/>
        </w:rPr>
      </w:pPr>
    </w:p>
    <w:p>
      <w:pPr>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一、基本情况</w:t>
      </w:r>
    </w:p>
    <w:p>
      <w:pPr>
        <w:spacing w:line="600" w:lineRule="exact"/>
        <w:ind w:firstLine="640" w:firstLineChars="200"/>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（一）项目概况。</w:t>
      </w:r>
    </w:p>
    <w:p>
      <w:pPr>
        <w:spacing w:line="600" w:lineRule="exact"/>
        <w:ind w:firstLine="640" w:firstLineChars="200"/>
        <w:outlineLvl w:val="0"/>
        <w:rPr>
          <w:rFonts w:ascii="宋体" w:hAnsi="宋体" w:cs="宋体"/>
          <w:kern w:val="0"/>
          <w:sz w:val="32"/>
          <w:szCs w:val="32"/>
          <w:highlight w:val="none"/>
        </w:rPr>
      </w:pPr>
      <w:r>
        <w:rPr>
          <w:rFonts w:hint="eastAsia" w:ascii="宋体" w:hAnsi="宋体" w:cs="宋体"/>
          <w:kern w:val="0"/>
          <w:sz w:val="32"/>
          <w:szCs w:val="32"/>
          <w:highlight w:val="none"/>
        </w:rPr>
        <w:t>根据北京市污水处理设施水污染物排放标准，为完成第二轮中央环保督查整改及2024年度河长制工作专项绩效考核任务，保障台湖镇镇域内居民生活污水得到有效处理，污水处理满足排放标准，削减污染负荷，改善当地生态环境，促进区域可持续发展的需要。经行业主管部门协助推进，台湖镇聘请专业公司运营管理污水处理厂站。主要包括台湖镇污水处理厂</w:t>
      </w:r>
      <w:r>
        <w:rPr>
          <w:rFonts w:hint="eastAsia" w:ascii="宋体" w:hAnsi="宋体" w:cs="宋体"/>
          <w:kern w:val="0"/>
          <w:sz w:val="32"/>
          <w:szCs w:val="32"/>
          <w:highlight w:val="none"/>
          <w:lang w:eastAsia="zh-CN"/>
        </w:rPr>
        <w:t>（</w:t>
      </w:r>
      <w:r>
        <w:rPr>
          <w:rFonts w:hint="eastAsia" w:ascii="宋体" w:hAnsi="宋体" w:cs="宋体"/>
          <w:kern w:val="0"/>
          <w:sz w:val="32"/>
          <w:szCs w:val="32"/>
          <w:highlight w:val="none"/>
          <w:lang w:val="en-US" w:eastAsia="zh-CN"/>
        </w:rPr>
        <w:t>设计规模10000吨/天</w:t>
      </w:r>
      <w:r>
        <w:rPr>
          <w:rFonts w:hint="eastAsia" w:ascii="宋体" w:hAnsi="宋体" w:cs="宋体"/>
          <w:kern w:val="0"/>
          <w:sz w:val="32"/>
          <w:szCs w:val="32"/>
          <w:highlight w:val="none"/>
          <w:lang w:eastAsia="zh-CN"/>
        </w:rPr>
        <w:t>）</w:t>
      </w:r>
      <w:r>
        <w:rPr>
          <w:rFonts w:hint="eastAsia" w:ascii="宋体" w:hAnsi="宋体" w:cs="宋体"/>
          <w:kern w:val="0"/>
          <w:sz w:val="32"/>
          <w:szCs w:val="32"/>
          <w:highlight w:val="none"/>
        </w:rPr>
        <w:t>运维管理，</w:t>
      </w:r>
      <w:r>
        <w:rPr>
          <w:rFonts w:ascii="宋体" w:hAnsi="宋体" w:cs="宋体"/>
          <w:kern w:val="0"/>
          <w:sz w:val="32"/>
          <w:szCs w:val="32"/>
          <w:highlight w:val="none"/>
        </w:rPr>
        <w:t>次渠污水处理站</w:t>
      </w:r>
      <w:r>
        <w:rPr>
          <w:rFonts w:hint="eastAsia" w:ascii="宋体" w:hAnsi="宋体" w:cs="宋体"/>
          <w:kern w:val="0"/>
          <w:sz w:val="32"/>
          <w:szCs w:val="32"/>
          <w:highlight w:val="none"/>
        </w:rPr>
        <w:t>（设计规模</w:t>
      </w:r>
      <w:r>
        <w:rPr>
          <w:rFonts w:hint="eastAsia" w:ascii="宋体" w:hAnsi="宋体" w:cs="宋体"/>
          <w:kern w:val="0"/>
          <w:sz w:val="32"/>
          <w:szCs w:val="32"/>
          <w:highlight w:val="none"/>
          <w:lang w:val="en-US" w:eastAsia="zh-CN"/>
        </w:rPr>
        <w:t>2</w:t>
      </w:r>
      <w:r>
        <w:rPr>
          <w:rFonts w:hint="eastAsia" w:ascii="宋体" w:hAnsi="宋体" w:cs="宋体"/>
          <w:kern w:val="0"/>
          <w:sz w:val="32"/>
          <w:szCs w:val="32"/>
          <w:highlight w:val="none"/>
        </w:rPr>
        <w:t>000吨/天）</w:t>
      </w:r>
      <w:r>
        <w:rPr>
          <w:rFonts w:ascii="宋体" w:hAnsi="宋体" w:cs="宋体"/>
          <w:kern w:val="0"/>
          <w:sz w:val="32"/>
          <w:szCs w:val="32"/>
          <w:highlight w:val="none"/>
        </w:rPr>
        <w:t>、新增安置房污水处理站</w:t>
      </w:r>
      <w:r>
        <w:rPr>
          <w:rFonts w:hint="eastAsia" w:ascii="宋体" w:hAnsi="宋体" w:cs="宋体"/>
          <w:kern w:val="0"/>
          <w:sz w:val="32"/>
          <w:szCs w:val="32"/>
          <w:highlight w:val="none"/>
        </w:rPr>
        <w:t>（设计规模2000吨/天）</w:t>
      </w:r>
      <w:r>
        <w:rPr>
          <w:rFonts w:ascii="宋体" w:hAnsi="宋体" w:cs="宋体"/>
          <w:kern w:val="0"/>
          <w:sz w:val="32"/>
          <w:szCs w:val="32"/>
          <w:highlight w:val="none"/>
        </w:rPr>
        <w:t>和董村过度污水处理站</w:t>
      </w:r>
      <w:r>
        <w:rPr>
          <w:rFonts w:hint="eastAsia" w:ascii="宋体" w:hAnsi="宋体" w:cs="宋体"/>
          <w:kern w:val="0"/>
          <w:sz w:val="32"/>
          <w:szCs w:val="32"/>
          <w:highlight w:val="none"/>
        </w:rPr>
        <w:t>（设计规模2000吨/天）设备租赁和运维管理，全年总</w:t>
      </w:r>
      <w:r>
        <w:rPr>
          <w:rFonts w:ascii="宋体" w:hAnsi="宋体" w:cs="宋体"/>
          <w:kern w:val="0"/>
          <w:sz w:val="32"/>
          <w:szCs w:val="32"/>
          <w:highlight w:val="none"/>
        </w:rPr>
        <w:t>投入资金7974904.49</w:t>
      </w:r>
      <w:r>
        <w:rPr>
          <w:rFonts w:hint="eastAsia" w:ascii="宋体" w:hAnsi="宋体" w:cs="宋体"/>
          <w:kern w:val="0"/>
          <w:sz w:val="32"/>
          <w:szCs w:val="32"/>
          <w:highlight w:val="none"/>
        </w:rPr>
        <w:t>元。</w:t>
      </w:r>
    </w:p>
    <w:p>
      <w:pPr>
        <w:spacing w:line="600" w:lineRule="exact"/>
        <w:ind w:firstLine="640" w:firstLineChars="200"/>
        <w:outlineLvl w:val="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lang w:val="en-US" w:eastAsia="zh-CN"/>
        </w:rPr>
        <w:t>二</w:t>
      </w:r>
      <w:r>
        <w:rPr>
          <w:rFonts w:hint="eastAsia" w:ascii="楷体_GB2312" w:hAnsi="楷体_GB2312" w:eastAsia="楷体_GB2312" w:cs="楷体_GB2312"/>
          <w:kern w:val="0"/>
          <w:sz w:val="32"/>
          <w:szCs w:val="32"/>
          <w:lang w:eastAsia="zh-CN"/>
        </w:rPr>
        <w:t>）</w:t>
      </w:r>
      <w:r>
        <w:rPr>
          <w:rFonts w:hint="eastAsia" w:ascii="楷体_GB2312" w:hAnsi="楷体_GB2312" w:eastAsia="楷体_GB2312" w:cs="楷体_GB2312"/>
          <w:kern w:val="0"/>
          <w:sz w:val="32"/>
          <w:szCs w:val="32"/>
        </w:rPr>
        <w:t>项目绩效目标。</w:t>
      </w:r>
    </w:p>
    <w:p>
      <w:pPr>
        <w:spacing w:line="600" w:lineRule="exact"/>
        <w:ind w:firstLine="640" w:firstLineChars="200"/>
        <w:outlineLvl w:val="0"/>
        <w:rPr>
          <w:rFonts w:hint="eastAsia" w:ascii="宋体" w:hAnsi="宋体" w:cs="宋体"/>
          <w:kern w:val="0"/>
          <w:sz w:val="32"/>
          <w:szCs w:val="32"/>
          <w:highlight w:val="none"/>
        </w:rPr>
      </w:pPr>
      <w:r>
        <w:rPr>
          <w:rFonts w:hint="eastAsia" w:ascii="宋体" w:hAnsi="宋体" w:cs="宋体"/>
          <w:kern w:val="0"/>
          <w:sz w:val="32"/>
          <w:szCs w:val="32"/>
          <w:highlight w:val="none"/>
        </w:rPr>
        <w:t>严格执行国家有关环保法律、法规，保障区域内污水有效处理，出水水质达到规定排放标准。完成2024年度河长制工作专项绩效考核，解决区域污水过量污染河道问题。</w:t>
      </w:r>
    </w:p>
    <w:p>
      <w:pPr>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二、绩效评价工作开展情况</w:t>
      </w:r>
    </w:p>
    <w:p>
      <w:pPr>
        <w:spacing w:line="600" w:lineRule="exact"/>
        <w:ind w:firstLine="640" w:firstLineChars="200"/>
        <w:outlineLvl w:val="0"/>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lang w:eastAsia="zh-CN"/>
        </w:rPr>
        <w:t>（一）绩效评价目的、对象和范围。</w:t>
      </w:r>
    </w:p>
    <w:p>
      <w:pPr>
        <w:spacing w:line="600" w:lineRule="exact"/>
        <w:ind w:firstLine="640" w:firstLineChars="200"/>
        <w:rPr>
          <w:rFonts w:hint="default" w:ascii="宋体" w:hAnsi="宋体" w:cs="宋体"/>
          <w:kern w:val="0"/>
          <w:sz w:val="32"/>
          <w:szCs w:val="32"/>
          <w:highlight w:val="none"/>
          <w:lang w:val="en-US" w:eastAsia="zh-CN"/>
        </w:rPr>
      </w:pPr>
      <w:r>
        <w:rPr>
          <w:rFonts w:hint="eastAsia" w:ascii="宋体" w:hAnsi="宋体" w:cs="宋体"/>
          <w:kern w:val="0"/>
          <w:sz w:val="32"/>
          <w:szCs w:val="32"/>
          <w:highlight w:val="none"/>
        </w:rPr>
        <w:t>涉及台湖镇污水处理厂</w:t>
      </w:r>
      <w:r>
        <w:rPr>
          <w:rFonts w:hint="eastAsia" w:ascii="宋体" w:hAnsi="宋体" w:cs="宋体"/>
          <w:kern w:val="0"/>
          <w:sz w:val="32"/>
          <w:szCs w:val="32"/>
          <w:highlight w:val="none"/>
          <w:lang w:eastAsia="zh-CN"/>
        </w:rPr>
        <w:t>（</w:t>
      </w:r>
      <w:r>
        <w:rPr>
          <w:rFonts w:hint="eastAsia" w:ascii="宋体" w:hAnsi="宋体" w:cs="宋体"/>
          <w:kern w:val="0"/>
          <w:sz w:val="32"/>
          <w:szCs w:val="32"/>
          <w:highlight w:val="none"/>
          <w:lang w:val="en-US" w:eastAsia="zh-CN"/>
        </w:rPr>
        <w:t>设计规模10000吨/天</w:t>
      </w:r>
      <w:r>
        <w:rPr>
          <w:rFonts w:hint="eastAsia" w:ascii="宋体" w:hAnsi="宋体" w:cs="宋体"/>
          <w:kern w:val="0"/>
          <w:sz w:val="32"/>
          <w:szCs w:val="32"/>
          <w:highlight w:val="none"/>
          <w:lang w:eastAsia="zh-CN"/>
        </w:rPr>
        <w:t>）</w:t>
      </w:r>
      <w:r>
        <w:rPr>
          <w:rFonts w:hint="eastAsia" w:ascii="宋体" w:hAnsi="宋体" w:cs="宋体"/>
          <w:kern w:val="0"/>
          <w:sz w:val="32"/>
          <w:szCs w:val="32"/>
          <w:highlight w:val="none"/>
        </w:rPr>
        <w:t>运维管理，</w:t>
      </w:r>
      <w:r>
        <w:rPr>
          <w:rFonts w:hint="eastAsia" w:ascii="宋体" w:hAnsi="宋体" w:cs="宋体"/>
          <w:kern w:val="0"/>
          <w:sz w:val="32"/>
          <w:szCs w:val="32"/>
          <w:highlight w:val="none"/>
          <w:lang w:val="en-US" w:eastAsia="zh-CN"/>
        </w:rPr>
        <w:t>排放中水标准达到《城镇污水处理厂水污染物排放标准》（DB11 890-2012）表2中B标准  ，排放再生水标准达到《城市污水再生利用景观环境用水水质》（GB/T 18921-2019 ）中的河道类标准。《城市污水再生利用城市杂用水水质》（GB/T 18920-2020） 城市绿化类标准。台湖镇污水处理厂汇水范围为演艺小镇城市化区域，保障演艺小镇区域居民小区、企事业单位、台湖剧场等污水排放可以得到有效处理，排放水质达标中水进入河道。污水处理厂每日生产3500吨再生水，通过管线进入台湖公园中心景观湖，为景观湖蓄水，同时通过消防泵站随时准备为消防车辆提供备用水源。</w:t>
      </w:r>
    </w:p>
    <w:p>
      <w:pPr>
        <w:spacing w:line="600" w:lineRule="exact"/>
        <w:ind w:firstLine="640" w:firstLineChars="200"/>
        <w:rPr>
          <w:rFonts w:hint="default" w:ascii="宋体" w:hAnsi="宋体" w:eastAsia="宋体" w:cs="宋体"/>
          <w:kern w:val="0"/>
          <w:sz w:val="32"/>
          <w:szCs w:val="32"/>
          <w:highlight w:val="none"/>
          <w:lang w:val="en-US" w:eastAsia="zh-CN"/>
        </w:rPr>
      </w:pPr>
      <w:r>
        <w:rPr>
          <w:rFonts w:ascii="宋体" w:hAnsi="宋体" w:cs="宋体"/>
          <w:kern w:val="0"/>
          <w:sz w:val="32"/>
          <w:szCs w:val="32"/>
          <w:highlight w:val="none"/>
        </w:rPr>
        <w:t>次渠污水处理站、新增安置房污水处理站和董村过度污水处理站</w:t>
      </w:r>
      <w:r>
        <w:rPr>
          <w:rFonts w:hint="eastAsia" w:ascii="宋体" w:hAnsi="宋体" w:cs="宋体"/>
          <w:kern w:val="0"/>
          <w:sz w:val="32"/>
          <w:szCs w:val="32"/>
          <w:highlight w:val="none"/>
        </w:rPr>
        <w:t>设备租赁和运维管理。要求出水水质达到北京市DB11/1612—2019《农村生活污水处理设施水污染物排放标准》二级标准中A标准。</w:t>
      </w:r>
      <w:r>
        <w:rPr>
          <w:rFonts w:ascii="宋体" w:hAnsi="宋体" w:cs="宋体"/>
          <w:kern w:val="0"/>
          <w:sz w:val="32"/>
          <w:szCs w:val="32"/>
          <w:highlight w:val="none"/>
        </w:rPr>
        <w:t>次渠污水处理站、新增安置房污水处理站</w:t>
      </w:r>
      <w:r>
        <w:rPr>
          <w:rFonts w:hint="eastAsia" w:ascii="宋体" w:hAnsi="宋体" w:cs="宋体"/>
          <w:kern w:val="0"/>
          <w:sz w:val="32"/>
          <w:szCs w:val="32"/>
          <w:highlight w:val="none"/>
          <w:lang w:val="en-US" w:eastAsia="zh-CN"/>
        </w:rPr>
        <w:t>汇水范围为次渠大街沿线小区、医院、商铺以及部分新建小区等，保障区域污水排放可以得到有效处理，排放水质达标中水进入河道。</w:t>
      </w:r>
    </w:p>
    <w:p>
      <w:pPr>
        <w:spacing w:line="600" w:lineRule="exact"/>
        <w:ind w:firstLine="640" w:firstLineChars="200"/>
        <w:rPr>
          <w:rFonts w:ascii="宋体" w:hAnsi="宋体" w:cs="宋体"/>
          <w:kern w:val="0"/>
          <w:sz w:val="32"/>
          <w:szCs w:val="32"/>
          <w:highlight w:val="none"/>
        </w:rPr>
      </w:pPr>
      <w:r>
        <w:rPr>
          <w:rFonts w:hint="eastAsia" w:ascii="宋体" w:hAnsi="宋体" w:cs="宋体"/>
          <w:kern w:val="0"/>
          <w:sz w:val="32"/>
          <w:szCs w:val="32"/>
          <w:highlight w:val="none"/>
          <w:lang w:val="en-US" w:eastAsia="zh-CN"/>
        </w:rPr>
        <w:t>台湖镇</w:t>
      </w:r>
      <w:r>
        <w:rPr>
          <w:rFonts w:hint="eastAsia" w:ascii="宋体" w:hAnsi="宋体" w:cs="宋体"/>
          <w:kern w:val="0"/>
          <w:sz w:val="32"/>
          <w:szCs w:val="32"/>
          <w:highlight w:val="none"/>
        </w:rPr>
        <w:t>督促污水处理厂站</w:t>
      </w:r>
      <w:r>
        <w:rPr>
          <w:rFonts w:hint="eastAsia" w:ascii="宋体" w:hAnsi="宋体" w:cs="宋体"/>
          <w:kern w:val="0"/>
          <w:sz w:val="32"/>
          <w:szCs w:val="32"/>
          <w:highlight w:val="none"/>
          <w:lang w:val="en-US" w:eastAsia="zh-CN"/>
        </w:rPr>
        <w:t>运维单位按合同要求配置工作人员，保障污水处理设施</w:t>
      </w:r>
      <w:r>
        <w:rPr>
          <w:rFonts w:hint="eastAsia" w:ascii="宋体" w:hAnsi="宋体" w:cs="宋体"/>
          <w:kern w:val="0"/>
          <w:sz w:val="32"/>
          <w:szCs w:val="32"/>
          <w:highlight w:val="none"/>
        </w:rPr>
        <w:t>平稳运行，出水</w:t>
      </w:r>
      <w:r>
        <w:rPr>
          <w:rFonts w:hint="eastAsia" w:ascii="宋体" w:hAnsi="宋体" w:cs="宋体"/>
          <w:kern w:val="0"/>
          <w:sz w:val="32"/>
          <w:szCs w:val="32"/>
          <w:highlight w:val="none"/>
          <w:lang w:val="en-US" w:eastAsia="zh-CN"/>
        </w:rPr>
        <w:t>水质</w:t>
      </w:r>
      <w:r>
        <w:rPr>
          <w:rFonts w:hint="eastAsia" w:ascii="宋体" w:hAnsi="宋体" w:cs="宋体"/>
          <w:kern w:val="0"/>
          <w:sz w:val="32"/>
          <w:szCs w:val="32"/>
          <w:highlight w:val="none"/>
        </w:rPr>
        <w:t>达标</w:t>
      </w:r>
      <w:r>
        <w:rPr>
          <w:rFonts w:hint="eastAsia" w:ascii="宋体" w:hAnsi="宋体" w:cs="宋体"/>
          <w:kern w:val="0"/>
          <w:sz w:val="32"/>
          <w:szCs w:val="32"/>
          <w:highlight w:val="none"/>
          <w:lang w:val="en-US" w:eastAsia="zh-CN"/>
        </w:rPr>
        <w:t>排放</w:t>
      </w:r>
      <w:r>
        <w:rPr>
          <w:rFonts w:hint="eastAsia" w:ascii="宋体" w:hAnsi="宋体" w:cs="宋体"/>
          <w:kern w:val="0"/>
          <w:sz w:val="32"/>
          <w:szCs w:val="32"/>
          <w:highlight w:val="none"/>
        </w:rPr>
        <w:t>，</w:t>
      </w:r>
      <w:r>
        <w:rPr>
          <w:rFonts w:hint="eastAsia" w:ascii="宋体" w:hAnsi="宋体" w:cs="宋体"/>
          <w:kern w:val="0"/>
          <w:sz w:val="32"/>
          <w:szCs w:val="32"/>
          <w:highlight w:val="none"/>
          <w:lang w:val="en-US" w:eastAsia="zh-CN"/>
        </w:rPr>
        <w:t>汇水范围内全部</w:t>
      </w:r>
      <w:r>
        <w:rPr>
          <w:rFonts w:ascii="宋体" w:hAnsi="宋体" w:cs="宋体"/>
          <w:kern w:val="0"/>
          <w:sz w:val="32"/>
          <w:szCs w:val="32"/>
          <w:highlight w:val="none"/>
        </w:rPr>
        <w:t>污水得到有效处置</w:t>
      </w:r>
      <w:r>
        <w:rPr>
          <w:rFonts w:hint="eastAsia" w:ascii="宋体" w:hAnsi="宋体" w:cs="宋体"/>
          <w:kern w:val="0"/>
          <w:sz w:val="32"/>
          <w:szCs w:val="32"/>
          <w:highlight w:val="none"/>
        </w:rPr>
        <w:t>，</w:t>
      </w:r>
      <w:r>
        <w:rPr>
          <w:rFonts w:hint="eastAsia" w:ascii="宋体" w:hAnsi="宋体" w:cs="宋体"/>
          <w:kern w:val="0"/>
          <w:sz w:val="32"/>
          <w:szCs w:val="32"/>
          <w:highlight w:val="none"/>
          <w:lang w:val="en-US" w:eastAsia="zh-CN"/>
        </w:rPr>
        <w:t>各项环保措施落实到位，可有效</w:t>
      </w:r>
      <w:r>
        <w:rPr>
          <w:rFonts w:hint="eastAsia" w:ascii="宋体" w:hAnsi="宋体" w:cs="宋体"/>
          <w:kern w:val="0"/>
          <w:sz w:val="32"/>
          <w:szCs w:val="32"/>
          <w:highlight w:val="none"/>
        </w:rPr>
        <w:t>改善</w:t>
      </w:r>
      <w:r>
        <w:rPr>
          <w:rFonts w:hint="eastAsia" w:ascii="宋体" w:hAnsi="宋体" w:cs="宋体"/>
          <w:kern w:val="0"/>
          <w:sz w:val="32"/>
          <w:szCs w:val="32"/>
          <w:highlight w:val="none"/>
          <w:lang w:val="en-US" w:eastAsia="zh-CN"/>
        </w:rPr>
        <w:t>周边</w:t>
      </w:r>
      <w:r>
        <w:rPr>
          <w:rFonts w:hint="eastAsia" w:ascii="宋体" w:hAnsi="宋体" w:cs="宋体"/>
          <w:kern w:val="0"/>
          <w:sz w:val="32"/>
          <w:szCs w:val="32"/>
          <w:highlight w:val="none"/>
        </w:rPr>
        <w:t>环境，提高地区整体环境效益与经济水平，每年削减的污染物</w:t>
      </w:r>
      <w:r>
        <w:rPr>
          <w:rFonts w:hint="eastAsia" w:ascii="宋体" w:hAnsi="宋体" w:cs="宋体"/>
          <w:kern w:val="0"/>
          <w:sz w:val="32"/>
          <w:szCs w:val="32"/>
          <w:highlight w:val="none"/>
          <w:lang w:val="en-US" w:eastAsia="zh-CN"/>
        </w:rPr>
        <w:t>排放</w:t>
      </w:r>
      <w:r>
        <w:rPr>
          <w:rFonts w:hint="eastAsia" w:ascii="宋体" w:hAnsi="宋体" w:cs="宋体"/>
          <w:kern w:val="0"/>
          <w:sz w:val="32"/>
          <w:szCs w:val="32"/>
          <w:highlight w:val="none"/>
        </w:rPr>
        <w:t>量</w:t>
      </w:r>
      <w:r>
        <w:rPr>
          <w:rFonts w:ascii="宋体" w:hAnsi="宋体" w:cs="宋体"/>
          <w:kern w:val="0"/>
          <w:sz w:val="32"/>
          <w:szCs w:val="32"/>
          <w:highlight w:val="none"/>
        </w:rPr>
        <w:t>。</w:t>
      </w:r>
    </w:p>
    <w:p>
      <w:pPr>
        <w:spacing w:line="600" w:lineRule="exact"/>
        <w:ind w:firstLine="640" w:firstLineChars="200"/>
        <w:rPr>
          <w:rFonts w:hint="eastAsia" w:ascii="楷体_GB2312" w:hAnsi="楷体_GB2312" w:eastAsia="楷体_GB2312" w:cs="楷体_GB2312"/>
          <w:kern w:val="0"/>
          <w:sz w:val="32"/>
          <w:szCs w:val="32"/>
          <w:highlight w:val="none"/>
        </w:rPr>
      </w:pPr>
      <w:r>
        <w:rPr>
          <w:rFonts w:hint="eastAsia" w:ascii="楷体_GB2312" w:hAnsi="楷体_GB2312" w:eastAsia="楷体_GB2312" w:cs="楷体_GB2312"/>
          <w:kern w:val="0"/>
          <w:sz w:val="32"/>
          <w:szCs w:val="32"/>
          <w:highlight w:val="none"/>
        </w:rPr>
        <w:t>（二）绩效评价原则、评价指标体系（附表说明）、评价方法、评价标准等。</w:t>
      </w:r>
    </w:p>
    <w:p>
      <w:pPr>
        <w:spacing w:line="600" w:lineRule="exact"/>
        <w:ind w:firstLine="640" w:firstLineChars="200"/>
        <w:rPr>
          <w:rFonts w:hint="default" w:ascii="宋体" w:hAnsi="宋体" w:eastAsia="宋体" w:cs="宋体"/>
          <w:kern w:val="0"/>
          <w:sz w:val="32"/>
          <w:szCs w:val="32"/>
          <w:highlight w:val="none"/>
          <w:lang w:val="en-US" w:eastAsia="zh-CN"/>
        </w:rPr>
      </w:pPr>
      <w:r>
        <w:rPr>
          <w:rFonts w:ascii="宋体" w:hAnsi="宋体" w:cs="宋体"/>
          <w:kern w:val="0"/>
          <w:sz w:val="32"/>
          <w:szCs w:val="32"/>
          <w:highlight w:val="none"/>
        </w:rPr>
        <w:t>根据国家生态环境部发布的相关要求，结合尾水排放水体的要求，</w:t>
      </w:r>
      <w:r>
        <w:rPr>
          <w:rFonts w:hint="eastAsia" w:ascii="宋体" w:hAnsi="宋体" w:cs="宋体"/>
          <w:kern w:val="0"/>
          <w:sz w:val="32"/>
          <w:szCs w:val="32"/>
          <w:highlight w:val="none"/>
          <w:lang w:val="en-US" w:eastAsia="zh-CN"/>
        </w:rPr>
        <w:t>台湖镇污水处理厂（设计规模10000吨/天）设计排放标准为：</w:t>
      </w:r>
    </w:p>
    <w:tbl>
      <w:tblPr>
        <w:tblStyle w:val="6"/>
        <w:tblW w:w="4810" w:type="pct"/>
        <w:tblInd w:w="0" w:type="dxa"/>
        <w:tblLayout w:type="autofit"/>
        <w:tblCellMar>
          <w:top w:w="0" w:type="dxa"/>
          <w:left w:w="0" w:type="dxa"/>
          <w:bottom w:w="0" w:type="dxa"/>
          <w:right w:w="0" w:type="dxa"/>
        </w:tblCellMar>
      </w:tblPr>
      <w:tblGrid>
        <w:gridCol w:w="856"/>
        <w:gridCol w:w="913"/>
        <w:gridCol w:w="800"/>
        <w:gridCol w:w="797"/>
        <w:gridCol w:w="588"/>
        <w:gridCol w:w="624"/>
        <w:gridCol w:w="691"/>
        <w:gridCol w:w="1177"/>
        <w:gridCol w:w="1752"/>
      </w:tblGrid>
      <w:tr>
        <w:tblPrEx>
          <w:tblCellMar>
            <w:top w:w="0" w:type="dxa"/>
            <w:left w:w="0" w:type="dxa"/>
            <w:bottom w:w="0" w:type="dxa"/>
            <w:right w:w="0" w:type="dxa"/>
          </w:tblCellMar>
        </w:tblPrEx>
        <w:tc>
          <w:tcPr>
            <w:tcW w:w="0" w:type="auto"/>
            <w:gridSpan w:val="9"/>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台湖污水处理厂</w:t>
            </w:r>
            <w:r>
              <w:br w:type="textWrapping"/>
            </w:r>
            <w:r>
              <w:t>出水： DB11/890-2012《城镇污水处理厂水污染物排放标准》表2中的B标准，12月1日至3月31日执行括号内标准。</w:t>
            </w:r>
          </w:p>
        </w:tc>
      </w:tr>
      <w:tr>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项目</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BOD5</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COD</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SS</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TN</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TP</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PH</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氨氮</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大肠杆菌群数</w:t>
            </w:r>
          </w:p>
        </w:tc>
      </w:tr>
      <w:tr>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出水</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20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60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20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20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1</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6~9</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8（15）</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≤10</w:t>
            </w:r>
            <w:r>
              <w:rPr>
                <w:rFonts w:hint="eastAsia"/>
                <w:vertAlign w:val="superscript"/>
                <w:lang w:val="en-US" w:eastAsia="zh-CN"/>
              </w:rPr>
              <w:t>4</w:t>
            </w:r>
            <w:r>
              <w:t>MPN/L</w:t>
            </w:r>
          </w:p>
        </w:tc>
      </w:tr>
      <w:tr>
        <w:tblPrEx>
          <w:tblCellMar>
            <w:top w:w="0" w:type="dxa"/>
            <w:left w:w="0" w:type="dxa"/>
            <w:bottom w:w="0" w:type="dxa"/>
            <w:right w:w="0" w:type="dxa"/>
          </w:tblCellMar>
        </w:tblPrEx>
        <w:tc>
          <w:tcPr>
            <w:tcW w:w="0" w:type="auto"/>
            <w:gridSpan w:val="9"/>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再生水：GB/T 18921-2019 《城市污水再生利用景观环境用水水质》中的河道类标准</w:t>
            </w:r>
            <w:r>
              <w:br w:type="textWrapping"/>
            </w:r>
            <w:r>
              <w:t>GB/T 18920-2020 《城市污水再生利用 城市杂用水水质》城市绿化类标准</w:t>
            </w:r>
          </w:p>
        </w:tc>
      </w:tr>
      <w:tr>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项目</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BOD5</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氨氮</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浊度</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TN</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TP</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PH</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色度</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粪大肠菌群</w:t>
            </w:r>
          </w:p>
        </w:tc>
      </w:tr>
      <w:tr>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再生水</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10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5</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rPr>
                <w:rFonts w:hint="eastAsia" w:eastAsiaTheme="minorEastAsia"/>
                <w:lang w:eastAsia="zh-CN"/>
              </w:rPr>
            </w:pPr>
            <w:r>
              <w:t>10.</w:t>
            </w:r>
            <w:r>
              <w:rPr>
                <w:rFonts w:hint="eastAsia"/>
                <w:lang w:val="en-US" w:eastAsia="zh-CN"/>
              </w:rPr>
              <w:t>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15</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0.5</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6~9</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20</w:t>
            </w: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r>
              <w:t>≤1000 个/L</w:t>
            </w:r>
          </w:p>
        </w:tc>
      </w:tr>
      <w:tr>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c>
          <w:tcPr>
            <w:tcW w:w="0" w:type="auto"/>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tc>
      </w:tr>
    </w:tbl>
    <w:p>
      <w:pPr>
        <w:spacing w:line="600" w:lineRule="exact"/>
        <w:ind w:firstLine="640" w:firstLineChars="200"/>
        <w:rPr>
          <w:rFonts w:ascii="宋体" w:hAnsi="宋体" w:cs="宋体"/>
          <w:kern w:val="0"/>
          <w:sz w:val="32"/>
          <w:szCs w:val="32"/>
          <w:highlight w:val="none"/>
        </w:rPr>
      </w:pPr>
      <w:r>
        <w:rPr>
          <w:rFonts w:hint="eastAsia" w:ascii="宋体" w:hAnsi="宋体" w:cs="宋体"/>
          <w:kern w:val="0"/>
          <w:sz w:val="32"/>
          <w:szCs w:val="32"/>
          <w:highlight w:val="none"/>
        </w:rPr>
        <w:t>次渠污水处理站（设计规模2000吨/天）、新增安置房污水处理站（设计规模2000吨/天）和董村过度污水处理站（设计规模2000吨/天）</w:t>
      </w:r>
      <w:r>
        <w:rPr>
          <w:rFonts w:ascii="宋体" w:hAnsi="宋体" w:cs="宋体"/>
          <w:kern w:val="0"/>
          <w:sz w:val="32"/>
          <w:szCs w:val="32"/>
          <w:highlight w:val="none"/>
        </w:rPr>
        <w:t>出水水质执行北京市DB11/1612—2019《农村生活污水处理设施水污染物排放标准》二级标准中A标准，具体指标详见下表。</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3"/>
        <w:gridCol w:w="1019"/>
        <w:gridCol w:w="1019"/>
        <w:gridCol w:w="1019"/>
        <w:gridCol w:w="1144"/>
        <w:gridCol w:w="898"/>
        <w:gridCol w:w="1022"/>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8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检测项目</w:t>
            </w:r>
          </w:p>
        </w:tc>
        <w:tc>
          <w:tcPr>
            <w:tcW w:w="59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BOD5 mg/L</w:t>
            </w:r>
          </w:p>
        </w:tc>
        <w:tc>
          <w:tcPr>
            <w:tcW w:w="59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CODcr</w:t>
            </w:r>
          </w:p>
          <w:p>
            <w:pPr>
              <w:jc w:val="center"/>
              <w:rPr>
                <w:rFonts w:ascii="宋体" w:hAnsi="宋体" w:cs="宋体"/>
                <w:kern w:val="0"/>
                <w:sz w:val="32"/>
                <w:szCs w:val="32"/>
                <w:highlight w:val="none"/>
              </w:rPr>
            </w:pPr>
            <w:r>
              <w:rPr>
                <w:rFonts w:ascii="宋体" w:hAnsi="宋体" w:cs="宋体"/>
                <w:kern w:val="0"/>
                <w:sz w:val="32"/>
                <w:szCs w:val="32"/>
                <w:highlight w:val="none"/>
              </w:rPr>
              <w:t>mg/L</w:t>
            </w:r>
          </w:p>
        </w:tc>
        <w:tc>
          <w:tcPr>
            <w:tcW w:w="59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SS</w:t>
            </w:r>
          </w:p>
          <w:p>
            <w:pPr>
              <w:jc w:val="center"/>
              <w:rPr>
                <w:rFonts w:ascii="宋体" w:hAnsi="宋体" w:cs="宋体"/>
                <w:kern w:val="0"/>
                <w:sz w:val="32"/>
                <w:szCs w:val="32"/>
                <w:highlight w:val="none"/>
              </w:rPr>
            </w:pPr>
            <w:r>
              <w:rPr>
                <w:rFonts w:ascii="宋体" w:hAnsi="宋体" w:cs="宋体"/>
                <w:kern w:val="0"/>
                <w:sz w:val="32"/>
                <w:szCs w:val="32"/>
                <w:highlight w:val="none"/>
              </w:rPr>
              <w:t>mg/L</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NH3-N mg/L</w:t>
            </w:r>
          </w:p>
        </w:tc>
        <w:tc>
          <w:tcPr>
            <w:tcW w:w="52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pH</w:t>
            </w:r>
          </w:p>
        </w:tc>
        <w:tc>
          <w:tcPr>
            <w:tcW w:w="59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TP</w:t>
            </w:r>
          </w:p>
          <w:p>
            <w:pPr>
              <w:jc w:val="center"/>
              <w:rPr>
                <w:rFonts w:ascii="宋体" w:hAnsi="宋体" w:cs="宋体"/>
                <w:kern w:val="0"/>
                <w:sz w:val="32"/>
                <w:szCs w:val="32"/>
                <w:highlight w:val="none"/>
              </w:rPr>
            </w:pPr>
            <w:r>
              <w:rPr>
                <w:rFonts w:ascii="宋体" w:hAnsi="宋体" w:cs="宋体"/>
                <w:kern w:val="0"/>
                <w:sz w:val="32"/>
                <w:szCs w:val="32"/>
                <w:highlight w:val="none"/>
              </w:rPr>
              <w:t>mg/L</w:t>
            </w:r>
          </w:p>
        </w:tc>
        <w:tc>
          <w:tcPr>
            <w:tcW w:w="71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TN</w:t>
            </w:r>
          </w:p>
          <w:p>
            <w:pPr>
              <w:jc w:val="center"/>
              <w:rPr>
                <w:rFonts w:ascii="宋体" w:hAnsi="宋体" w:cs="宋体"/>
                <w:kern w:val="0"/>
                <w:sz w:val="32"/>
                <w:szCs w:val="32"/>
                <w:highlight w:val="none"/>
              </w:rPr>
            </w:pPr>
            <w:r>
              <w:rPr>
                <w:rFonts w:ascii="宋体" w:hAnsi="宋体" w:cs="宋体"/>
                <w:kern w:val="0"/>
                <w:sz w:val="32"/>
                <w:szCs w:val="32"/>
                <w:highlight w:val="none"/>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8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出水指标</w:t>
            </w:r>
          </w:p>
        </w:tc>
        <w:tc>
          <w:tcPr>
            <w:tcW w:w="59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≤10</w:t>
            </w:r>
          </w:p>
        </w:tc>
        <w:tc>
          <w:tcPr>
            <w:tcW w:w="59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≤50</w:t>
            </w:r>
          </w:p>
        </w:tc>
        <w:tc>
          <w:tcPr>
            <w:tcW w:w="59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≤20</w:t>
            </w:r>
          </w:p>
        </w:tc>
        <w:tc>
          <w:tcPr>
            <w:tcW w:w="6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≤5（8）</w:t>
            </w:r>
          </w:p>
        </w:tc>
        <w:tc>
          <w:tcPr>
            <w:tcW w:w="52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6-9</w:t>
            </w:r>
          </w:p>
        </w:tc>
        <w:tc>
          <w:tcPr>
            <w:tcW w:w="59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≤0.5</w:t>
            </w:r>
          </w:p>
        </w:tc>
        <w:tc>
          <w:tcPr>
            <w:tcW w:w="71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32"/>
                <w:szCs w:val="32"/>
                <w:highlight w:val="none"/>
              </w:rPr>
            </w:pPr>
            <w:r>
              <w:rPr>
                <w:rFonts w:ascii="宋体" w:hAnsi="宋体" w:cs="宋体"/>
                <w:kern w:val="0"/>
                <w:sz w:val="32"/>
                <w:szCs w:val="32"/>
                <w:highlight w:val="none"/>
              </w:rPr>
              <w:t>-</w:t>
            </w:r>
          </w:p>
        </w:tc>
      </w:tr>
    </w:tbl>
    <w:p>
      <w:pPr>
        <w:pStyle w:val="3"/>
        <w:ind w:firstLine="440"/>
        <w:rPr>
          <w:rFonts w:ascii="宋体" w:hAnsi="宋体" w:cs="宋体"/>
          <w:kern w:val="0"/>
          <w:sz w:val="32"/>
          <w:szCs w:val="32"/>
          <w:highlight w:val="none"/>
        </w:rPr>
      </w:pPr>
    </w:p>
    <w:p>
      <w:pPr>
        <w:spacing w:line="600" w:lineRule="exact"/>
        <w:ind w:firstLine="640" w:firstLineChars="200"/>
        <w:rPr>
          <w:rFonts w:hint="eastAsia" w:ascii="楷体_GB2312" w:hAnsi="楷体_GB2312" w:eastAsia="楷体_GB2312" w:cs="楷体_GB2312"/>
          <w:kern w:val="0"/>
          <w:sz w:val="32"/>
          <w:szCs w:val="32"/>
          <w:highlight w:val="none"/>
        </w:rPr>
      </w:pPr>
      <w:r>
        <w:rPr>
          <w:rFonts w:hint="eastAsia" w:ascii="楷体_GB2312" w:hAnsi="楷体_GB2312" w:eastAsia="楷体_GB2312" w:cs="楷体_GB2312"/>
          <w:kern w:val="0"/>
          <w:sz w:val="32"/>
          <w:szCs w:val="32"/>
          <w:highlight w:val="none"/>
          <w:lang w:eastAsia="zh-CN"/>
        </w:rPr>
        <w:t>（</w:t>
      </w:r>
      <w:r>
        <w:rPr>
          <w:rFonts w:hint="eastAsia" w:ascii="楷体_GB2312" w:hAnsi="楷体_GB2312" w:eastAsia="楷体_GB2312" w:cs="楷体_GB2312"/>
          <w:kern w:val="0"/>
          <w:sz w:val="32"/>
          <w:szCs w:val="32"/>
          <w:highlight w:val="none"/>
          <w:lang w:val="en-US" w:eastAsia="zh-CN"/>
        </w:rPr>
        <w:t>二</w:t>
      </w:r>
      <w:r>
        <w:rPr>
          <w:rFonts w:hint="eastAsia" w:ascii="楷体_GB2312" w:hAnsi="楷体_GB2312" w:eastAsia="楷体_GB2312" w:cs="楷体_GB2312"/>
          <w:kern w:val="0"/>
          <w:sz w:val="32"/>
          <w:szCs w:val="32"/>
          <w:highlight w:val="none"/>
          <w:lang w:eastAsia="zh-CN"/>
        </w:rPr>
        <w:t>）</w:t>
      </w:r>
      <w:r>
        <w:rPr>
          <w:rFonts w:hint="eastAsia" w:ascii="楷体_GB2312" w:hAnsi="楷体_GB2312" w:eastAsia="楷体_GB2312" w:cs="楷体_GB2312"/>
          <w:kern w:val="0"/>
          <w:sz w:val="32"/>
          <w:szCs w:val="32"/>
          <w:highlight w:val="none"/>
        </w:rPr>
        <w:t>绩效评价工作过程。</w:t>
      </w:r>
    </w:p>
    <w:p>
      <w:pPr>
        <w:spacing w:line="600" w:lineRule="exact"/>
        <w:ind w:firstLine="640" w:firstLineChars="200"/>
        <w:outlineLvl w:val="0"/>
        <w:rPr>
          <w:rFonts w:hint="eastAsia" w:ascii="宋体" w:hAnsi="宋体" w:cs="宋体"/>
          <w:kern w:val="0"/>
          <w:sz w:val="32"/>
          <w:szCs w:val="32"/>
          <w:highlight w:val="none"/>
        </w:rPr>
      </w:pPr>
      <w:r>
        <w:rPr>
          <w:rFonts w:hint="eastAsia" w:ascii="宋体" w:hAnsi="宋体" w:cs="宋体"/>
          <w:kern w:val="0"/>
          <w:sz w:val="32"/>
          <w:szCs w:val="32"/>
          <w:highlight w:val="none"/>
        </w:rPr>
        <w:t>根据厂站提供月报、结算付款提交材料以及环保反馈综合评估。</w:t>
      </w:r>
    </w:p>
    <w:p>
      <w:pPr>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三、综合评价情况及评价结论（附相关评分表）</w:t>
      </w:r>
    </w:p>
    <w:p>
      <w:pPr>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四、绩效评价指标分析</w:t>
      </w:r>
    </w:p>
    <w:p>
      <w:pPr>
        <w:spacing w:line="600" w:lineRule="exact"/>
        <w:ind w:firstLine="640" w:firstLineChars="200"/>
        <w:rPr>
          <w:rFonts w:hint="eastAsia" w:ascii="楷体_GB2312" w:hAnsi="楷体_GB2312" w:eastAsia="楷体_GB2312" w:cs="楷体_GB2312"/>
          <w:kern w:val="0"/>
          <w:sz w:val="32"/>
          <w:szCs w:val="32"/>
          <w:highlight w:val="none"/>
          <w:lang w:eastAsia="zh-CN"/>
        </w:rPr>
      </w:pPr>
      <w:r>
        <w:rPr>
          <w:rFonts w:hint="eastAsia" w:ascii="楷体_GB2312" w:hAnsi="楷体_GB2312" w:eastAsia="楷体_GB2312" w:cs="楷体_GB2312"/>
          <w:kern w:val="0"/>
          <w:sz w:val="32"/>
          <w:szCs w:val="32"/>
          <w:highlight w:val="none"/>
          <w:lang w:eastAsia="zh-CN"/>
        </w:rPr>
        <w:t>（一）项目决策情况。</w:t>
      </w:r>
    </w:p>
    <w:p>
      <w:pPr>
        <w:spacing w:line="600" w:lineRule="exact"/>
        <w:ind w:firstLine="640" w:firstLineChars="200"/>
        <w:outlineLvl w:val="0"/>
        <w:rPr>
          <w:rFonts w:hint="default" w:ascii="宋体" w:hAnsi="宋体" w:eastAsia="宋体" w:cs="宋体"/>
          <w:kern w:val="0"/>
          <w:sz w:val="32"/>
          <w:szCs w:val="32"/>
          <w:lang w:val="en-US" w:eastAsia="zh-CN"/>
        </w:rPr>
      </w:pPr>
      <w:r>
        <w:rPr>
          <w:rFonts w:hint="eastAsia" w:ascii="宋体" w:hAnsi="宋体" w:cs="宋体"/>
          <w:kern w:val="0"/>
          <w:sz w:val="32"/>
          <w:szCs w:val="32"/>
          <w:lang w:val="en-US" w:eastAsia="zh-CN"/>
        </w:rPr>
        <w:t>1.立项依据充分。根据台湖镇发展现实需求，保障区域环境，污水处理设施需专业运维单位负责运行管理，有助于逐步完善提升台湖镇生态环境、基础设施、公共服务设施建设水平。</w:t>
      </w:r>
    </w:p>
    <w:p>
      <w:pPr>
        <w:spacing w:line="600" w:lineRule="exact"/>
        <w:ind w:firstLine="640" w:firstLineChars="200"/>
        <w:outlineLvl w:val="0"/>
        <w:rPr>
          <w:rFonts w:hint="default" w:ascii="宋体" w:hAnsi="宋体" w:eastAsia="宋体" w:cs="宋体"/>
          <w:kern w:val="0"/>
          <w:sz w:val="32"/>
          <w:szCs w:val="32"/>
          <w:lang w:val="en-US" w:eastAsia="zh-CN"/>
        </w:rPr>
      </w:pPr>
      <w:r>
        <w:rPr>
          <w:rFonts w:hint="eastAsia" w:ascii="宋体" w:hAnsi="宋体" w:cs="宋体"/>
          <w:kern w:val="0"/>
          <w:sz w:val="32"/>
          <w:szCs w:val="32"/>
          <w:lang w:val="en-US" w:eastAsia="zh-CN"/>
        </w:rPr>
        <w:t>2.合同签订合法。</w:t>
      </w:r>
      <w:r>
        <w:rPr>
          <w:rFonts w:hint="eastAsia" w:ascii="宋体" w:hAnsi="宋体" w:cs="宋体"/>
          <w:kern w:val="0"/>
          <w:sz w:val="32"/>
          <w:szCs w:val="32"/>
        </w:rPr>
        <w:t>经镇党委会审议，提请区水务局、区财政局批准</w:t>
      </w:r>
      <w:r>
        <w:rPr>
          <w:rFonts w:hint="eastAsia" w:ascii="宋体" w:hAnsi="宋体" w:cs="宋体"/>
          <w:kern w:val="0"/>
          <w:sz w:val="32"/>
          <w:szCs w:val="32"/>
          <w:lang w:eastAsia="zh-CN"/>
        </w:rPr>
        <w:t>。</w:t>
      </w:r>
      <w:r>
        <w:rPr>
          <w:rFonts w:hint="eastAsia" w:ascii="宋体" w:hAnsi="宋体" w:cs="宋体"/>
          <w:kern w:val="0"/>
          <w:sz w:val="32"/>
          <w:szCs w:val="32"/>
          <w:lang w:val="en-US" w:eastAsia="zh-CN"/>
        </w:rPr>
        <w:t>根据区财政局规定要求，项目通过中国招标投标平台和预算一体化平台，接受全过程监督管理，项目招投标流程公开公正。</w:t>
      </w:r>
    </w:p>
    <w:p>
      <w:pPr>
        <w:spacing w:line="600" w:lineRule="exact"/>
        <w:ind w:firstLine="640" w:firstLineChars="200"/>
        <w:rPr>
          <w:rFonts w:hint="eastAsia" w:ascii="楷体_GB2312" w:hAnsi="楷体_GB2312" w:eastAsia="楷体_GB2312" w:cs="楷体_GB2312"/>
          <w:kern w:val="0"/>
          <w:sz w:val="32"/>
          <w:szCs w:val="32"/>
          <w:highlight w:val="none"/>
          <w:lang w:eastAsia="zh-CN"/>
        </w:rPr>
      </w:pPr>
      <w:r>
        <w:rPr>
          <w:rFonts w:hint="eastAsia" w:ascii="楷体_GB2312" w:hAnsi="楷体_GB2312" w:eastAsia="楷体_GB2312" w:cs="楷体_GB2312"/>
          <w:kern w:val="0"/>
          <w:sz w:val="32"/>
          <w:szCs w:val="32"/>
          <w:highlight w:val="none"/>
          <w:lang w:eastAsia="zh-CN"/>
        </w:rPr>
        <w:t>（</w:t>
      </w:r>
      <w:r>
        <w:rPr>
          <w:rFonts w:hint="eastAsia" w:ascii="楷体_GB2312" w:hAnsi="楷体_GB2312" w:eastAsia="楷体_GB2312" w:cs="楷体_GB2312"/>
          <w:kern w:val="0"/>
          <w:sz w:val="32"/>
          <w:szCs w:val="32"/>
          <w:highlight w:val="none"/>
          <w:lang w:val="en-US" w:eastAsia="zh-CN"/>
        </w:rPr>
        <w:t>二</w:t>
      </w:r>
      <w:r>
        <w:rPr>
          <w:rFonts w:hint="eastAsia" w:ascii="楷体_GB2312" w:hAnsi="楷体_GB2312" w:eastAsia="楷体_GB2312" w:cs="楷体_GB2312"/>
          <w:kern w:val="0"/>
          <w:sz w:val="32"/>
          <w:szCs w:val="32"/>
          <w:highlight w:val="none"/>
          <w:lang w:eastAsia="zh-CN"/>
        </w:rPr>
        <w:t>）项目过程情况。</w:t>
      </w:r>
    </w:p>
    <w:p>
      <w:pPr>
        <w:spacing w:line="600" w:lineRule="exact"/>
        <w:ind w:firstLine="640" w:firstLineChars="200"/>
        <w:outlineLvl w:val="0"/>
        <w:rPr>
          <w:rFonts w:hint="default" w:ascii="宋体" w:hAnsi="宋体" w:eastAsia="宋体" w:cs="宋体"/>
          <w:kern w:val="0"/>
          <w:sz w:val="32"/>
          <w:szCs w:val="32"/>
          <w:lang w:val="en-US" w:eastAsia="zh-CN"/>
        </w:rPr>
      </w:pPr>
      <w:r>
        <w:rPr>
          <w:rFonts w:hint="eastAsia" w:ascii="宋体" w:hAnsi="宋体" w:cs="宋体"/>
          <w:kern w:val="0"/>
          <w:sz w:val="32"/>
          <w:szCs w:val="32"/>
          <w:lang w:val="en-US" w:eastAsia="zh-CN"/>
        </w:rPr>
        <w:t>污水处理厂站设备运行平稳。项目合同期间，污水处理设施设备运行情况良好，每日处理量达到厂站设计规模，未出现停产停运情况。</w:t>
      </w:r>
    </w:p>
    <w:p>
      <w:pPr>
        <w:spacing w:line="600" w:lineRule="exact"/>
        <w:ind w:firstLine="640" w:firstLineChars="200"/>
        <w:rPr>
          <w:rFonts w:hint="eastAsia" w:ascii="楷体_GB2312" w:hAnsi="楷体_GB2312" w:eastAsia="楷体_GB2312" w:cs="楷体_GB2312"/>
          <w:kern w:val="0"/>
          <w:sz w:val="32"/>
          <w:szCs w:val="32"/>
          <w:highlight w:val="none"/>
          <w:lang w:eastAsia="zh-CN"/>
        </w:rPr>
      </w:pPr>
      <w:r>
        <w:rPr>
          <w:rFonts w:hint="eastAsia" w:ascii="楷体_GB2312" w:hAnsi="楷体_GB2312" w:eastAsia="楷体_GB2312" w:cs="楷体_GB2312"/>
          <w:kern w:val="0"/>
          <w:sz w:val="32"/>
          <w:szCs w:val="32"/>
          <w:highlight w:val="none"/>
          <w:lang w:eastAsia="zh-CN"/>
        </w:rPr>
        <w:t>（</w:t>
      </w:r>
      <w:r>
        <w:rPr>
          <w:rFonts w:hint="eastAsia" w:ascii="楷体_GB2312" w:hAnsi="楷体_GB2312" w:eastAsia="楷体_GB2312" w:cs="楷体_GB2312"/>
          <w:kern w:val="0"/>
          <w:sz w:val="32"/>
          <w:szCs w:val="32"/>
          <w:highlight w:val="none"/>
          <w:lang w:val="en-US" w:eastAsia="zh-CN"/>
        </w:rPr>
        <w:t>三</w:t>
      </w:r>
      <w:r>
        <w:rPr>
          <w:rFonts w:hint="eastAsia" w:ascii="楷体_GB2312" w:hAnsi="楷体_GB2312" w:eastAsia="楷体_GB2312" w:cs="楷体_GB2312"/>
          <w:kern w:val="0"/>
          <w:sz w:val="32"/>
          <w:szCs w:val="32"/>
          <w:highlight w:val="none"/>
          <w:lang w:eastAsia="zh-CN"/>
        </w:rPr>
        <w:t>）项目产出情况。</w:t>
      </w:r>
    </w:p>
    <w:p>
      <w:pPr>
        <w:spacing w:line="600" w:lineRule="exact"/>
        <w:ind w:firstLine="640" w:firstLineChars="200"/>
        <w:outlineLvl w:val="0"/>
        <w:rPr>
          <w:rFonts w:hint="eastAsia" w:ascii="宋体" w:hAnsi="宋体" w:cs="宋体"/>
          <w:kern w:val="0"/>
          <w:sz w:val="32"/>
          <w:szCs w:val="32"/>
        </w:rPr>
      </w:pPr>
      <w:r>
        <w:rPr>
          <w:rFonts w:hint="eastAsia" w:ascii="宋体" w:hAnsi="宋体" w:cs="宋体"/>
          <w:kern w:val="0"/>
          <w:sz w:val="32"/>
          <w:szCs w:val="32"/>
          <w:lang w:val="en-US" w:eastAsia="zh-CN"/>
        </w:rPr>
        <w:t>根据国家制度规范、</w:t>
      </w:r>
      <w:r>
        <w:rPr>
          <w:rFonts w:hint="eastAsia" w:ascii="宋体" w:hAnsi="宋体" w:cs="宋体"/>
          <w:kern w:val="0"/>
          <w:sz w:val="32"/>
          <w:szCs w:val="32"/>
        </w:rPr>
        <w:t>污水处理相关</w:t>
      </w:r>
      <w:r>
        <w:rPr>
          <w:rFonts w:hint="eastAsia" w:ascii="宋体" w:hAnsi="宋体" w:cs="宋体"/>
          <w:kern w:val="0"/>
          <w:sz w:val="32"/>
          <w:szCs w:val="32"/>
          <w:lang w:val="en-US" w:eastAsia="zh-CN"/>
        </w:rPr>
        <w:t>标准、合同约定要求</w:t>
      </w:r>
      <w:r>
        <w:rPr>
          <w:rFonts w:hint="eastAsia" w:ascii="宋体" w:hAnsi="宋体" w:cs="宋体"/>
          <w:kern w:val="0"/>
          <w:sz w:val="32"/>
          <w:szCs w:val="32"/>
        </w:rPr>
        <w:t>。</w:t>
      </w:r>
      <w:r>
        <w:rPr>
          <w:rFonts w:hint="eastAsia" w:ascii="宋体" w:hAnsi="宋体" w:cs="宋体"/>
          <w:kern w:val="0"/>
          <w:sz w:val="32"/>
          <w:szCs w:val="32"/>
          <w:lang w:val="en-US" w:eastAsia="zh-CN"/>
        </w:rPr>
        <w:t>台湖镇污水处理厂中水及再生水排放标准达到国家规定。次渠污水处理站、新增安置房污水处理站和董村过度污水处理站出水水质标准达到国家规定。</w:t>
      </w:r>
    </w:p>
    <w:p>
      <w:pPr>
        <w:spacing w:line="600" w:lineRule="exact"/>
        <w:ind w:firstLine="640" w:firstLineChars="200"/>
        <w:rPr>
          <w:rFonts w:hint="eastAsia" w:ascii="楷体_GB2312" w:hAnsi="楷体_GB2312" w:eastAsia="楷体_GB2312" w:cs="楷体_GB2312"/>
          <w:kern w:val="0"/>
          <w:sz w:val="32"/>
          <w:szCs w:val="32"/>
          <w:highlight w:val="none"/>
          <w:lang w:eastAsia="zh-CN"/>
        </w:rPr>
      </w:pPr>
      <w:r>
        <w:rPr>
          <w:rFonts w:hint="eastAsia" w:ascii="楷体_GB2312" w:hAnsi="楷体_GB2312" w:eastAsia="楷体_GB2312" w:cs="楷体_GB2312"/>
          <w:kern w:val="0"/>
          <w:sz w:val="32"/>
          <w:szCs w:val="32"/>
          <w:highlight w:val="none"/>
          <w:lang w:eastAsia="zh-CN"/>
        </w:rPr>
        <w:t>（</w:t>
      </w:r>
      <w:r>
        <w:rPr>
          <w:rFonts w:hint="eastAsia" w:ascii="楷体_GB2312" w:hAnsi="楷体_GB2312" w:eastAsia="楷体_GB2312" w:cs="楷体_GB2312"/>
          <w:kern w:val="0"/>
          <w:sz w:val="32"/>
          <w:szCs w:val="32"/>
          <w:highlight w:val="none"/>
          <w:lang w:val="en-US" w:eastAsia="zh-CN"/>
        </w:rPr>
        <w:t>四</w:t>
      </w:r>
      <w:r>
        <w:rPr>
          <w:rFonts w:hint="eastAsia" w:ascii="楷体_GB2312" w:hAnsi="楷体_GB2312" w:eastAsia="楷体_GB2312" w:cs="楷体_GB2312"/>
          <w:kern w:val="0"/>
          <w:sz w:val="32"/>
          <w:szCs w:val="32"/>
          <w:highlight w:val="none"/>
          <w:lang w:eastAsia="zh-CN"/>
        </w:rPr>
        <w:t>）项目效益情况。</w:t>
      </w:r>
    </w:p>
    <w:p>
      <w:pPr>
        <w:spacing w:line="600" w:lineRule="exact"/>
        <w:ind w:firstLine="640" w:firstLineChars="200"/>
        <w:outlineLvl w:val="0"/>
        <w:rPr>
          <w:rFonts w:hint="eastAsia" w:ascii="宋体" w:hAnsi="宋体" w:cs="宋体"/>
          <w:kern w:val="0"/>
          <w:sz w:val="32"/>
          <w:szCs w:val="32"/>
          <w:highlight w:val="none"/>
        </w:rPr>
      </w:pPr>
      <w:r>
        <w:rPr>
          <w:rFonts w:hint="eastAsia" w:ascii="宋体" w:hAnsi="宋体" w:cs="宋体"/>
          <w:kern w:val="0"/>
          <w:sz w:val="32"/>
          <w:szCs w:val="32"/>
        </w:rPr>
        <w:t>污水处理站平稳运行，区域生活污水得到有效处理</w:t>
      </w:r>
      <w:r>
        <w:rPr>
          <w:rFonts w:hint="eastAsia" w:ascii="宋体" w:hAnsi="宋体" w:cs="宋体"/>
          <w:kern w:val="0"/>
          <w:sz w:val="32"/>
          <w:szCs w:val="32"/>
          <w:lang w:eastAsia="zh-CN"/>
        </w:rPr>
        <w:t>，</w:t>
      </w:r>
      <w:r>
        <w:rPr>
          <w:rFonts w:hint="eastAsia" w:ascii="宋体" w:hAnsi="宋体" w:cs="宋体"/>
          <w:kern w:val="0"/>
          <w:sz w:val="32"/>
          <w:szCs w:val="32"/>
          <w:highlight w:val="none"/>
        </w:rPr>
        <w:t>社会、生态以及可持续影响指标良好。</w:t>
      </w:r>
    </w:p>
    <w:p>
      <w:pPr>
        <w:spacing w:line="600" w:lineRule="exact"/>
        <w:ind w:firstLine="643" w:firstLineChars="200"/>
        <w:rPr>
          <w:rFonts w:ascii="宋体" w:hAnsi="宋体" w:cs="宋体"/>
          <w:b/>
          <w:kern w:val="0"/>
          <w:sz w:val="32"/>
          <w:szCs w:val="32"/>
        </w:rPr>
      </w:pPr>
      <w:r>
        <w:rPr>
          <w:rFonts w:hint="eastAsia" w:ascii="宋体" w:hAnsi="宋体" w:cs="宋体"/>
          <w:b/>
          <w:kern w:val="0"/>
          <w:sz w:val="32"/>
          <w:szCs w:val="32"/>
        </w:rPr>
        <w:t>五、主要经验及做法、存在的问题及原因分析</w:t>
      </w:r>
    </w:p>
    <w:p>
      <w:pPr>
        <w:spacing w:line="600" w:lineRule="exact"/>
        <w:ind w:firstLine="643" w:firstLineChars="200"/>
        <w:rPr>
          <w:rFonts w:ascii="宋体" w:hAnsi="宋体" w:cs="宋体"/>
          <w:b/>
          <w:kern w:val="0"/>
          <w:sz w:val="32"/>
          <w:szCs w:val="32"/>
        </w:rPr>
      </w:pPr>
      <w:r>
        <w:rPr>
          <w:rFonts w:hint="eastAsia" w:ascii="宋体" w:hAnsi="宋体" w:cs="宋体"/>
          <w:b/>
          <w:kern w:val="0"/>
          <w:sz w:val="32"/>
          <w:szCs w:val="32"/>
        </w:rPr>
        <w:t>六、有关建议</w:t>
      </w:r>
    </w:p>
    <w:p>
      <w:pPr>
        <w:spacing w:line="600" w:lineRule="exact"/>
        <w:ind w:firstLine="643" w:firstLineChars="200"/>
        <w:rPr>
          <w:rFonts w:ascii="宋体" w:hAnsi="宋体" w:cs="宋体"/>
          <w:b/>
          <w:kern w:val="0"/>
          <w:sz w:val="32"/>
          <w:szCs w:val="32"/>
        </w:rPr>
      </w:pPr>
      <w:r>
        <w:rPr>
          <w:rFonts w:hint="eastAsia" w:ascii="宋体" w:hAnsi="宋体" w:cs="宋体"/>
          <w:b/>
          <w:kern w:val="0"/>
          <w:sz w:val="32"/>
          <w:szCs w:val="32"/>
        </w:rPr>
        <w:t>七、其他需要说明的问题</w:t>
      </w:r>
    </w:p>
    <w:p>
      <w:pPr>
        <w:spacing w:line="600" w:lineRule="exact"/>
        <w:ind w:firstLine="640" w:firstLineChars="200"/>
        <w:rPr>
          <w:rFonts w:ascii="宋体" w:hAnsi="宋体" w:cs="宋体"/>
          <w:kern w:val="0"/>
          <w:sz w:val="32"/>
          <w:szCs w:val="32"/>
        </w:rPr>
      </w:pPr>
      <w:r>
        <w:rPr>
          <w:rFonts w:hint="eastAsia" w:ascii="宋体" w:hAnsi="宋体" w:cs="宋体"/>
          <w:kern w:val="0"/>
          <w:sz w:val="32"/>
          <w:szCs w:val="32"/>
        </w:rPr>
        <w:t>附件：《评分表》等</w:t>
      </w:r>
    </w:p>
    <w:p>
      <w:pPr>
        <w:widowControl/>
        <w:jc w:val="left"/>
        <w:rPr>
          <w:rFonts w:hint="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7F1"/>
    <w:rsid w:val="001729AE"/>
    <w:rsid w:val="00214050"/>
    <w:rsid w:val="002F0124"/>
    <w:rsid w:val="003918F5"/>
    <w:rsid w:val="0040502E"/>
    <w:rsid w:val="00425552"/>
    <w:rsid w:val="00440FC0"/>
    <w:rsid w:val="0046231E"/>
    <w:rsid w:val="004C7D0D"/>
    <w:rsid w:val="005475B1"/>
    <w:rsid w:val="00607C0D"/>
    <w:rsid w:val="0061156F"/>
    <w:rsid w:val="00627559"/>
    <w:rsid w:val="00867631"/>
    <w:rsid w:val="00990652"/>
    <w:rsid w:val="00BF4C61"/>
    <w:rsid w:val="00C42817"/>
    <w:rsid w:val="00D067F1"/>
    <w:rsid w:val="00E20F6B"/>
    <w:rsid w:val="00FE177C"/>
    <w:rsid w:val="10AA4D39"/>
    <w:rsid w:val="2E566446"/>
    <w:rsid w:val="30D049B2"/>
    <w:rsid w:val="786D5A56"/>
    <w:rsid w:val="7B9155DC"/>
    <w:rsid w:val="7CBD1004"/>
    <w:rsid w:val="7F6B6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1"/>
    <w:unhideWhenUsed/>
    <w:qFormat/>
    <w:uiPriority w:val="0"/>
    <w:pPr>
      <w:ind w:firstLine="420" w:firstLineChars="200"/>
    </w:p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Arial" w:hAnsi="Arial" w:eastAsia="黑体" w:cs="Times New Roman"/>
      <w:b/>
      <w:sz w:val="32"/>
      <w:szCs w:val="24"/>
    </w:rPr>
  </w:style>
  <w:style w:type="character" w:customStyle="1" w:styleId="11">
    <w:name w:val="正文缩进 Char"/>
    <w:link w:val="3"/>
    <w:qFormat/>
    <w:uiPriority w:val="0"/>
    <w:rPr>
      <w:rFonts w:ascii="Calibri" w:hAnsi="Calibri"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北京市统计局</Company>
  <Pages>5</Pages>
  <Words>942</Words>
  <Characters>1032</Characters>
  <Lines>7</Lines>
  <Paragraphs>2</Paragraphs>
  <TotalTime>3</TotalTime>
  <ScaleCrop>false</ScaleCrop>
  <LinksUpToDate>false</LinksUpToDate>
  <CharactersWithSpaces>1034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2025-02-26T01:38:00Z</dcterms:created>
  <dc:creator>微软用户</dc:creator>
  <cp:lastModifiedBy>vip</cp:lastModifiedBy>
  <dcterms:modified xsi:type="dcterms:W3CDTF">2025-09-18T02:01:12Z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KSOTemplateDocerSaveRecord">
    <vt:lpwstr>eyJoZGlkIjoiYmM3ZjVjYzJhN2ZmYjBjY2FlM2I0OWRlZTI1NmExMjUiLCJ1c2VySWQiOiIzMDI2Mjg4MjUifQ==</vt:lpwstr>
  </property>
  <property fmtid="{D5CDD505-2E9C-101B-9397-08002B2CF9AE}" pid="4" name="ICV">
    <vt:lpwstr>00B7C109E88A4A9A81B915997FA24AF3_13</vt:lpwstr>
  </property>
</Properties>
</file>